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96B0" w14:textId="77777777" w:rsidR="00BF0F1D" w:rsidRPr="00E80235" w:rsidRDefault="00BF0F1D" w:rsidP="0077674F">
      <w:pPr>
        <w:pStyle w:val="Heading1"/>
        <w:jc w:val="center"/>
      </w:pPr>
      <w:r>
        <w:t>Options assessment</w:t>
      </w:r>
    </w:p>
    <w:p w14:paraId="71C489D8" w14:textId="40CFDB6A" w:rsidR="00BF0F1D" w:rsidRDefault="000C647F" w:rsidP="0005065B">
      <w:pPr>
        <w:rPr>
          <w:rFonts w:cs="Arial"/>
          <w:b/>
          <w:bCs/>
        </w:rPr>
      </w:pPr>
      <w:r w:rsidRPr="00124363">
        <w:rPr>
          <w:rFonts w:eastAsia="Arial" w:cs="Arial"/>
          <w:iCs/>
          <w:noProof/>
          <w:szCs w:val="20"/>
        </w:rPr>
        <mc:AlternateContent>
          <mc:Choice Requires="wps">
            <w:drawing>
              <wp:anchor distT="0" distB="0" distL="114300" distR="114300" simplePos="0" relativeHeight="251658251" behindDoc="0" locked="0" layoutInCell="1" allowOverlap="1" wp14:anchorId="5271A2C2" wp14:editId="54253A2E">
                <wp:simplePos x="0" y="0"/>
                <wp:positionH relativeFrom="column">
                  <wp:posOffset>379361</wp:posOffset>
                </wp:positionH>
                <wp:positionV relativeFrom="paragraph">
                  <wp:posOffset>237623</wp:posOffset>
                </wp:positionV>
                <wp:extent cx="5753100" cy="467832"/>
                <wp:effectExtent l="0" t="0" r="19050" b="27940"/>
                <wp:wrapNone/>
                <wp:docPr id="1310108702" name="Text Box 1310108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7832"/>
                        </a:xfrm>
                        <a:prstGeom prst="rect">
                          <a:avLst/>
                        </a:prstGeom>
                        <a:solidFill>
                          <a:srgbClr val="FFFFFF"/>
                        </a:solidFill>
                        <a:ln w="9525">
                          <a:solidFill>
                            <a:schemeClr val="bg1">
                              <a:lumMod val="85000"/>
                            </a:schemeClr>
                          </a:solidFill>
                          <a:miter lim="800000"/>
                          <a:headEnd/>
                          <a:tailEnd/>
                        </a:ln>
                      </wps:spPr>
                      <wps:txbx>
                        <w:txbxContent>
                          <w:sdt>
                            <w:sdtPr>
                              <w:id w:val="156584868"/>
                            </w:sdtPr>
                            <w:sdtContent>
                              <w:p w14:paraId="2E476F0C" w14:textId="40B95761" w:rsidR="000C647F" w:rsidRDefault="00DC1B98" w:rsidP="000C647F">
                                <w:r>
                                  <w:t>Proposed c</w:t>
                                </w:r>
                                <w:r w:rsidR="009B3543">
                                  <w:t>hanges to the Major Hazards Regu</w:t>
                                </w:r>
                                <w:r w:rsidR="0027488F">
                                  <w:t xml:space="preserve">latory Framework in relation to Carbon Capture Storage and </w:t>
                                </w:r>
                                <w:r w:rsidR="00D80FBB">
                                  <w:t xml:space="preserve">Offshore </w:t>
                                </w:r>
                                <w:r w:rsidR="0027488F">
                                  <w:t>Hy</w:t>
                                </w:r>
                                <w:r w:rsidR="00F66FF6">
                                  <w:t>drogen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1A2C2" id="_x0000_t202" coordsize="21600,21600" o:spt="202" path="m,l,21600r21600,l21600,xe">
                <v:stroke joinstyle="miter"/>
                <v:path gradientshapeok="t" o:connecttype="rect"/>
              </v:shapetype>
              <v:shape id="Text Box 1310108702" o:spid="_x0000_s1026" type="#_x0000_t202" style="position:absolute;margin-left:29.85pt;margin-top:18.7pt;width:453pt;height:3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" strokecolor="#d8d8d8 [2732]">
                <v:textbox>
                  <w:txbxContent>
                    <w:sdt>
                      <w:sdtPr>
                        <w:id w:val="156584868"/>
                      </w:sdtPr>
                      <w:sdtContent>
                        <w:p w14:paraId="2E476F0C" w14:textId="40B95761" w:rsidR="000C647F" w:rsidRDefault="00DC1B98" w:rsidP="000C647F">
                          <w:r>
                            <w:t>Proposed c</w:t>
                          </w:r>
                          <w:r w:rsidR="009B3543">
                            <w:t>hanges to the Major Hazards Regu</w:t>
                          </w:r>
                          <w:r w:rsidR="0027488F">
                            <w:t xml:space="preserve">latory Framework in relation to Carbon Capture Storage and </w:t>
                          </w:r>
                          <w:r w:rsidR="00D80FBB">
                            <w:t xml:space="preserve">Offshore </w:t>
                          </w:r>
                          <w:r w:rsidR="0027488F">
                            <w:t>Hy</w:t>
                          </w:r>
                          <w:r w:rsidR="00F66FF6">
                            <w:t>drogen</w:t>
                          </w:r>
                        </w:p>
                      </w:sdtContent>
                    </w:sdt>
                  </w:txbxContent>
                </v:textbox>
              </v:shape>
            </w:pict>
          </mc:Fallback>
        </mc:AlternateContent>
      </w:r>
    </w:p>
    <w:p w14:paraId="4FE02D9C" w14:textId="6C84E19B" w:rsidR="009B3E1A" w:rsidRDefault="009B3E1A" w:rsidP="009B3E1A">
      <w:pPr>
        <w:rPr>
          <w:rFonts w:eastAsia="Arial" w:cs="Arial"/>
          <w:color w:val="000000" w:themeColor="text1"/>
        </w:rPr>
      </w:pPr>
      <w:r w:rsidRPr="00894F0F">
        <w:rPr>
          <w:rFonts w:eastAsia="Arial" w:cs="Arial"/>
          <w:color w:val="000000" w:themeColor="text1"/>
        </w:rPr>
        <w:t>Title:</w:t>
      </w:r>
      <w:r>
        <w:rPr>
          <w:rFonts w:eastAsia="Arial" w:cs="Arial"/>
          <w:color w:val="000000" w:themeColor="text1"/>
        </w:rPr>
        <w:t xml:space="preserve">  </w:t>
      </w:r>
    </w:p>
    <w:p w14:paraId="66429336"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5" behindDoc="0" locked="0" layoutInCell="1" allowOverlap="1" wp14:anchorId="32ED9419" wp14:editId="5F574E29">
                <wp:simplePos x="0" y="0"/>
                <wp:positionH relativeFrom="column">
                  <wp:posOffset>1259205</wp:posOffset>
                </wp:positionH>
                <wp:positionV relativeFrom="paragraph">
                  <wp:posOffset>210820</wp:posOffset>
                </wp:positionV>
                <wp:extent cx="4876800" cy="365760"/>
                <wp:effectExtent l="0" t="0" r="19050" b="15240"/>
                <wp:wrapNone/>
                <wp:docPr id="127586052" name="Text Box 127586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
                        </a:xfrm>
                        <a:prstGeom prst="rect">
                          <a:avLst/>
                        </a:prstGeom>
                        <a:solidFill>
                          <a:srgbClr val="FFFFFF"/>
                        </a:solidFill>
                        <a:ln w="9525">
                          <a:solidFill>
                            <a:schemeClr val="bg1">
                              <a:lumMod val="85000"/>
                            </a:schemeClr>
                          </a:solidFill>
                          <a:miter lim="800000"/>
                          <a:headEnd/>
                          <a:tailEnd/>
                        </a:ln>
                      </wps:spPr>
                      <wps:txbx>
                        <w:txbxContent>
                          <w:sdt>
                            <w:sdtPr>
                              <w:id w:val="-1411226410"/>
                            </w:sdtPr>
                            <w:sdtContent>
                              <w:p w14:paraId="4B014ADB" w14:textId="3DDFB333" w:rsidR="009B3E1A" w:rsidRDefault="006E3236" w:rsidP="009B3E1A">
                                <w:r>
                                  <w:t xml:space="preserve">Regulatory </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ED9419" id="Text Box 127586052" o:spid="_x0000_s1027" type="#_x0000_t202" style="position:absolute;margin-left:99.15pt;margin-top:16.6pt;width:384pt;height:28.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" strokecolor="#d8d8d8 [2732]">
                <v:textbox>
                  <w:txbxContent>
                    <w:sdt>
                      <w:sdtPr>
                        <w:id w:val="-1411226410"/>
                      </w:sdtPr>
                      <w:sdtContent>
                        <w:p w14:paraId="4B014ADB" w14:textId="3DDFB333" w:rsidR="009B3E1A" w:rsidRDefault="006E3236" w:rsidP="009B3E1A">
                          <w:r>
                            <w:t xml:space="preserve">Regulatory </w:t>
                          </w:r>
                        </w:p>
                      </w:sdtContent>
                    </w:sdt>
                  </w:txbxContent>
                </v:textbox>
              </v:shape>
            </w:pict>
          </mc:Fallback>
        </mc:AlternateContent>
      </w:r>
    </w:p>
    <w:p w14:paraId="23165AC8" w14:textId="77777777" w:rsidR="009B3E1A" w:rsidRDefault="009B3E1A" w:rsidP="009B3E1A">
      <w:pPr>
        <w:rPr>
          <w:rFonts w:eastAsia="Arial" w:cs="Arial"/>
          <w:color w:val="000000" w:themeColor="text1"/>
        </w:rPr>
      </w:pPr>
      <w:r w:rsidRPr="00894F0F">
        <w:rPr>
          <w:rFonts w:eastAsia="Arial" w:cs="Arial"/>
          <w:color w:val="000000" w:themeColor="text1"/>
        </w:rPr>
        <w:t>Type of measure:</w:t>
      </w:r>
      <w:r>
        <w:rPr>
          <w:rFonts w:eastAsia="Arial" w:cs="Arial"/>
          <w:color w:val="000000" w:themeColor="text1"/>
        </w:rPr>
        <w:t xml:space="preserve">  </w:t>
      </w:r>
    </w:p>
    <w:p w14:paraId="2BA56E2B" w14:textId="77777777" w:rsidR="009B3E1A" w:rsidRPr="00894F0F"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6" behindDoc="0" locked="0" layoutInCell="1" allowOverlap="1" wp14:anchorId="335E54E2" wp14:editId="44EB41B6">
                <wp:simplePos x="0" y="0"/>
                <wp:positionH relativeFrom="column">
                  <wp:posOffset>1583055</wp:posOffset>
                </wp:positionH>
                <wp:positionV relativeFrom="paragraph">
                  <wp:posOffset>210185</wp:posOffset>
                </wp:positionV>
                <wp:extent cx="4552950" cy="365760"/>
                <wp:effectExtent l="0" t="0" r="19050" b="15240"/>
                <wp:wrapNone/>
                <wp:docPr id="2131158652" name="Text Box 213115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65760"/>
                        </a:xfrm>
                        <a:prstGeom prst="rect">
                          <a:avLst/>
                        </a:prstGeom>
                        <a:solidFill>
                          <a:srgbClr val="FFFFFF"/>
                        </a:solidFill>
                        <a:ln w="9525">
                          <a:solidFill>
                            <a:schemeClr val="bg1">
                              <a:lumMod val="85000"/>
                            </a:schemeClr>
                          </a:solidFill>
                          <a:miter lim="800000"/>
                          <a:headEnd/>
                          <a:tailEnd/>
                        </a:ln>
                      </wps:spPr>
                      <wps:txbx>
                        <w:txbxContent>
                          <w:sdt>
                            <w:sdtPr>
                              <w:id w:val="-792972086"/>
                            </w:sdtPr>
                            <w:sdtContent>
                              <w:p w14:paraId="4E6FC299" w14:textId="593781AF" w:rsidR="009B3E1A" w:rsidRDefault="006E3236" w:rsidP="009B3E1A">
                                <w:r>
                                  <w:t>Health and Safety Executive (HSE)</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5E54E2" id="Text Box 2131158652" o:spid="_x0000_s1028" type="#_x0000_t202" style="position:absolute;margin-left:124.65pt;margin-top:16.55pt;width:358.5pt;height:28.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" strokecolor="#d8d8d8 [2732]">
                <v:textbox>
                  <w:txbxContent>
                    <w:sdt>
                      <w:sdtPr>
                        <w:id w:val="-792972086"/>
                      </w:sdtPr>
                      <w:sdtContent>
                        <w:p w14:paraId="4E6FC299" w14:textId="593781AF" w:rsidR="009B3E1A" w:rsidRDefault="006E3236" w:rsidP="009B3E1A">
                          <w:r>
                            <w:t>Health and Safety Executive (HSE)</w:t>
                          </w:r>
                        </w:p>
                      </w:sdtContent>
                    </w:sdt>
                  </w:txbxContent>
                </v:textbox>
              </v:shape>
            </w:pict>
          </mc:Fallback>
        </mc:AlternateContent>
      </w:r>
    </w:p>
    <w:p w14:paraId="0480345A" w14:textId="77777777" w:rsidR="009B3E1A" w:rsidRDefault="009B3E1A" w:rsidP="009B3E1A">
      <w:pPr>
        <w:rPr>
          <w:rFonts w:eastAsia="Arial" w:cs="Arial"/>
          <w:color w:val="000000" w:themeColor="text1"/>
        </w:rPr>
      </w:pPr>
      <w:r w:rsidRPr="00894F0F">
        <w:rPr>
          <w:rFonts w:eastAsia="Arial" w:cs="Arial"/>
          <w:color w:val="000000" w:themeColor="text1"/>
        </w:rPr>
        <w:t>Department or agency:</w:t>
      </w:r>
    </w:p>
    <w:p w14:paraId="4565142C" w14:textId="77777777" w:rsidR="009B3E1A" w:rsidRPr="00894F0F"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7" behindDoc="0" locked="0" layoutInCell="1" allowOverlap="1" wp14:anchorId="1044B445" wp14:editId="36C463AE">
                <wp:simplePos x="0" y="0"/>
                <wp:positionH relativeFrom="column">
                  <wp:posOffset>811529</wp:posOffset>
                </wp:positionH>
                <wp:positionV relativeFrom="paragraph">
                  <wp:posOffset>219075</wp:posOffset>
                </wp:positionV>
                <wp:extent cx="5324475" cy="365760"/>
                <wp:effectExtent l="0" t="0" r="28575" b="15240"/>
                <wp:wrapNone/>
                <wp:docPr id="1079732322" name="Text Box 1079732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5760"/>
                        </a:xfrm>
                        <a:prstGeom prst="rect">
                          <a:avLst/>
                        </a:prstGeom>
                        <a:solidFill>
                          <a:srgbClr val="FFFFFF"/>
                        </a:solidFill>
                        <a:ln w="9525">
                          <a:solidFill>
                            <a:schemeClr val="bg1">
                              <a:lumMod val="85000"/>
                            </a:schemeClr>
                          </a:solidFill>
                          <a:miter lim="800000"/>
                          <a:headEnd/>
                          <a:tailEnd/>
                        </a:ln>
                      </wps:spPr>
                      <wps:txbx>
                        <w:txbxContent>
                          <w:sdt>
                            <w:sdtPr>
                              <w:id w:val="1137001147"/>
                            </w:sdtPr>
                            <w:sdtContent>
                              <w:p w14:paraId="1E96A747"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044B445" id="Text Box 1079732322" o:spid="_x0000_s1029" type="#_x0000_t202" style="position:absolute;margin-left:63.9pt;margin-top:17.25pt;width:419.25pt;height:28.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" strokecolor="#d8d8d8 [2732]">
                <v:textbox>
                  <w:txbxContent>
                    <w:sdt>
                      <w:sdtPr>
                        <w:id w:val="1137001147"/>
                      </w:sdtPr>
                      <w:sdtContent>
                        <w:p w14:paraId="1E96A747" w14:textId="77777777" w:rsidR="009B3E1A" w:rsidRDefault="009B3E1A" w:rsidP="009B3E1A">
                          <w:r>
                            <w:t>…</w:t>
                          </w:r>
                        </w:p>
                      </w:sdtContent>
                    </w:sdt>
                  </w:txbxContent>
                </v:textbox>
              </v:shape>
            </w:pict>
          </mc:Fallback>
        </mc:AlternateContent>
      </w:r>
    </w:p>
    <w:p w14:paraId="51C3ADA8" w14:textId="3FB63489" w:rsidR="009B3E1A" w:rsidRPr="00894F0F" w:rsidRDefault="009B3E1A" w:rsidP="009B3E1A">
      <w:pPr>
        <w:rPr>
          <w:rFonts w:eastAsia="Arial" w:cs="Arial"/>
          <w:color w:val="000000" w:themeColor="text1"/>
        </w:rPr>
      </w:pPr>
      <w:r w:rsidRPr="00894F0F">
        <w:rPr>
          <w:rFonts w:eastAsia="Arial" w:cs="Arial"/>
          <w:color w:val="000000" w:themeColor="text1"/>
        </w:rPr>
        <w:t>IA number:</w:t>
      </w:r>
      <w:r>
        <w:rPr>
          <w:rFonts w:eastAsia="Arial" w:cs="Arial"/>
          <w:color w:val="000000" w:themeColor="text1"/>
        </w:rPr>
        <w:t xml:space="preserve">  </w:t>
      </w:r>
      <w:r w:rsidR="00F56C94">
        <w:rPr>
          <w:rFonts w:eastAsia="Arial" w:cs="Arial"/>
          <w:color w:val="000000" w:themeColor="text1"/>
        </w:rPr>
        <w:t xml:space="preserve"> </w:t>
      </w:r>
    </w:p>
    <w:p w14:paraId="5AE9DF6B"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8" behindDoc="0" locked="0" layoutInCell="1" allowOverlap="1" wp14:anchorId="2730CEEC" wp14:editId="167EFCDE">
                <wp:simplePos x="0" y="0"/>
                <wp:positionH relativeFrom="column">
                  <wp:posOffset>1687830</wp:posOffset>
                </wp:positionH>
                <wp:positionV relativeFrom="paragraph">
                  <wp:posOffset>219075</wp:posOffset>
                </wp:positionV>
                <wp:extent cx="4448175" cy="365760"/>
                <wp:effectExtent l="0" t="0" r="28575" b="15240"/>
                <wp:wrapNone/>
                <wp:docPr id="1272689182" name="Text Box 1272689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65760"/>
                        </a:xfrm>
                        <a:prstGeom prst="rect">
                          <a:avLst/>
                        </a:prstGeom>
                        <a:solidFill>
                          <a:srgbClr val="FFFFFF"/>
                        </a:solidFill>
                        <a:ln w="9525">
                          <a:solidFill>
                            <a:schemeClr val="bg1">
                              <a:lumMod val="85000"/>
                            </a:schemeClr>
                          </a:solidFill>
                          <a:miter lim="800000"/>
                          <a:headEnd/>
                          <a:tailEnd/>
                        </a:ln>
                      </wps:spPr>
                      <wps:txbx>
                        <w:txbxContent>
                          <w:sdt>
                            <w:sdtPr>
                              <w:id w:val="1298952757"/>
                            </w:sdtPr>
                            <w:sdtContent>
                              <w:p w14:paraId="4126B632"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30CEEC" id="Text Box 1272689182" o:spid="_x0000_s1030" type="#_x0000_t202" style="position:absolute;margin-left:132.9pt;margin-top:17.25pt;width:350.25pt;height:28.8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" strokecolor="#d8d8d8 [2732]">
                <v:textbox>
                  <w:txbxContent>
                    <w:sdt>
                      <w:sdtPr>
                        <w:id w:val="1298952757"/>
                      </w:sdtPr>
                      <w:sdtContent>
                        <w:p w14:paraId="4126B632" w14:textId="77777777" w:rsidR="009B3E1A" w:rsidRDefault="009B3E1A" w:rsidP="009B3E1A">
                          <w:r>
                            <w:t>…</w:t>
                          </w:r>
                        </w:p>
                      </w:sdtContent>
                    </w:sdt>
                  </w:txbxContent>
                </v:textbox>
              </v:shape>
            </w:pict>
          </mc:Fallback>
        </mc:AlternateContent>
      </w:r>
    </w:p>
    <w:p w14:paraId="592D0075" w14:textId="77777777" w:rsidR="009B3E1A" w:rsidRPr="00894F0F" w:rsidRDefault="009B3E1A" w:rsidP="009B3E1A">
      <w:pPr>
        <w:rPr>
          <w:rFonts w:eastAsia="Arial" w:cs="Arial"/>
          <w:color w:val="000000" w:themeColor="text1"/>
        </w:rPr>
      </w:pPr>
      <w:r w:rsidRPr="00894F0F">
        <w:rPr>
          <w:rFonts w:eastAsia="Arial" w:cs="Arial"/>
          <w:color w:val="000000" w:themeColor="text1"/>
        </w:rPr>
        <w:t>RPC reference number:</w:t>
      </w:r>
      <w:r>
        <w:rPr>
          <w:rFonts w:eastAsia="Arial" w:cs="Arial"/>
          <w:color w:val="000000" w:themeColor="text1"/>
        </w:rPr>
        <w:t xml:space="preserve">  </w:t>
      </w:r>
    </w:p>
    <w:p w14:paraId="2E777A9F"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9" behindDoc="0" locked="0" layoutInCell="1" allowOverlap="1" wp14:anchorId="20B78EEB" wp14:editId="7010E611">
                <wp:simplePos x="0" y="0"/>
                <wp:positionH relativeFrom="column">
                  <wp:posOffset>1527677</wp:posOffset>
                </wp:positionH>
                <wp:positionV relativeFrom="paragraph">
                  <wp:posOffset>233280</wp:posOffset>
                </wp:positionV>
                <wp:extent cx="4610100" cy="510363"/>
                <wp:effectExtent l="0" t="0" r="19050" b="23495"/>
                <wp:wrapNone/>
                <wp:docPr id="757525643" name="Text Box 757525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10363"/>
                        </a:xfrm>
                        <a:prstGeom prst="rect">
                          <a:avLst/>
                        </a:prstGeom>
                        <a:solidFill>
                          <a:srgbClr val="FFFFFF"/>
                        </a:solidFill>
                        <a:ln w="9525">
                          <a:solidFill>
                            <a:schemeClr val="bg1">
                              <a:lumMod val="85000"/>
                            </a:schemeClr>
                          </a:solidFill>
                          <a:miter lim="800000"/>
                          <a:headEnd/>
                          <a:tailEnd/>
                        </a:ln>
                      </wps:spPr>
                      <wps:txbx>
                        <w:txbxContent>
                          <w:sdt>
                            <w:sdtPr>
                              <w:id w:val="-2042806483"/>
                            </w:sdtPr>
                            <w:sdtContent>
                              <w:p w14:paraId="79C8929D" w14:textId="28605E06" w:rsidR="009B3E1A" w:rsidRDefault="000C0F79" w:rsidP="009B3E1A">
                                <w:r>
                                  <w:t>Rachel McCann, Head of Energy Policy,</w:t>
                                </w:r>
                                <w:r w:rsidR="00DE093C">
                                  <w:t xml:space="preserve"> HSE</w:t>
                                </w:r>
                                <w:r>
                                  <w:t xml:space="preserve"> </w:t>
                                </w:r>
                                <w:r w:rsidR="006E3236">
                                  <w:t>Rachel.mccann@hse.gov.uk</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78EEB" id="Text Box 757525643" o:spid="_x0000_s1031" type="#_x0000_t202" style="position:absolute;margin-left:120.3pt;margin-top:18.35pt;width:363pt;height:40.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" strokecolor="#d8d8d8 [2732]">
                <v:textbox>
                  <w:txbxContent>
                    <w:sdt>
                      <w:sdtPr>
                        <w:id w:val="-2042806483"/>
                      </w:sdtPr>
                      <w:sdtContent>
                        <w:p w14:paraId="79C8929D" w14:textId="28605E06" w:rsidR="009B3E1A" w:rsidRDefault="000C0F79" w:rsidP="009B3E1A">
                          <w:r>
                            <w:t>Rachel McCann, Head of Energy Policy,</w:t>
                          </w:r>
                          <w:r w:rsidR="00DE093C">
                            <w:t xml:space="preserve"> HSE</w:t>
                          </w:r>
                          <w:r>
                            <w:t xml:space="preserve"> </w:t>
                          </w:r>
                          <w:r w:rsidR="006E3236">
                            <w:t>Rachel.mccann@hse.gov.uk</w:t>
                          </w:r>
                        </w:p>
                      </w:sdtContent>
                    </w:sdt>
                  </w:txbxContent>
                </v:textbox>
              </v:shape>
            </w:pict>
          </mc:Fallback>
        </mc:AlternateContent>
      </w:r>
    </w:p>
    <w:p w14:paraId="38A7F1BD" w14:textId="77777777" w:rsidR="009B3E1A" w:rsidRPr="00894F0F" w:rsidRDefault="009B3E1A" w:rsidP="009B3E1A">
      <w:pPr>
        <w:rPr>
          <w:rFonts w:eastAsia="Arial" w:cs="Arial"/>
          <w:color w:val="000000" w:themeColor="text1"/>
        </w:rPr>
      </w:pPr>
      <w:r w:rsidRPr="00894F0F">
        <w:rPr>
          <w:rFonts w:eastAsia="Arial" w:cs="Arial"/>
          <w:color w:val="000000" w:themeColor="text1"/>
        </w:rPr>
        <w:t>Contact for enquiries:</w:t>
      </w:r>
      <w:r>
        <w:rPr>
          <w:rFonts w:eastAsia="Arial" w:cs="Arial"/>
          <w:color w:val="000000" w:themeColor="text1"/>
        </w:rPr>
        <w:t xml:space="preserve">  </w:t>
      </w:r>
    </w:p>
    <w:p w14:paraId="1DF1C08B"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50" behindDoc="0" locked="0" layoutInCell="1" allowOverlap="1" wp14:anchorId="3DF27A41" wp14:editId="1A48ED6D">
                <wp:simplePos x="0" y="0"/>
                <wp:positionH relativeFrom="column">
                  <wp:posOffset>440055</wp:posOffset>
                </wp:positionH>
                <wp:positionV relativeFrom="paragraph">
                  <wp:posOffset>236855</wp:posOffset>
                </wp:positionV>
                <wp:extent cx="5695950" cy="365760"/>
                <wp:effectExtent l="0" t="0" r="19050" b="15240"/>
                <wp:wrapNone/>
                <wp:docPr id="1813452189" name="Text Box 181345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65760"/>
                        </a:xfrm>
                        <a:prstGeom prst="rect">
                          <a:avLst/>
                        </a:prstGeom>
                        <a:solidFill>
                          <a:srgbClr val="FFFFFF"/>
                        </a:solidFill>
                        <a:ln w="9525">
                          <a:solidFill>
                            <a:schemeClr val="bg1">
                              <a:lumMod val="85000"/>
                            </a:schemeClr>
                          </a:solidFill>
                          <a:miter lim="800000"/>
                          <a:headEnd/>
                          <a:tailEnd/>
                        </a:ln>
                      </wps:spPr>
                      <wps:txbx>
                        <w:txbxContent>
                          <w:sdt>
                            <w:sdtPr>
                              <w:id w:val="1083115024"/>
                            </w:sdtPr>
                            <w:sdtEndPr>
                              <w:rPr>
                                <w:highlight w:val="yellow"/>
                              </w:rPr>
                            </w:sdtEndPr>
                            <w:sdtContent>
                              <w:p w14:paraId="021A14D0" w14:textId="29730BF2" w:rsidR="009B3E1A" w:rsidRDefault="001A08F3" w:rsidP="009B3E1A">
                                <w:r w:rsidRPr="001A08F3">
                                  <w:t>18</w:t>
                                </w:r>
                                <w:r w:rsidR="00BE0E9D" w:rsidRPr="001A08F3">
                                  <w:t xml:space="preserve"> October 2024</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DF27A41" id="Text Box 1813452189" o:spid="_x0000_s1032" type="#_x0000_t202" style="position:absolute;margin-left:34.65pt;margin-top:18.65pt;width:448.5pt;height:28.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" strokecolor="#d8d8d8 [2732]">
                <v:textbox>
                  <w:txbxContent>
                    <w:sdt>
                      <w:sdtPr>
                        <w:id w:val="1083115024"/>
                      </w:sdtPr>
                      <w:sdtEndPr>
                        <w:rPr>
                          <w:highlight w:val="yellow"/>
                        </w:rPr>
                      </w:sdtEndPr>
                      <w:sdtContent>
                        <w:p w14:paraId="021A14D0" w14:textId="29730BF2" w:rsidR="009B3E1A" w:rsidRDefault="001A08F3" w:rsidP="009B3E1A">
                          <w:r w:rsidRPr="001A08F3">
                            <w:t>18</w:t>
                          </w:r>
                          <w:r w:rsidR="00BE0E9D" w:rsidRPr="001A08F3">
                            <w:t xml:space="preserve"> October 2024</w:t>
                          </w:r>
                        </w:p>
                      </w:sdtContent>
                    </w:sdt>
                  </w:txbxContent>
                </v:textbox>
              </v:shape>
            </w:pict>
          </mc:Fallback>
        </mc:AlternateContent>
      </w:r>
    </w:p>
    <w:p w14:paraId="5E746904" w14:textId="77777777" w:rsidR="009B3E1A" w:rsidRPr="00894F0F" w:rsidRDefault="009B3E1A" w:rsidP="009B3E1A">
      <w:pPr>
        <w:rPr>
          <w:rFonts w:eastAsia="Arial" w:cs="Arial"/>
          <w:color w:val="000000" w:themeColor="text1"/>
        </w:rPr>
      </w:pPr>
      <w:r w:rsidRPr="00894F0F">
        <w:rPr>
          <w:rFonts w:eastAsia="Arial" w:cs="Arial"/>
          <w:color w:val="000000" w:themeColor="text1"/>
        </w:rPr>
        <w:t>Date:</w:t>
      </w:r>
      <w:r>
        <w:rPr>
          <w:rFonts w:eastAsia="Arial" w:cs="Arial"/>
          <w:color w:val="000000" w:themeColor="text1"/>
        </w:rPr>
        <w:t xml:space="preserve">  </w:t>
      </w:r>
    </w:p>
    <w:p w14:paraId="1CE7BAAD" w14:textId="77777777" w:rsidR="00EB7DCA" w:rsidRDefault="00EB7DCA" w:rsidP="00F278B1">
      <w:pPr>
        <w:spacing w:before="160" w:line="276" w:lineRule="auto"/>
        <w:rPr>
          <w:b/>
          <w:sz w:val="36"/>
          <w:szCs w:val="36"/>
        </w:rPr>
      </w:pPr>
    </w:p>
    <w:p w14:paraId="63B8D73F" w14:textId="064EED06" w:rsidR="00921567" w:rsidRPr="00F278B1" w:rsidRDefault="00BF0F1D" w:rsidP="00F278B1">
      <w:pPr>
        <w:spacing w:before="160" w:line="276" w:lineRule="auto"/>
        <w:rPr>
          <w:b/>
          <w:sz w:val="36"/>
          <w:szCs w:val="36"/>
        </w:rPr>
      </w:pPr>
      <w:r w:rsidRPr="00F278B1">
        <w:rPr>
          <w:b/>
          <w:sz w:val="36"/>
          <w:szCs w:val="36"/>
        </w:rPr>
        <w:t xml:space="preserve">Summary </w:t>
      </w:r>
      <w:r w:rsidR="00921567" w:rsidRPr="00F278B1">
        <w:rPr>
          <w:b/>
          <w:sz w:val="36"/>
          <w:szCs w:val="36"/>
        </w:rPr>
        <w:t xml:space="preserve"> </w:t>
      </w:r>
    </w:p>
    <w:p w14:paraId="5C18F33E" w14:textId="43C4C6B4" w:rsidR="00651D45" w:rsidRPr="00CB599F" w:rsidRDefault="00176579" w:rsidP="00F278B1">
      <w:pPr>
        <w:pStyle w:val="ListParagraph"/>
        <w:numPr>
          <w:ilvl w:val="1"/>
          <w:numId w:val="5"/>
        </w:numPr>
        <w:spacing w:after="0"/>
        <w:ind w:left="567" w:hanging="567"/>
        <w:contextualSpacing w:val="0"/>
        <w:jc w:val="both"/>
      </w:pPr>
      <w:r w:rsidRPr="00921567">
        <w:t>HM Government is supporting the development of industrial clusters that will co-locate high energy industries with onshore hydrogen production, Carbon Capture Usage and Storage (CCUS) projects, and offshore hydrogen production using wind turbines. On 4 October 2024 the Department for Energy Security and Net Zero (DESNZ) announced</w:t>
      </w:r>
      <w:r>
        <w:rPr>
          <w:rStyle w:val="FootnoteReference"/>
          <w:rFonts w:asciiTheme="minorBidi" w:hAnsiTheme="minorBidi" w:cstheme="minorBidi"/>
          <w:bCs/>
          <w:szCs w:val="24"/>
        </w:rPr>
        <w:footnoteReference w:id="2"/>
      </w:r>
      <w:r w:rsidRPr="00921567">
        <w:t xml:space="preserve"> that funding of up to £21.7 billion over the next 25 years will be invested in the CCUS sector in the UK.</w:t>
      </w:r>
      <w:r w:rsidRPr="00921567" w:rsidDel="00D127AC">
        <w:t xml:space="preserve"> </w:t>
      </w:r>
      <w:r w:rsidRPr="00921567">
        <w:t>Offshore Hydrogen projects have been included in the Hydrogen Allocation Rounds process for projects that may receive government funding</w:t>
      </w:r>
      <w:r w:rsidRPr="00AB3E68">
        <w:rPr>
          <w:rStyle w:val="FootnoteReference"/>
          <w:rFonts w:asciiTheme="minorBidi" w:hAnsiTheme="minorBidi" w:cstheme="minorBidi"/>
          <w:bCs/>
          <w:szCs w:val="24"/>
        </w:rPr>
        <w:footnoteReference w:id="3"/>
      </w:r>
      <w:r w:rsidRPr="00921567">
        <w:t>.</w:t>
      </w:r>
    </w:p>
    <w:p w14:paraId="44387507" w14:textId="77777777" w:rsidR="00651D45" w:rsidRPr="00CB599F" w:rsidRDefault="00651D45" w:rsidP="00F278B1">
      <w:pPr>
        <w:pStyle w:val="ListParagraph"/>
        <w:spacing w:after="0"/>
        <w:ind w:left="567" w:hanging="567"/>
        <w:contextualSpacing w:val="0"/>
        <w:jc w:val="both"/>
      </w:pPr>
    </w:p>
    <w:p w14:paraId="44EE6FC6" w14:textId="72984CBB" w:rsidR="00651D45" w:rsidRPr="00CB599F" w:rsidRDefault="0047731B" w:rsidP="00F278B1">
      <w:pPr>
        <w:pStyle w:val="ListParagraph"/>
        <w:numPr>
          <w:ilvl w:val="1"/>
          <w:numId w:val="5"/>
        </w:numPr>
        <w:spacing w:after="0"/>
        <w:ind w:left="567" w:hanging="567"/>
        <w:contextualSpacing w:val="0"/>
        <w:jc w:val="both"/>
      </w:pPr>
      <w:r w:rsidRPr="009612DC">
        <w:rPr>
          <w:rFonts w:asciiTheme="minorBidi" w:hAnsiTheme="minorBidi" w:cstheme="minorBidi"/>
        </w:rPr>
        <w:t>HSE considers transport of carbon dioxide (CO</w:t>
      </w:r>
      <w:r w:rsidRPr="009612DC">
        <w:rPr>
          <w:rFonts w:asciiTheme="minorBidi" w:hAnsiTheme="minorBidi" w:cstheme="minorBidi"/>
          <w:vertAlign w:val="subscript"/>
        </w:rPr>
        <w:t>2</w:t>
      </w:r>
      <w:r w:rsidRPr="009612DC">
        <w:rPr>
          <w:rFonts w:asciiTheme="minorBidi" w:hAnsiTheme="minorBidi" w:cstheme="minorBidi"/>
        </w:rPr>
        <w:t>) by pipeline, and other work activities connected to the offshore storage of CO</w:t>
      </w:r>
      <w:r w:rsidRPr="009612DC">
        <w:rPr>
          <w:rFonts w:asciiTheme="minorBidi" w:hAnsiTheme="minorBidi" w:cstheme="minorBidi"/>
          <w:vertAlign w:val="subscript"/>
        </w:rPr>
        <w:t xml:space="preserve">2 </w:t>
      </w:r>
      <w:r w:rsidRPr="009612DC">
        <w:rPr>
          <w:rFonts w:asciiTheme="minorBidi" w:hAnsiTheme="minorBidi" w:cstheme="minorBidi"/>
        </w:rPr>
        <w:t>and the offshore generation of hydrogen to constitute a ‘major accident hazard’</w:t>
      </w:r>
      <w:r w:rsidR="00A52E4D" w:rsidRPr="009612DC">
        <w:rPr>
          <w:rFonts w:asciiTheme="minorBidi" w:hAnsiTheme="minorBidi" w:cstheme="minorBidi"/>
        </w:rPr>
        <w:t xml:space="preserve"> (see paragraphs 2.2.1-2.2.6)</w:t>
      </w:r>
      <w:r w:rsidRPr="009612DC">
        <w:rPr>
          <w:rFonts w:asciiTheme="minorBidi" w:hAnsiTheme="minorBidi" w:cstheme="minorBidi"/>
        </w:rPr>
        <w:t>.</w:t>
      </w:r>
      <w:r w:rsidRPr="0047731B">
        <w:rPr>
          <w:rFonts w:asciiTheme="minorBidi" w:hAnsiTheme="minorBidi" w:cstheme="minorBidi"/>
        </w:rPr>
        <w:t xml:space="preserve"> This is a generic term for industries that could cause catastrophic harm to people and the environment such as offshore oil and gas production, manufacture and storage of hazardous chemicals, transportation of dangerous substances in pipelines and the manufacture and storage of civil explosives.</w:t>
      </w:r>
    </w:p>
    <w:p w14:paraId="0A42DDCB" w14:textId="77777777" w:rsidR="00651D45" w:rsidRPr="00CB599F" w:rsidRDefault="00651D45" w:rsidP="00F278B1">
      <w:pPr>
        <w:pStyle w:val="ListParagraph"/>
        <w:spacing w:after="0"/>
        <w:ind w:left="567" w:hanging="567"/>
        <w:contextualSpacing w:val="0"/>
        <w:jc w:val="both"/>
      </w:pPr>
    </w:p>
    <w:p w14:paraId="42436693" w14:textId="4B7E83F2" w:rsidR="00651D45" w:rsidRPr="00F669B7" w:rsidRDefault="0033537B" w:rsidP="00F278B1">
      <w:pPr>
        <w:pStyle w:val="ListParagraph"/>
        <w:numPr>
          <w:ilvl w:val="1"/>
          <w:numId w:val="5"/>
        </w:numPr>
        <w:spacing w:after="0"/>
        <w:ind w:left="567" w:hanging="567"/>
        <w:contextualSpacing w:val="0"/>
        <w:jc w:val="both"/>
        <w:rPr>
          <w:rFonts w:asciiTheme="minorBidi" w:hAnsiTheme="minorBidi" w:cstheme="minorBidi"/>
        </w:rPr>
      </w:pPr>
      <w:r w:rsidRPr="005D022D">
        <w:rPr>
          <w:rFonts w:asciiTheme="minorBidi" w:hAnsiTheme="minorBidi" w:cstheme="minorBidi"/>
        </w:rPr>
        <w:lastRenderedPageBreak/>
        <w:t>Regulations made under the Health and Safety at Work etc. Act 1974</w:t>
      </w:r>
      <w:r>
        <w:rPr>
          <w:rStyle w:val="FootnoteReference"/>
          <w:rFonts w:asciiTheme="minorBidi" w:hAnsiTheme="minorBidi" w:cstheme="minorBidi"/>
        </w:rPr>
        <w:footnoteReference w:id="4"/>
      </w:r>
      <w:r w:rsidRPr="005D022D">
        <w:rPr>
          <w:rFonts w:asciiTheme="minorBidi" w:hAnsiTheme="minorBidi" w:cstheme="minorBidi"/>
        </w:rPr>
        <w:t xml:space="preserve"> (HSWA) concerning offshore activities and the transportation of dangerous </w:t>
      </w:r>
      <w:r w:rsidR="00CD799A">
        <w:rPr>
          <w:rFonts w:asciiTheme="minorBidi" w:hAnsiTheme="minorBidi" w:cstheme="minorBidi"/>
        </w:rPr>
        <w:t>fluids</w:t>
      </w:r>
      <w:r w:rsidRPr="005D022D">
        <w:rPr>
          <w:rFonts w:asciiTheme="minorBidi" w:hAnsiTheme="minorBidi" w:cstheme="minorBidi"/>
        </w:rPr>
        <w:t xml:space="preserve"> in pipelines were written, primarily, for the regulation of hydrocarbons</w:t>
      </w:r>
      <w:r w:rsidR="0003646C">
        <w:rPr>
          <w:rFonts w:asciiTheme="minorBidi" w:hAnsiTheme="minorBidi" w:cstheme="minorBidi"/>
        </w:rPr>
        <w:t xml:space="preserve"> (</w:t>
      </w:r>
      <w:r w:rsidR="00275495">
        <w:rPr>
          <w:rFonts w:asciiTheme="minorBidi" w:hAnsiTheme="minorBidi" w:cstheme="minorBidi"/>
        </w:rPr>
        <w:t xml:space="preserve">for example, </w:t>
      </w:r>
      <w:r w:rsidR="0003646C">
        <w:rPr>
          <w:rFonts w:asciiTheme="minorBidi" w:hAnsiTheme="minorBidi" w:cstheme="minorBidi"/>
        </w:rPr>
        <w:t>crude oil, petroleum</w:t>
      </w:r>
      <w:r w:rsidR="00275495">
        <w:rPr>
          <w:rFonts w:asciiTheme="minorBidi" w:hAnsiTheme="minorBidi" w:cstheme="minorBidi"/>
        </w:rPr>
        <w:t xml:space="preserve"> and natural gas)</w:t>
      </w:r>
      <w:r w:rsidRPr="005D022D">
        <w:rPr>
          <w:rFonts w:asciiTheme="minorBidi" w:hAnsiTheme="minorBidi" w:cstheme="minorBidi"/>
        </w:rPr>
        <w:t xml:space="preserve">. HSE’s review of the existing major hazards regulatory framework and legal advice indicates that the definitions and application do not fully, clearly, or consistently apply </w:t>
      </w:r>
      <w:r w:rsidRPr="007D61CE">
        <w:rPr>
          <w:rFonts w:asciiTheme="minorBidi" w:hAnsiTheme="minorBidi" w:cstheme="minorBidi"/>
        </w:rPr>
        <w:t>to the proposed CCUS operations or offshore hydrogen production, limiting HSE’s ability to influence safety standards and control measures as these industries develop</w:t>
      </w:r>
      <w:r>
        <w:rPr>
          <w:rFonts w:asciiTheme="minorBidi" w:hAnsiTheme="minorBidi" w:cstheme="minorBidi"/>
        </w:rPr>
        <w:t>.</w:t>
      </w:r>
    </w:p>
    <w:p w14:paraId="0B244D34" w14:textId="77777777" w:rsidR="00F669B7" w:rsidRDefault="00F669B7" w:rsidP="00F278B1">
      <w:pPr>
        <w:pStyle w:val="ListParagraph"/>
        <w:spacing w:after="0"/>
        <w:ind w:hanging="567"/>
        <w:contextualSpacing w:val="0"/>
      </w:pPr>
    </w:p>
    <w:p w14:paraId="520B00A3" w14:textId="49C5943B" w:rsidR="00F669B7" w:rsidRPr="0025623A" w:rsidRDefault="00F669B7" w:rsidP="00F278B1">
      <w:pPr>
        <w:pStyle w:val="ListParagraph"/>
        <w:numPr>
          <w:ilvl w:val="1"/>
          <w:numId w:val="5"/>
        </w:numPr>
        <w:spacing w:after="0"/>
        <w:ind w:left="567" w:hanging="567"/>
        <w:contextualSpacing w:val="0"/>
        <w:jc w:val="both"/>
        <w:rPr>
          <w:rFonts w:asciiTheme="minorBidi" w:hAnsiTheme="minorBidi" w:cstheme="minorBidi"/>
        </w:rPr>
      </w:pPr>
      <w:r w:rsidRPr="007F0B4E">
        <w:rPr>
          <w:rFonts w:asciiTheme="minorBidi" w:hAnsiTheme="minorBidi" w:cstheme="minorBidi"/>
        </w:rPr>
        <w:t>HSE’s preferred option to address the problem (detailed in</w:t>
      </w:r>
      <w:r w:rsidR="000F0500">
        <w:rPr>
          <w:rFonts w:asciiTheme="minorBidi" w:hAnsiTheme="minorBidi" w:cstheme="minorBidi"/>
        </w:rPr>
        <w:t xml:space="preserve"> Section 4</w:t>
      </w:r>
      <w:r w:rsidRPr="007F0B4E">
        <w:rPr>
          <w:rFonts w:asciiTheme="minorBidi" w:hAnsiTheme="minorBidi" w:cstheme="minorBidi"/>
        </w:rPr>
        <w:t>) is to make changes to certain regulations that form part of the major hazards regulatory framework and relate to major hazards work activities. This will ensure that regulations are appropriate for these emerging technologies and that dutyholders have clarity in relation to their duties under the framework to ensure that major hazards are proportionately managed.</w:t>
      </w:r>
      <w:r w:rsidRPr="007F0B4E" w:rsidDel="004D5D50">
        <w:rPr>
          <w:rFonts w:asciiTheme="minorBidi" w:hAnsiTheme="minorBidi" w:cstheme="minorBidi"/>
        </w:rPr>
        <w:t xml:space="preserve"> </w:t>
      </w:r>
      <w:r w:rsidRPr="3C01528C">
        <w:rPr>
          <w:rFonts w:asciiTheme="minorBidi" w:hAnsiTheme="minorBidi" w:cstheme="minorBidi"/>
        </w:rPr>
        <w:t xml:space="preserve">Dutyholders include pipeline operators, operators of plants that will capture </w:t>
      </w:r>
      <w:r>
        <w:t>CO</w:t>
      </w:r>
      <w:r w:rsidRPr="3C01528C">
        <w:rPr>
          <w:vertAlign w:val="subscript"/>
        </w:rPr>
        <w:t xml:space="preserve">2, </w:t>
      </w:r>
      <w:r w:rsidRPr="3C01528C">
        <w:rPr>
          <w:rFonts w:asciiTheme="minorBidi" w:hAnsiTheme="minorBidi" w:cstheme="minorBidi"/>
        </w:rPr>
        <w:t>and operators of offshore installations.</w:t>
      </w:r>
    </w:p>
    <w:p w14:paraId="7626E077" w14:textId="77777777" w:rsidR="003C3F28" w:rsidRPr="004D038D" w:rsidRDefault="003C3F28" w:rsidP="00F278B1">
      <w:pPr>
        <w:pStyle w:val="ListParagraph"/>
        <w:spacing w:after="0"/>
        <w:ind w:left="567" w:hanging="567"/>
        <w:contextualSpacing w:val="0"/>
        <w:rPr>
          <w:rFonts w:asciiTheme="minorBidi" w:hAnsiTheme="minorBidi" w:cstheme="minorBidi"/>
        </w:rPr>
      </w:pPr>
    </w:p>
    <w:p w14:paraId="4218D21E" w14:textId="0167C225" w:rsidR="00651D45" w:rsidRPr="00CB599F" w:rsidRDefault="00777A88" w:rsidP="00F278B1">
      <w:pPr>
        <w:pStyle w:val="ListParagraph"/>
        <w:numPr>
          <w:ilvl w:val="1"/>
          <w:numId w:val="5"/>
        </w:numPr>
        <w:spacing w:after="0"/>
        <w:ind w:left="567" w:hanging="567"/>
        <w:contextualSpacing w:val="0"/>
        <w:jc w:val="both"/>
      </w:pPr>
      <w:proofErr w:type="gramStart"/>
      <w:r w:rsidRPr="0028154A">
        <w:rPr>
          <w:bCs/>
          <w:szCs w:val="24"/>
        </w:rPr>
        <w:t>Early stage</w:t>
      </w:r>
      <w:proofErr w:type="gramEnd"/>
      <w:r w:rsidRPr="0028154A">
        <w:rPr>
          <w:bCs/>
          <w:szCs w:val="24"/>
        </w:rPr>
        <w:t xml:space="preserve"> cost-benefit analysis </w:t>
      </w:r>
      <w:r>
        <w:rPr>
          <w:bCs/>
          <w:szCs w:val="24"/>
        </w:rPr>
        <w:t xml:space="preserve">for the preferred option </w:t>
      </w:r>
      <w:r w:rsidRPr="0028154A">
        <w:rPr>
          <w:bCs/>
          <w:szCs w:val="24"/>
        </w:rPr>
        <w:t xml:space="preserve">indicates that the likely annualised cost </w:t>
      </w:r>
      <w:r>
        <w:rPr>
          <w:bCs/>
          <w:szCs w:val="24"/>
        </w:rPr>
        <w:t>of compliance</w:t>
      </w:r>
      <w:r w:rsidRPr="0028154A">
        <w:rPr>
          <w:bCs/>
          <w:szCs w:val="24"/>
        </w:rPr>
        <w:t xml:space="preserve"> per offshore </w:t>
      </w:r>
      <w:r>
        <w:rPr>
          <w:bCs/>
          <w:szCs w:val="24"/>
        </w:rPr>
        <w:t xml:space="preserve">hydrogen </w:t>
      </w:r>
      <w:r w:rsidRPr="0028154A">
        <w:rPr>
          <w:bCs/>
          <w:szCs w:val="24"/>
        </w:rPr>
        <w:t xml:space="preserve">installation is </w:t>
      </w:r>
      <w:r>
        <w:rPr>
          <w:bCs/>
          <w:szCs w:val="24"/>
        </w:rPr>
        <w:t>between £590k and £2.1m</w:t>
      </w:r>
      <w:r w:rsidRPr="0028154A">
        <w:rPr>
          <w:bCs/>
          <w:szCs w:val="24"/>
        </w:rPr>
        <w:t xml:space="preserve">, with </w:t>
      </w:r>
      <w:r>
        <w:rPr>
          <w:bCs/>
          <w:szCs w:val="24"/>
        </w:rPr>
        <w:t>a best estimate of £1.3m per installation. Annualised c</w:t>
      </w:r>
      <w:r w:rsidRPr="0028154A">
        <w:rPr>
          <w:bCs/>
          <w:szCs w:val="24"/>
        </w:rPr>
        <w:t xml:space="preserve">osts for CCUS installations </w:t>
      </w:r>
      <w:r>
        <w:rPr>
          <w:bCs/>
          <w:szCs w:val="24"/>
        </w:rPr>
        <w:t>are estimated to be between £800k and £2.4m, with</w:t>
      </w:r>
      <w:r w:rsidRPr="0028154A">
        <w:rPr>
          <w:bCs/>
          <w:szCs w:val="24"/>
        </w:rPr>
        <w:t xml:space="preserve"> a </w:t>
      </w:r>
      <w:r>
        <w:rPr>
          <w:bCs/>
          <w:szCs w:val="24"/>
        </w:rPr>
        <w:t>best estimate</w:t>
      </w:r>
      <w:r w:rsidRPr="0028154A">
        <w:rPr>
          <w:bCs/>
          <w:szCs w:val="24"/>
        </w:rPr>
        <w:t xml:space="preserve"> of </w:t>
      </w:r>
      <w:r>
        <w:rPr>
          <w:bCs/>
          <w:szCs w:val="24"/>
        </w:rPr>
        <w:t>£1.6m</w:t>
      </w:r>
      <w:r w:rsidRPr="0028154A">
        <w:rPr>
          <w:bCs/>
          <w:szCs w:val="24"/>
        </w:rPr>
        <w:t xml:space="preserve"> </w:t>
      </w:r>
      <w:r>
        <w:rPr>
          <w:bCs/>
          <w:szCs w:val="24"/>
        </w:rPr>
        <w:t>per installation. CCUS costs are</w:t>
      </w:r>
      <w:r w:rsidRPr="0028154A">
        <w:rPr>
          <w:bCs/>
          <w:szCs w:val="24"/>
        </w:rPr>
        <w:t xml:space="preserve"> higher </w:t>
      </w:r>
      <w:proofErr w:type="gramStart"/>
      <w:r w:rsidRPr="0028154A">
        <w:rPr>
          <w:bCs/>
          <w:szCs w:val="24"/>
        </w:rPr>
        <w:t>as a result of</w:t>
      </w:r>
      <w:proofErr w:type="gramEnd"/>
      <w:r w:rsidRPr="0028154A">
        <w:rPr>
          <w:bCs/>
          <w:szCs w:val="24"/>
        </w:rPr>
        <w:t xml:space="preserve"> the use of wells, necessitating well examinations and well notifications.</w:t>
      </w:r>
    </w:p>
    <w:p w14:paraId="4D418DD5" w14:textId="77777777" w:rsidR="00651D45" w:rsidRPr="00CB599F" w:rsidRDefault="00651D45" w:rsidP="00F278B1">
      <w:pPr>
        <w:pStyle w:val="ListParagraph"/>
        <w:spacing w:after="0"/>
        <w:ind w:left="567" w:hanging="567"/>
        <w:contextualSpacing w:val="0"/>
        <w:jc w:val="both"/>
      </w:pPr>
    </w:p>
    <w:p w14:paraId="66EB0269" w14:textId="06B566EC" w:rsidR="00651D45" w:rsidRPr="00CB599F" w:rsidRDefault="00777A88" w:rsidP="00F278B1">
      <w:pPr>
        <w:pStyle w:val="ListParagraph"/>
        <w:numPr>
          <w:ilvl w:val="1"/>
          <w:numId w:val="5"/>
        </w:numPr>
        <w:spacing w:after="0"/>
        <w:ind w:left="567" w:hanging="567"/>
        <w:contextualSpacing w:val="0"/>
        <w:jc w:val="both"/>
      </w:pPr>
      <w:r w:rsidRPr="0028154A">
        <w:rPr>
          <w:bCs/>
          <w:szCs w:val="24"/>
        </w:rPr>
        <w:t>The likely cost of compliance per onshore CO</w:t>
      </w:r>
      <w:r w:rsidRPr="00A71753">
        <w:rPr>
          <w:bCs/>
          <w:szCs w:val="24"/>
          <w:vertAlign w:val="subscript"/>
        </w:rPr>
        <w:t>2</w:t>
      </w:r>
      <w:r>
        <w:rPr>
          <w:bCs/>
          <w:szCs w:val="24"/>
          <w:vertAlign w:val="subscript"/>
        </w:rPr>
        <w:t xml:space="preserve"> </w:t>
      </w:r>
      <w:r w:rsidRPr="0028154A">
        <w:rPr>
          <w:bCs/>
          <w:szCs w:val="24"/>
        </w:rPr>
        <w:t>CCUS pipeline is lower, although there is significant uncertainty around this cost estimate with a range of annualised costs between £</w:t>
      </w:r>
      <w:r>
        <w:rPr>
          <w:bCs/>
          <w:szCs w:val="24"/>
        </w:rPr>
        <w:t>5.4k</w:t>
      </w:r>
      <w:r w:rsidRPr="0028154A">
        <w:rPr>
          <w:bCs/>
          <w:szCs w:val="24"/>
        </w:rPr>
        <w:t xml:space="preserve"> and </w:t>
      </w:r>
      <w:r>
        <w:rPr>
          <w:bCs/>
          <w:szCs w:val="24"/>
        </w:rPr>
        <w:t>£260k, with a best estimate of £83k per pipeline</w:t>
      </w:r>
      <w:r w:rsidRPr="0028154A">
        <w:rPr>
          <w:bCs/>
          <w:szCs w:val="24"/>
        </w:rPr>
        <w:t>.</w:t>
      </w:r>
      <w:r>
        <w:rPr>
          <w:bCs/>
          <w:szCs w:val="24"/>
        </w:rPr>
        <w:t xml:space="preserve"> The range of potential costs for pipelines is particularly wide because they</w:t>
      </w:r>
      <w:r w:rsidR="00A10BBD">
        <w:rPr>
          <w:bCs/>
          <w:szCs w:val="24"/>
        </w:rPr>
        <w:t xml:space="preserve"> are</w:t>
      </w:r>
      <w:r>
        <w:rPr>
          <w:bCs/>
          <w:szCs w:val="24"/>
        </w:rPr>
        <w:t xml:space="preserve"> drawn from a survey of operators which received a limited response rate. These estimates will be improved through the consultation process.</w:t>
      </w:r>
    </w:p>
    <w:p w14:paraId="60C874C6" w14:textId="77777777" w:rsidR="00651D45" w:rsidRPr="00CB599F" w:rsidRDefault="00651D45" w:rsidP="00F278B1">
      <w:pPr>
        <w:pStyle w:val="ListParagraph"/>
        <w:spacing w:after="0"/>
        <w:ind w:left="567" w:hanging="567"/>
        <w:contextualSpacing w:val="0"/>
        <w:jc w:val="both"/>
      </w:pPr>
    </w:p>
    <w:p w14:paraId="0534A8B9" w14:textId="114B5A76" w:rsidR="00651D45" w:rsidRPr="00777A88" w:rsidRDefault="00777A88" w:rsidP="00F278B1">
      <w:pPr>
        <w:pStyle w:val="ListParagraph"/>
        <w:numPr>
          <w:ilvl w:val="1"/>
          <w:numId w:val="5"/>
        </w:numPr>
        <w:spacing w:after="0"/>
        <w:ind w:left="567" w:hanging="567"/>
        <w:contextualSpacing w:val="0"/>
        <w:jc w:val="both"/>
      </w:pPr>
      <w:r w:rsidRPr="0028154A">
        <w:rPr>
          <w:bCs/>
          <w:szCs w:val="24"/>
        </w:rPr>
        <w:t>The key uncertainty in this analysis is the number of installations and pipelines expected to begin operating over the appraisal period. Even with the highest quality data available this would remain highly uncertain as these industries are not yet operating and their ability to scale up depends on a vast range of unpredictable practical and economic factors.</w:t>
      </w:r>
    </w:p>
    <w:p w14:paraId="42766BA1" w14:textId="77777777" w:rsidR="00777A88" w:rsidRDefault="00777A88" w:rsidP="00F278B1">
      <w:pPr>
        <w:pStyle w:val="ListParagraph"/>
        <w:spacing w:after="0"/>
        <w:ind w:left="567" w:hanging="567"/>
        <w:contextualSpacing w:val="0"/>
        <w:jc w:val="both"/>
      </w:pPr>
    </w:p>
    <w:p w14:paraId="1E6DF70B" w14:textId="3CBC89F3" w:rsidR="00176579" w:rsidRPr="00777A88" w:rsidRDefault="00777A88" w:rsidP="00F278B1">
      <w:pPr>
        <w:pStyle w:val="ListParagraph"/>
        <w:numPr>
          <w:ilvl w:val="1"/>
          <w:numId w:val="5"/>
        </w:numPr>
        <w:spacing w:after="0"/>
        <w:ind w:left="567" w:hanging="567"/>
        <w:contextualSpacing w:val="0"/>
        <w:jc w:val="both"/>
      </w:pPr>
      <w:r w:rsidRPr="0007314F">
        <w:rPr>
          <w:bCs/>
          <w:szCs w:val="24"/>
        </w:rPr>
        <w:t xml:space="preserve">At this stage a reasonable assumption for industry size has only been made for offshore CCUS and sensitivity analysis has been undertaken around this assumption. This results in a likely annualised cost to industry of compliance </w:t>
      </w:r>
      <w:r>
        <w:rPr>
          <w:bCs/>
          <w:szCs w:val="24"/>
        </w:rPr>
        <w:t>of between £12m and £40m, with a best estimate of £26m.</w:t>
      </w:r>
    </w:p>
    <w:p w14:paraId="3C5B273F" w14:textId="77777777" w:rsidR="00777A88" w:rsidRDefault="00777A88" w:rsidP="00F278B1">
      <w:pPr>
        <w:pStyle w:val="ListParagraph"/>
        <w:spacing w:after="0"/>
        <w:ind w:left="567" w:hanging="567"/>
        <w:contextualSpacing w:val="0"/>
        <w:jc w:val="both"/>
      </w:pPr>
    </w:p>
    <w:p w14:paraId="0DB10B73" w14:textId="084C4F25" w:rsidR="00777A88" w:rsidRPr="00777A88" w:rsidRDefault="00777A88" w:rsidP="00F278B1">
      <w:pPr>
        <w:pStyle w:val="ListParagraph"/>
        <w:numPr>
          <w:ilvl w:val="1"/>
          <w:numId w:val="5"/>
        </w:numPr>
        <w:spacing w:after="0"/>
        <w:ind w:left="567" w:hanging="567"/>
        <w:contextualSpacing w:val="0"/>
        <w:jc w:val="both"/>
      </w:pPr>
      <w:r w:rsidRPr="00C93508">
        <w:rPr>
          <w:bCs/>
          <w:szCs w:val="24"/>
        </w:rPr>
        <w:t>These costs trade off against unquantified benefits which have been described qualitatively in the cost-benefit analysis. Based on prior examples, a major hazard incident could cost in the region of £1bn in impacts upon households, businesses and government. It is</w:t>
      </w:r>
      <w:r w:rsidR="00A55502">
        <w:rPr>
          <w:bCs/>
          <w:szCs w:val="24"/>
        </w:rPr>
        <w:t xml:space="preserve"> not</w:t>
      </w:r>
      <w:r w:rsidRPr="00C93508">
        <w:rPr>
          <w:bCs/>
          <w:szCs w:val="24"/>
        </w:rPr>
        <w:t xml:space="preserve"> known the degree to which compliance with offshore and onshore pipeline major hazard regulations reduce the risk of such a costly incident</w:t>
      </w:r>
      <w:r w:rsidR="001F3A46">
        <w:rPr>
          <w:bCs/>
          <w:szCs w:val="24"/>
        </w:rPr>
        <w:t>.</w:t>
      </w:r>
    </w:p>
    <w:p w14:paraId="5C10FF56" w14:textId="77777777" w:rsidR="00777A88" w:rsidRPr="00777A88" w:rsidRDefault="00777A88" w:rsidP="00F278B1">
      <w:pPr>
        <w:pStyle w:val="ListParagraph"/>
        <w:spacing w:after="0"/>
        <w:ind w:left="567" w:hanging="567"/>
        <w:contextualSpacing w:val="0"/>
        <w:jc w:val="both"/>
        <w:rPr>
          <w:rFonts w:asciiTheme="minorBidi" w:hAnsiTheme="minorBidi" w:cstheme="minorBidi"/>
        </w:rPr>
      </w:pPr>
    </w:p>
    <w:p w14:paraId="1F6807B3" w14:textId="276B4CDB" w:rsidR="00777A88" w:rsidRPr="00CB599F" w:rsidRDefault="00777A88" w:rsidP="00F278B1">
      <w:pPr>
        <w:pStyle w:val="ListParagraph"/>
        <w:numPr>
          <w:ilvl w:val="1"/>
          <w:numId w:val="5"/>
        </w:numPr>
        <w:tabs>
          <w:tab w:val="left" w:pos="567"/>
        </w:tabs>
        <w:spacing w:after="0"/>
        <w:ind w:left="567" w:hanging="567"/>
        <w:contextualSpacing w:val="0"/>
        <w:jc w:val="both"/>
      </w:pPr>
      <w:r w:rsidRPr="00777A88">
        <w:rPr>
          <w:rFonts w:asciiTheme="minorBidi" w:hAnsiTheme="minorBidi" w:cstheme="minorBidi"/>
        </w:rPr>
        <w:t>This Options Assessment (OA) sets out the problem definition and explains the process by which policy options were longlisted and shortlisted leading to a preferred option. A</w:t>
      </w:r>
      <w:r w:rsidRPr="002A5EB0">
        <w:t xml:space="preserve">nticipated </w:t>
      </w:r>
      <w:r w:rsidRPr="00F674A8">
        <w:t xml:space="preserve">costs and benefits </w:t>
      </w:r>
      <w:r w:rsidRPr="00282483">
        <w:t xml:space="preserve">of shortlisted options identified are analysed at </w:t>
      </w:r>
      <w:r w:rsidRPr="001F72B6">
        <w:t xml:space="preserve">Annex </w:t>
      </w:r>
      <w:r w:rsidR="00F669B7" w:rsidRPr="001F72B6">
        <w:t>1</w:t>
      </w:r>
      <w:r w:rsidRPr="001F72B6">
        <w:t xml:space="preserve">. </w:t>
      </w:r>
      <w:r w:rsidRPr="001F72B6">
        <w:rPr>
          <w:color w:val="0E101A"/>
        </w:rPr>
        <w:t>Alternatives</w:t>
      </w:r>
      <w:r w:rsidRPr="00777A88">
        <w:rPr>
          <w:color w:val="0E101A"/>
        </w:rPr>
        <w:t xml:space="preserve"> to regulation have been considered and have not been deemed to be appropriate due to the severity of the major hazard safety risks associated with these </w:t>
      </w:r>
      <w:r w:rsidR="00BB06E1">
        <w:rPr>
          <w:color w:val="0E101A"/>
        </w:rPr>
        <w:t>new</w:t>
      </w:r>
      <w:r w:rsidRPr="00777A88">
        <w:rPr>
          <w:color w:val="0E101A"/>
        </w:rPr>
        <w:t xml:space="preserve"> industries.</w:t>
      </w:r>
    </w:p>
    <w:p w14:paraId="05B11AC5" w14:textId="77777777" w:rsidR="00651D45" w:rsidRDefault="00651D45" w:rsidP="00F278B1">
      <w:pPr>
        <w:tabs>
          <w:tab w:val="left" w:pos="567"/>
        </w:tabs>
        <w:spacing w:after="0"/>
        <w:jc w:val="both"/>
      </w:pPr>
    </w:p>
    <w:p w14:paraId="4DF07909" w14:textId="77777777" w:rsidR="00C5616E" w:rsidRPr="00D0440A" w:rsidRDefault="00C5616E" w:rsidP="00F278B1">
      <w:pPr>
        <w:pStyle w:val="ListParagraph"/>
        <w:numPr>
          <w:ilvl w:val="0"/>
          <w:numId w:val="6"/>
        </w:numPr>
        <w:spacing w:before="160" w:line="276" w:lineRule="auto"/>
        <w:ind w:left="567" w:hanging="567"/>
        <w:rPr>
          <w:rStyle w:val="normaltextrun"/>
          <w:rFonts w:cs="Arial"/>
          <w:b/>
          <w:bCs/>
          <w:color w:val="000000"/>
          <w:sz w:val="36"/>
          <w:szCs w:val="36"/>
          <w:shd w:val="clear" w:color="auto" w:fill="FFFFFF"/>
        </w:rPr>
      </w:pPr>
      <w:r w:rsidRPr="00D0440A">
        <w:rPr>
          <w:rStyle w:val="normaltextrun"/>
          <w:rFonts w:cs="Arial"/>
          <w:b/>
          <w:bCs/>
          <w:color w:val="000000"/>
          <w:sz w:val="36"/>
          <w:szCs w:val="36"/>
          <w:shd w:val="clear" w:color="auto" w:fill="FFFFFF"/>
        </w:rPr>
        <w:t>Strategic case for proposed regulation</w:t>
      </w:r>
    </w:p>
    <w:p w14:paraId="1D602FAD" w14:textId="77777777" w:rsidR="00C5616E" w:rsidRPr="00CB599F" w:rsidRDefault="00C5616E" w:rsidP="00C5616E">
      <w:pPr>
        <w:pStyle w:val="ListParagraph"/>
        <w:spacing w:after="0"/>
        <w:ind w:left="792"/>
        <w:rPr>
          <w:b/>
          <w:bCs/>
          <w:sz w:val="28"/>
          <w:szCs w:val="28"/>
        </w:rPr>
      </w:pPr>
    </w:p>
    <w:p w14:paraId="0E11B0C7" w14:textId="77777777" w:rsidR="00C5616E" w:rsidRPr="00D0440A" w:rsidRDefault="00C5616E" w:rsidP="00C6364F">
      <w:pPr>
        <w:pStyle w:val="ListParagraph"/>
        <w:numPr>
          <w:ilvl w:val="1"/>
          <w:numId w:val="6"/>
        </w:numPr>
        <w:spacing w:after="0"/>
        <w:ind w:left="851" w:hanging="851"/>
        <w:rPr>
          <w:b/>
          <w:bCs/>
          <w:sz w:val="32"/>
          <w:szCs w:val="32"/>
        </w:rPr>
      </w:pPr>
      <w:r w:rsidRPr="00D0440A">
        <w:rPr>
          <w:b/>
          <w:sz w:val="32"/>
          <w:szCs w:val="32"/>
        </w:rPr>
        <w:t>Background</w:t>
      </w:r>
    </w:p>
    <w:p w14:paraId="57B78D38" w14:textId="77777777" w:rsidR="00C5616E" w:rsidRPr="00CB599F" w:rsidRDefault="00C5616E" w:rsidP="00C5616E">
      <w:pPr>
        <w:pStyle w:val="ListParagraph"/>
        <w:spacing w:after="0"/>
        <w:ind w:left="1224"/>
        <w:rPr>
          <w:szCs w:val="24"/>
        </w:rPr>
      </w:pPr>
    </w:p>
    <w:p w14:paraId="37B18FC3" w14:textId="1F11A270" w:rsidR="00C5616E" w:rsidRPr="00CB599F" w:rsidRDefault="0025623A" w:rsidP="00F278B1">
      <w:pPr>
        <w:pStyle w:val="ListParagraph"/>
        <w:numPr>
          <w:ilvl w:val="2"/>
          <w:numId w:val="6"/>
        </w:numPr>
        <w:tabs>
          <w:tab w:val="left" w:pos="567"/>
        </w:tabs>
        <w:spacing w:after="0" w:line="22" w:lineRule="atLeast"/>
        <w:ind w:left="567" w:hanging="567"/>
        <w:contextualSpacing w:val="0"/>
        <w:jc w:val="both"/>
        <w:rPr>
          <w:szCs w:val="24"/>
        </w:rPr>
      </w:pPr>
      <w:r w:rsidRPr="004D0628">
        <w:rPr>
          <w:rFonts w:asciiTheme="minorBidi" w:hAnsiTheme="minorBidi" w:cstheme="minorBidi"/>
          <w:bCs/>
          <w:szCs w:val="24"/>
        </w:rPr>
        <w:t>Through the Climate Change Act 2008</w:t>
      </w:r>
      <w:r>
        <w:rPr>
          <w:rStyle w:val="FootnoteReference"/>
          <w:rFonts w:asciiTheme="minorBidi" w:hAnsiTheme="minorBidi" w:cstheme="minorBidi"/>
          <w:bCs/>
          <w:szCs w:val="24"/>
        </w:rPr>
        <w:footnoteReference w:id="5"/>
      </w:r>
      <w:r w:rsidRPr="004D0628">
        <w:rPr>
          <w:rFonts w:asciiTheme="minorBidi" w:hAnsiTheme="minorBidi" w:cstheme="minorBidi"/>
          <w:bCs/>
          <w:szCs w:val="24"/>
        </w:rPr>
        <w:t>, the UK has a legally binding target to achieve Net Zero by 2050. The achievement of Net Zero targets will require changes to the UK’s energy mix, decarbonisation of existing industries, and the development of new industries. Two critical elements to delivery are the development of low or zero carbon hydrogen production and the development of CCUS to support decarbonisation of important industries where it is otherwise difficult to reduce emissions such as cement and steel production.</w:t>
      </w:r>
      <w:r w:rsidR="00C5616E" w:rsidRPr="00CB599F">
        <w:rPr>
          <w:szCs w:val="24"/>
        </w:rPr>
        <w:t xml:space="preserve"> </w:t>
      </w:r>
    </w:p>
    <w:p w14:paraId="31E4ED54" w14:textId="77777777" w:rsidR="00C5616E" w:rsidRPr="00CB599F" w:rsidRDefault="00C5616E" w:rsidP="00F278B1">
      <w:pPr>
        <w:pStyle w:val="ListParagraph"/>
        <w:tabs>
          <w:tab w:val="left" w:pos="567"/>
        </w:tabs>
        <w:spacing w:after="0" w:line="22" w:lineRule="atLeast"/>
        <w:ind w:left="567" w:hanging="567"/>
        <w:contextualSpacing w:val="0"/>
        <w:jc w:val="both"/>
        <w:rPr>
          <w:szCs w:val="24"/>
        </w:rPr>
      </w:pPr>
    </w:p>
    <w:p w14:paraId="36717FEA" w14:textId="35E7B545" w:rsidR="00C5616E" w:rsidRDefault="00E86864" w:rsidP="008E63F6">
      <w:pPr>
        <w:pStyle w:val="ListParagraph"/>
        <w:numPr>
          <w:ilvl w:val="2"/>
          <w:numId w:val="6"/>
        </w:numPr>
        <w:spacing w:after="0" w:line="22" w:lineRule="atLeast"/>
        <w:ind w:left="567" w:hanging="567"/>
        <w:contextualSpacing w:val="0"/>
        <w:jc w:val="both"/>
        <w:rPr>
          <w:szCs w:val="24"/>
        </w:rPr>
      </w:pPr>
      <w:r w:rsidRPr="004D0628">
        <w:rPr>
          <w:rFonts w:asciiTheme="minorBidi" w:hAnsiTheme="minorBidi" w:cstheme="minorBidi"/>
        </w:rPr>
        <w:t>HSWA is the basis of the UK health and safety regulatory framework, placing a fundamental general duty on employers to ensure, so far as is reasonably practicable, the health, safety and welfare at work of their employees, and of other people who may be affected by the work activity. HSWA provides powers to create secondary legislation, and HSE has introduced more prescriptive and specific regulations to apply to work activities that creat</w:t>
      </w:r>
      <w:r w:rsidR="00472F48">
        <w:rPr>
          <w:rFonts w:asciiTheme="minorBidi" w:hAnsiTheme="minorBidi" w:cstheme="minorBidi"/>
        </w:rPr>
        <w:t>e</w:t>
      </w:r>
      <w:r w:rsidRPr="004D0628">
        <w:rPr>
          <w:rFonts w:asciiTheme="minorBidi" w:hAnsiTheme="minorBidi" w:cstheme="minorBidi"/>
        </w:rPr>
        <w:t xml:space="preserve"> a major accident hazard risk.</w:t>
      </w:r>
      <w:r w:rsidR="00C5616E" w:rsidRPr="00CB599F">
        <w:rPr>
          <w:szCs w:val="24"/>
        </w:rPr>
        <w:t xml:space="preserve"> </w:t>
      </w:r>
    </w:p>
    <w:p w14:paraId="6D6D9C64" w14:textId="77777777" w:rsidR="007F0B4E" w:rsidRPr="007F0B4E" w:rsidRDefault="007F0B4E" w:rsidP="00F278B1">
      <w:pPr>
        <w:pStyle w:val="ListParagraph"/>
        <w:tabs>
          <w:tab w:val="left" w:pos="567"/>
        </w:tabs>
        <w:spacing w:after="0" w:line="22" w:lineRule="atLeast"/>
        <w:ind w:left="567"/>
        <w:contextualSpacing w:val="0"/>
        <w:rPr>
          <w:szCs w:val="24"/>
        </w:rPr>
      </w:pPr>
    </w:p>
    <w:p w14:paraId="0A9E13E3" w14:textId="1521E8C4" w:rsidR="007F0B4E" w:rsidRPr="007F0B4E" w:rsidRDefault="007F0B4E" w:rsidP="00F278B1">
      <w:pPr>
        <w:pStyle w:val="ListParagraph"/>
        <w:numPr>
          <w:ilvl w:val="2"/>
          <w:numId w:val="6"/>
        </w:numPr>
        <w:tabs>
          <w:tab w:val="left" w:pos="567"/>
        </w:tabs>
        <w:spacing w:after="0" w:line="22" w:lineRule="atLeast"/>
        <w:ind w:left="567" w:hanging="567"/>
        <w:contextualSpacing w:val="0"/>
        <w:jc w:val="both"/>
        <w:rPr>
          <w:szCs w:val="24"/>
        </w:rPr>
      </w:pPr>
      <w:r w:rsidRPr="007F0B4E">
        <w:rPr>
          <w:rFonts w:cs="Arial"/>
          <w:szCs w:val="24"/>
        </w:rPr>
        <w:t>CO</w:t>
      </w:r>
      <w:r w:rsidRPr="007F0B4E">
        <w:rPr>
          <w:rFonts w:cs="Arial"/>
          <w:szCs w:val="24"/>
          <w:vertAlign w:val="subscript"/>
        </w:rPr>
        <w:t>2</w:t>
      </w:r>
      <w:r w:rsidR="00F96433">
        <w:rPr>
          <w:rFonts w:cs="Arial"/>
          <w:szCs w:val="24"/>
          <w:vertAlign w:val="subscript"/>
        </w:rPr>
        <w:t xml:space="preserve"> </w:t>
      </w:r>
      <w:r w:rsidR="00F96433" w:rsidRPr="007F0B4E">
        <w:rPr>
          <w:rFonts w:eastAsia="Arial" w:cs="Arial"/>
          <w:szCs w:val="24"/>
        </w:rPr>
        <w:t>and</w:t>
      </w:r>
      <w:r w:rsidRPr="007F0B4E">
        <w:rPr>
          <w:rFonts w:eastAsia="Arial" w:cs="Arial"/>
          <w:szCs w:val="24"/>
        </w:rPr>
        <w:t xml:space="preserve"> </w:t>
      </w:r>
      <w:r w:rsidR="003003E2">
        <w:rPr>
          <w:rFonts w:eastAsia="Arial" w:cs="Arial"/>
          <w:szCs w:val="24"/>
        </w:rPr>
        <w:t>h</w:t>
      </w:r>
      <w:r w:rsidR="00F96433" w:rsidRPr="007F0B4E">
        <w:rPr>
          <w:rFonts w:eastAsia="Arial" w:cs="Arial"/>
          <w:szCs w:val="24"/>
        </w:rPr>
        <w:t xml:space="preserve">ydrogen </w:t>
      </w:r>
      <w:r w:rsidRPr="007F0B4E">
        <w:rPr>
          <w:rFonts w:eastAsia="Arial" w:cs="Arial"/>
          <w:szCs w:val="24"/>
        </w:rPr>
        <w:t>are both well-known and understood as industrial chemicals.</w:t>
      </w:r>
      <w:r>
        <w:rPr>
          <w:rFonts w:eastAsia="Arial" w:cs="Arial"/>
          <w:szCs w:val="24"/>
        </w:rPr>
        <w:t xml:space="preserve"> </w:t>
      </w:r>
      <w:r w:rsidRPr="007F0B4E">
        <w:rPr>
          <w:rFonts w:eastAsia="Arial" w:cs="Arial"/>
          <w:szCs w:val="24"/>
        </w:rPr>
        <w:t xml:space="preserve">Hydrogen can be used to produce ammonia, power vehicles, generate electricity, power industry, and heat homes or businesses. </w:t>
      </w:r>
      <w:r w:rsidRPr="007F0B4E">
        <w:rPr>
          <w:rFonts w:cs="Arial"/>
          <w:szCs w:val="24"/>
        </w:rPr>
        <w:t>CO</w:t>
      </w:r>
      <w:r w:rsidRPr="007F0B4E">
        <w:rPr>
          <w:rFonts w:cs="Arial"/>
          <w:szCs w:val="24"/>
          <w:vertAlign w:val="subscript"/>
        </w:rPr>
        <w:t>2</w:t>
      </w:r>
      <w:r w:rsidRPr="007F0B4E">
        <w:rPr>
          <w:rFonts w:eastAsia="Arial" w:cs="Arial"/>
          <w:szCs w:val="24"/>
        </w:rPr>
        <w:t xml:space="preserve"> is primarily used in food and beverage manufacture, medical and chemicals industry, or in agriculture.</w:t>
      </w:r>
    </w:p>
    <w:p w14:paraId="6191A1DD" w14:textId="77777777" w:rsidR="007F0B4E" w:rsidRPr="007F0B4E" w:rsidRDefault="007F0B4E" w:rsidP="00F278B1">
      <w:pPr>
        <w:pStyle w:val="ListParagraph"/>
        <w:tabs>
          <w:tab w:val="left" w:pos="567"/>
        </w:tabs>
        <w:spacing w:after="0" w:line="22" w:lineRule="atLeast"/>
        <w:ind w:left="567"/>
        <w:contextualSpacing w:val="0"/>
        <w:rPr>
          <w:szCs w:val="24"/>
        </w:rPr>
      </w:pPr>
    </w:p>
    <w:p w14:paraId="10E94F3D" w14:textId="03EEA9E2" w:rsidR="007F0B4E" w:rsidRPr="00CB599F" w:rsidRDefault="007F0B4E" w:rsidP="00F278B1">
      <w:pPr>
        <w:pStyle w:val="ListParagraph"/>
        <w:numPr>
          <w:ilvl w:val="2"/>
          <w:numId w:val="6"/>
        </w:numPr>
        <w:tabs>
          <w:tab w:val="left" w:pos="567"/>
        </w:tabs>
        <w:spacing w:after="0" w:line="22" w:lineRule="atLeast"/>
        <w:ind w:left="567" w:hanging="567"/>
        <w:contextualSpacing w:val="0"/>
        <w:jc w:val="both"/>
        <w:rPr>
          <w:szCs w:val="24"/>
        </w:rPr>
      </w:pPr>
      <w:r w:rsidRPr="007F0B4E">
        <w:rPr>
          <w:rFonts w:eastAsia="Arial" w:cs="Arial"/>
          <w:szCs w:val="24"/>
        </w:rPr>
        <w:t xml:space="preserve">However, their current applications differ from those now being proposed in which </w:t>
      </w:r>
      <w:r w:rsidRPr="007F0B4E">
        <w:rPr>
          <w:rFonts w:cs="Arial"/>
          <w:szCs w:val="24"/>
        </w:rPr>
        <w:t>CO</w:t>
      </w:r>
      <w:r w:rsidRPr="007F0B4E">
        <w:rPr>
          <w:rFonts w:cs="Arial"/>
          <w:szCs w:val="24"/>
          <w:vertAlign w:val="subscript"/>
        </w:rPr>
        <w:t>2</w:t>
      </w:r>
      <w:r w:rsidRPr="007F0B4E">
        <w:rPr>
          <w:rFonts w:eastAsia="Arial" w:cs="Arial"/>
          <w:szCs w:val="24"/>
        </w:rPr>
        <w:t xml:space="preserve"> will be captured in higher quantities, at high</w:t>
      </w:r>
      <w:r w:rsidR="000E0B67">
        <w:rPr>
          <w:rFonts w:eastAsia="Arial" w:cs="Arial"/>
          <w:szCs w:val="24"/>
        </w:rPr>
        <w:t>er</w:t>
      </w:r>
      <w:r w:rsidRPr="007F0B4E">
        <w:rPr>
          <w:rFonts w:eastAsia="Arial" w:cs="Arial"/>
          <w:szCs w:val="24"/>
        </w:rPr>
        <w:t xml:space="preserve"> pressure and </w:t>
      </w:r>
      <w:r w:rsidR="000E0B67">
        <w:rPr>
          <w:rFonts w:eastAsia="Arial" w:cs="Arial"/>
          <w:szCs w:val="24"/>
        </w:rPr>
        <w:t xml:space="preserve">be </w:t>
      </w:r>
      <w:r w:rsidRPr="007F0B4E">
        <w:rPr>
          <w:rFonts w:eastAsia="Arial" w:cs="Arial"/>
          <w:szCs w:val="24"/>
        </w:rPr>
        <w:t>highly refrigerated. For hydrogen</w:t>
      </w:r>
      <w:r w:rsidR="00592049">
        <w:rPr>
          <w:rFonts w:eastAsia="Arial" w:cs="Arial"/>
          <w:szCs w:val="24"/>
        </w:rPr>
        <w:t>,</w:t>
      </w:r>
      <w:r w:rsidRPr="007F0B4E">
        <w:rPr>
          <w:rFonts w:eastAsia="Arial" w:cs="Arial"/>
          <w:szCs w:val="24"/>
        </w:rPr>
        <w:t xml:space="preserve"> the main issue is that it is highly flammable.</w:t>
      </w:r>
    </w:p>
    <w:p w14:paraId="006C9180" w14:textId="77777777" w:rsidR="00C5616E" w:rsidRPr="002742E7" w:rsidRDefault="00C5616E" w:rsidP="005430F9">
      <w:pPr>
        <w:pStyle w:val="ListParagraph"/>
        <w:tabs>
          <w:tab w:val="left" w:pos="993"/>
        </w:tabs>
        <w:spacing w:after="0"/>
        <w:ind w:left="993" w:hanging="567"/>
        <w:jc w:val="both"/>
        <w:rPr>
          <w:sz w:val="36"/>
          <w:szCs w:val="36"/>
        </w:rPr>
      </w:pPr>
    </w:p>
    <w:p w14:paraId="72053C52" w14:textId="5B209126" w:rsidR="005B5EA7" w:rsidRPr="00D0440A" w:rsidRDefault="00A851A2" w:rsidP="00817AFE">
      <w:pPr>
        <w:pStyle w:val="ListParagraph"/>
        <w:numPr>
          <w:ilvl w:val="1"/>
          <w:numId w:val="6"/>
        </w:numPr>
        <w:spacing w:after="0"/>
        <w:ind w:left="851" w:hanging="851"/>
        <w:rPr>
          <w:b/>
          <w:bCs/>
          <w:sz w:val="32"/>
          <w:szCs w:val="32"/>
        </w:rPr>
      </w:pPr>
      <w:bookmarkStart w:id="0" w:name="_Ref176871881"/>
      <w:r w:rsidRPr="00D0440A">
        <w:rPr>
          <w:b/>
          <w:sz w:val="32"/>
          <w:szCs w:val="32"/>
        </w:rPr>
        <w:t xml:space="preserve">Problem </w:t>
      </w:r>
      <w:r w:rsidR="00616A67" w:rsidRPr="00D0440A">
        <w:rPr>
          <w:b/>
          <w:sz w:val="32"/>
          <w:szCs w:val="32"/>
        </w:rPr>
        <w:t>d</w:t>
      </w:r>
      <w:r w:rsidRPr="00D0440A">
        <w:rPr>
          <w:b/>
          <w:sz w:val="32"/>
          <w:szCs w:val="32"/>
        </w:rPr>
        <w:t>efinition</w:t>
      </w:r>
    </w:p>
    <w:p w14:paraId="41590FE2" w14:textId="77777777" w:rsidR="00D95614" w:rsidRPr="00D95614" w:rsidRDefault="00D95614" w:rsidP="00F278B1">
      <w:pPr>
        <w:pStyle w:val="ListParagraph"/>
        <w:spacing w:after="0"/>
        <w:ind w:left="851"/>
        <w:rPr>
          <w:b/>
          <w:sz w:val="36"/>
          <w:szCs w:val="36"/>
        </w:rPr>
      </w:pPr>
    </w:p>
    <w:p w14:paraId="69037E1C" w14:textId="16CC20E8" w:rsidR="00D95614" w:rsidRPr="00D95614" w:rsidRDefault="00D95614" w:rsidP="006978DA">
      <w:pPr>
        <w:spacing w:after="0"/>
        <w:rPr>
          <w:b/>
          <w:sz w:val="32"/>
          <w:szCs w:val="32"/>
        </w:rPr>
      </w:pPr>
      <w:r w:rsidRPr="00D95614">
        <w:rPr>
          <w:rFonts w:asciiTheme="minorBidi" w:hAnsiTheme="minorBidi" w:cstheme="minorBidi"/>
          <w:b/>
          <w:bCs/>
          <w:sz w:val="32"/>
          <w:szCs w:val="32"/>
        </w:rPr>
        <w:t xml:space="preserve">The </w:t>
      </w:r>
      <w:r w:rsidR="00616A67">
        <w:rPr>
          <w:rFonts w:asciiTheme="minorBidi" w:hAnsiTheme="minorBidi" w:cstheme="minorBidi"/>
          <w:b/>
          <w:bCs/>
          <w:sz w:val="32"/>
          <w:szCs w:val="32"/>
        </w:rPr>
        <w:t>m</w:t>
      </w:r>
      <w:r w:rsidRPr="00D95614">
        <w:rPr>
          <w:rFonts w:asciiTheme="minorBidi" w:hAnsiTheme="minorBidi" w:cstheme="minorBidi"/>
          <w:b/>
          <w:bCs/>
          <w:sz w:val="32"/>
          <w:szCs w:val="32"/>
        </w:rPr>
        <w:t xml:space="preserve">ajor </w:t>
      </w:r>
      <w:r w:rsidR="00616A67">
        <w:rPr>
          <w:rFonts w:asciiTheme="minorBidi" w:hAnsiTheme="minorBidi" w:cstheme="minorBidi"/>
          <w:b/>
          <w:bCs/>
          <w:sz w:val="32"/>
          <w:szCs w:val="32"/>
        </w:rPr>
        <w:t>a</w:t>
      </w:r>
      <w:r w:rsidRPr="00D95614">
        <w:rPr>
          <w:rFonts w:asciiTheme="minorBidi" w:hAnsiTheme="minorBidi" w:cstheme="minorBidi"/>
          <w:b/>
          <w:bCs/>
          <w:sz w:val="32"/>
          <w:szCs w:val="32"/>
        </w:rPr>
        <w:t xml:space="preserve">ccident </w:t>
      </w:r>
      <w:r w:rsidR="00616A67">
        <w:rPr>
          <w:rFonts w:asciiTheme="minorBidi" w:hAnsiTheme="minorBidi" w:cstheme="minorBidi"/>
          <w:b/>
          <w:bCs/>
          <w:sz w:val="32"/>
          <w:szCs w:val="32"/>
        </w:rPr>
        <w:t>h</w:t>
      </w:r>
      <w:r w:rsidRPr="00D95614">
        <w:rPr>
          <w:rFonts w:asciiTheme="minorBidi" w:hAnsiTheme="minorBidi" w:cstheme="minorBidi"/>
          <w:b/>
          <w:bCs/>
          <w:sz w:val="32"/>
          <w:szCs w:val="32"/>
        </w:rPr>
        <w:t xml:space="preserve">azard </w:t>
      </w:r>
      <w:r w:rsidR="00616A67">
        <w:rPr>
          <w:rFonts w:asciiTheme="minorBidi" w:hAnsiTheme="minorBidi" w:cstheme="minorBidi"/>
          <w:b/>
          <w:bCs/>
          <w:sz w:val="32"/>
          <w:szCs w:val="32"/>
        </w:rPr>
        <w:t>p</w:t>
      </w:r>
      <w:r w:rsidRPr="00D95614">
        <w:rPr>
          <w:rFonts w:asciiTheme="minorBidi" w:hAnsiTheme="minorBidi" w:cstheme="minorBidi"/>
          <w:b/>
          <w:bCs/>
          <w:sz w:val="32"/>
          <w:szCs w:val="32"/>
        </w:rPr>
        <w:t xml:space="preserve">otential of </w:t>
      </w:r>
      <w:r w:rsidRPr="00D95614">
        <w:rPr>
          <w:rFonts w:eastAsia="Arial" w:cs="Arial"/>
          <w:b/>
          <w:bCs/>
          <w:sz w:val="32"/>
          <w:szCs w:val="32"/>
        </w:rPr>
        <w:t>CO</w:t>
      </w:r>
      <w:r w:rsidRPr="00D95614">
        <w:rPr>
          <w:rFonts w:eastAsia="Arial" w:cs="Arial"/>
          <w:b/>
          <w:bCs/>
          <w:sz w:val="32"/>
          <w:szCs w:val="32"/>
          <w:vertAlign w:val="subscript"/>
        </w:rPr>
        <w:t>2</w:t>
      </w:r>
      <w:r w:rsidRPr="00D95614">
        <w:rPr>
          <w:rFonts w:eastAsia="Arial" w:cs="Arial"/>
          <w:sz w:val="32"/>
          <w:szCs w:val="32"/>
          <w:vertAlign w:val="subscript"/>
        </w:rPr>
        <w:t xml:space="preserve">   </w:t>
      </w:r>
      <w:r w:rsidRPr="00D95614">
        <w:rPr>
          <w:rFonts w:asciiTheme="minorBidi" w:hAnsiTheme="minorBidi" w:cstheme="minorBidi"/>
          <w:b/>
          <w:bCs/>
          <w:sz w:val="32"/>
          <w:szCs w:val="32"/>
        </w:rPr>
        <w:t>and CCUS operations offshore</w:t>
      </w:r>
    </w:p>
    <w:p w14:paraId="7E171B50" w14:textId="77777777" w:rsidR="00D95614" w:rsidRPr="00F278B1" w:rsidRDefault="00D95614" w:rsidP="00F278B1">
      <w:pPr>
        <w:pStyle w:val="ListParagraph"/>
        <w:spacing w:after="0"/>
        <w:ind w:left="567"/>
        <w:contextualSpacing w:val="0"/>
        <w:jc w:val="both"/>
      </w:pPr>
    </w:p>
    <w:p w14:paraId="6B847D90" w14:textId="30A326E0" w:rsidR="00A16597" w:rsidRPr="00912769" w:rsidRDefault="00A16597" w:rsidP="00F278B1">
      <w:pPr>
        <w:pStyle w:val="ListParagraph"/>
        <w:numPr>
          <w:ilvl w:val="2"/>
          <w:numId w:val="6"/>
        </w:numPr>
        <w:spacing w:after="0"/>
        <w:ind w:left="567" w:hanging="567"/>
        <w:contextualSpacing w:val="0"/>
        <w:jc w:val="both"/>
      </w:pPr>
      <w:r w:rsidRPr="004D0628">
        <w:rPr>
          <w:rFonts w:asciiTheme="minorBidi" w:hAnsiTheme="minorBidi" w:cstheme="minorBidi"/>
        </w:rPr>
        <w:t>The CCUS process involves CO</w:t>
      </w:r>
      <w:r w:rsidRPr="004D0628">
        <w:rPr>
          <w:rFonts w:asciiTheme="minorBidi" w:hAnsiTheme="minorBidi" w:cstheme="minorBidi"/>
          <w:vertAlign w:val="subscript"/>
        </w:rPr>
        <w:t>2</w:t>
      </w:r>
      <w:r w:rsidRPr="004D0628">
        <w:rPr>
          <w:rFonts w:asciiTheme="minorBidi" w:hAnsiTheme="minorBidi" w:cstheme="minorBidi"/>
        </w:rPr>
        <w:t xml:space="preserve"> being captured from existing industrial processes, transported, and permanently stored in offshore geological formations. The first UK projects will involve CO</w:t>
      </w:r>
      <w:r w:rsidRPr="004D0628">
        <w:rPr>
          <w:rFonts w:asciiTheme="minorBidi" w:hAnsiTheme="minorBidi" w:cstheme="minorBidi"/>
          <w:vertAlign w:val="subscript"/>
        </w:rPr>
        <w:t>2</w:t>
      </w:r>
      <w:r w:rsidRPr="004D0628">
        <w:rPr>
          <w:rFonts w:asciiTheme="minorBidi" w:hAnsiTheme="minorBidi" w:cstheme="minorBidi"/>
        </w:rPr>
        <w:t xml:space="preserve"> being transported by pipeline and stored offshore using existing installations and wells. Future projects may use other forms of transportation.</w:t>
      </w:r>
    </w:p>
    <w:p w14:paraId="54D1EA1C" w14:textId="77777777" w:rsidR="00A16597" w:rsidRDefault="00A16597" w:rsidP="00F278B1">
      <w:pPr>
        <w:pStyle w:val="ListParagraph"/>
        <w:spacing w:after="0"/>
        <w:ind w:left="567" w:hanging="567"/>
        <w:contextualSpacing w:val="0"/>
        <w:jc w:val="both"/>
      </w:pPr>
    </w:p>
    <w:p w14:paraId="140F0420" w14:textId="77777777" w:rsidR="00A16597" w:rsidRDefault="00A16597" w:rsidP="00F278B1">
      <w:pPr>
        <w:pStyle w:val="ListParagraph"/>
        <w:numPr>
          <w:ilvl w:val="2"/>
          <w:numId w:val="6"/>
        </w:numPr>
        <w:spacing w:after="0"/>
        <w:ind w:left="567" w:hanging="567"/>
        <w:contextualSpacing w:val="0"/>
        <w:jc w:val="both"/>
      </w:pPr>
      <w:r w:rsidRPr="006B712B">
        <w:rPr>
          <w:rFonts w:eastAsia="Arial" w:cs="Arial"/>
        </w:rPr>
        <w:t xml:space="preserve">In June 2011, HSE published its </w:t>
      </w:r>
      <w:r w:rsidRPr="007F0B4E">
        <w:rPr>
          <w:rFonts w:eastAsia="Arial" w:cs="Arial"/>
        </w:rPr>
        <w:t>`Assessment of the major hazard potential of Carbon Dioxide`</w:t>
      </w:r>
      <w:r w:rsidRPr="007F0B4E">
        <w:rPr>
          <w:rStyle w:val="FootnoteReference"/>
          <w:rFonts w:eastAsia="Arial" w:cs="Arial"/>
        </w:rPr>
        <w:footnoteReference w:id="6"/>
      </w:r>
      <w:r w:rsidRPr="007F0B4E">
        <w:rPr>
          <w:rFonts w:eastAsia="Arial" w:cs="Arial"/>
        </w:rPr>
        <w:t>. The paper is au</w:t>
      </w:r>
      <w:r w:rsidRPr="006B712B">
        <w:rPr>
          <w:rFonts w:eastAsia="Arial" w:cs="Arial"/>
        </w:rPr>
        <w:t xml:space="preserve">thored by a </w:t>
      </w:r>
      <w:r>
        <w:t>Principal Specialist Inspector (Risk Assessment) in HSE’s Major Accidents Risk Assessment Unit, and advisers included HSE’s Process Safety Section at the Health and Safety Laboratory and the scientific and technical advisor to HSE’s Emerging Energy Technologies Programme.</w:t>
      </w:r>
    </w:p>
    <w:p w14:paraId="6C5559C3" w14:textId="77777777" w:rsidR="00CF5E4C" w:rsidRDefault="00CF5E4C" w:rsidP="00F278B1">
      <w:pPr>
        <w:pStyle w:val="ListParagraph"/>
        <w:spacing w:after="0"/>
        <w:ind w:hanging="567"/>
        <w:contextualSpacing w:val="0"/>
      </w:pPr>
    </w:p>
    <w:p w14:paraId="7B75AC06" w14:textId="724D96D8" w:rsidR="00CF5E4C" w:rsidRDefault="00CF5E4C" w:rsidP="00F278B1">
      <w:pPr>
        <w:pStyle w:val="ListParagraph"/>
        <w:numPr>
          <w:ilvl w:val="2"/>
          <w:numId w:val="6"/>
        </w:numPr>
        <w:spacing w:after="0"/>
        <w:ind w:left="567" w:hanging="567"/>
        <w:contextualSpacing w:val="0"/>
        <w:jc w:val="both"/>
      </w:pPr>
      <w:r w:rsidRPr="00105FB7">
        <w:rPr>
          <w:rFonts w:eastAsia="Arial" w:cs="Arial"/>
        </w:rPr>
        <w:t>The report noted that where in existing CO</w:t>
      </w:r>
      <w:r w:rsidRPr="00105FB7">
        <w:rPr>
          <w:rFonts w:eastAsia="Arial" w:cs="Arial"/>
          <w:vertAlign w:val="subscript"/>
        </w:rPr>
        <w:t>2</w:t>
      </w:r>
      <w:r w:rsidRPr="00105FB7">
        <w:rPr>
          <w:rFonts w:eastAsia="Arial" w:cs="Arial"/>
        </w:rPr>
        <w:t xml:space="preserve"> handling facilities an inadvertent release of </w:t>
      </w:r>
      <w:r w:rsidRPr="007F0B4E">
        <w:rPr>
          <w:rFonts w:cs="Arial"/>
          <w:szCs w:val="24"/>
        </w:rPr>
        <w:t>CO</w:t>
      </w:r>
      <w:r w:rsidRPr="007F0B4E">
        <w:rPr>
          <w:rFonts w:cs="Arial"/>
          <w:szCs w:val="24"/>
          <w:vertAlign w:val="subscript"/>
        </w:rPr>
        <w:t>2</w:t>
      </w:r>
      <w:r w:rsidRPr="00105FB7">
        <w:rPr>
          <w:rFonts w:eastAsia="Arial" w:cs="Arial"/>
        </w:rPr>
        <w:t xml:space="preserve"> may create a small-scale hazard, potentially only affecting those in the local vicinity, a very large release of CO</w:t>
      </w:r>
      <w:r w:rsidRPr="00105FB7">
        <w:rPr>
          <w:rFonts w:eastAsia="Arial" w:cs="Arial"/>
          <w:vertAlign w:val="subscript"/>
        </w:rPr>
        <w:t>2</w:t>
      </w:r>
      <w:r w:rsidRPr="00105FB7">
        <w:rPr>
          <w:rFonts w:eastAsia="Arial" w:cs="Arial"/>
        </w:rPr>
        <w:t xml:space="preserve"> in gaseous phase from a CCUS scale operation had the potential to produce a harmful effect over a significantly greater area and therefore could affect a significant number of people. </w:t>
      </w:r>
      <w:r w:rsidRPr="00105FB7">
        <w:rPr>
          <w:rFonts w:eastAsia="Arial" w:cs="Arial"/>
          <w:szCs w:val="24"/>
        </w:rPr>
        <w:t>The report concluded that CCUS scale CO</w:t>
      </w:r>
      <w:r w:rsidRPr="00105FB7">
        <w:rPr>
          <w:rFonts w:eastAsia="Arial" w:cs="Arial"/>
          <w:szCs w:val="24"/>
          <w:vertAlign w:val="subscript"/>
        </w:rPr>
        <w:t>2</w:t>
      </w:r>
      <w:r w:rsidRPr="00105FB7">
        <w:rPr>
          <w:rFonts w:eastAsia="Arial" w:cs="Arial"/>
          <w:szCs w:val="24"/>
        </w:rPr>
        <w:t xml:space="preserve"> operations therefore had the potential to introduce a major accident hazard (MAH). There is no new evidence to suggest that the HSE paper published in 2011 is inaccurate in its conclusions.</w:t>
      </w:r>
      <w:r>
        <w:rPr>
          <w:rFonts w:eastAsia="Arial" w:cs="Arial"/>
          <w:szCs w:val="24"/>
        </w:rPr>
        <w:t xml:space="preserve"> A recent example of the type of major incident that can occur is the 2020 Denbury Gulf Coast Pipeline Rupture</w:t>
      </w:r>
      <w:r>
        <w:rPr>
          <w:rStyle w:val="FootnoteReference"/>
          <w:rFonts w:eastAsia="Arial" w:cs="Arial"/>
          <w:szCs w:val="24"/>
        </w:rPr>
        <w:footnoteReference w:id="7"/>
      </w:r>
      <w:r w:rsidR="00595803">
        <w:rPr>
          <w:rFonts w:eastAsia="Arial" w:cs="Arial"/>
          <w:szCs w:val="24"/>
        </w:rPr>
        <w:t xml:space="preserve"> where the failure of a pipeline </w:t>
      </w:r>
      <w:r w:rsidR="00176995">
        <w:rPr>
          <w:rFonts w:eastAsia="Arial" w:cs="Arial"/>
          <w:szCs w:val="24"/>
        </w:rPr>
        <w:t xml:space="preserve">resulted in a significant </w:t>
      </w:r>
      <w:r w:rsidR="004F0D77">
        <w:rPr>
          <w:rFonts w:eastAsia="Arial" w:cs="Arial"/>
          <w:szCs w:val="24"/>
        </w:rPr>
        <w:t>CO</w:t>
      </w:r>
      <w:r w:rsidR="004F0D77" w:rsidRPr="0036104B">
        <w:rPr>
          <w:rFonts w:eastAsia="Arial" w:cs="Arial"/>
          <w:szCs w:val="24"/>
          <w:vertAlign w:val="subscript"/>
        </w:rPr>
        <w:t>2</w:t>
      </w:r>
      <w:r w:rsidR="004F0D77">
        <w:rPr>
          <w:rFonts w:eastAsia="Arial" w:cs="Arial"/>
          <w:szCs w:val="24"/>
          <w:vertAlign w:val="subscript"/>
        </w:rPr>
        <w:t xml:space="preserve"> </w:t>
      </w:r>
      <w:r w:rsidR="00176995">
        <w:rPr>
          <w:rFonts w:eastAsia="Arial" w:cs="Arial"/>
          <w:szCs w:val="24"/>
        </w:rPr>
        <w:t xml:space="preserve">release, with </w:t>
      </w:r>
      <w:r w:rsidR="009A1CFF">
        <w:rPr>
          <w:rFonts w:eastAsia="Arial" w:cs="Arial"/>
          <w:szCs w:val="24"/>
        </w:rPr>
        <w:t xml:space="preserve">200 people </w:t>
      </w:r>
      <w:r w:rsidR="00472A6C">
        <w:rPr>
          <w:rFonts w:eastAsia="Arial" w:cs="Arial"/>
          <w:szCs w:val="24"/>
        </w:rPr>
        <w:t>evacuated</w:t>
      </w:r>
      <w:r w:rsidR="009A1CFF">
        <w:rPr>
          <w:rFonts w:eastAsia="Arial" w:cs="Arial"/>
          <w:szCs w:val="24"/>
        </w:rPr>
        <w:t xml:space="preserve"> </w:t>
      </w:r>
      <w:r w:rsidR="00472A6C">
        <w:rPr>
          <w:rFonts w:eastAsia="Arial" w:cs="Arial"/>
          <w:szCs w:val="24"/>
        </w:rPr>
        <w:t>from</w:t>
      </w:r>
      <w:r w:rsidR="009A1CFF">
        <w:rPr>
          <w:rFonts w:eastAsia="Arial" w:cs="Arial"/>
          <w:szCs w:val="24"/>
        </w:rPr>
        <w:t xml:space="preserve"> their homes, and 45</w:t>
      </w:r>
      <w:r w:rsidR="00472A6C">
        <w:rPr>
          <w:rFonts w:eastAsia="Arial" w:cs="Arial"/>
          <w:szCs w:val="24"/>
        </w:rPr>
        <w:t xml:space="preserve"> people hospitalised</w:t>
      </w:r>
      <w:r>
        <w:rPr>
          <w:rFonts w:eastAsia="Arial" w:cs="Arial"/>
          <w:szCs w:val="24"/>
        </w:rPr>
        <w:t>.</w:t>
      </w:r>
      <w:r w:rsidR="000835CB">
        <w:rPr>
          <w:rFonts w:eastAsia="Arial" w:cs="Arial"/>
          <w:szCs w:val="24"/>
        </w:rPr>
        <w:t xml:space="preserve">  The incident also highlighted the challenges </w:t>
      </w:r>
      <w:r w:rsidR="004F0D77">
        <w:rPr>
          <w:rFonts w:eastAsia="Arial" w:cs="Arial"/>
          <w:szCs w:val="24"/>
        </w:rPr>
        <w:t>to the emergency services of responding to a CO</w:t>
      </w:r>
      <w:r w:rsidR="004F0D77" w:rsidRPr="004F0D77">
        <w:rPr>
          <w:rFonts w:eastAsia="Arial" w:cs="Arial"/>
          <w:szCs w:val="24"/>
          <w:vertAlign w:val="subscript"/>
        </w:rPr>
        <w:t>2</w:t>
      </w:r>
      <w:r w:rsidR="004F0D77">
        <w:rPr>
          <w:rFonts w:eastAsia="Arial" w:cs="Arial"/>
          <w:szCs w:val="24"/>
        </w:rPr>
        <w:t xml:space="preserve"> incident</w:t>
      </w:r>
      <w:r>
        <w:rPr>
          <w:rFonts w:eastAsia="Arial" w:cs="Arial"/>
          <w:szCs w:val="24"/>
        </w:rPr>
        <w:t>.</w:t>
      </w:r>
    </w:p>
    <w:p w14:paraId="1F1DEBD6" w14:textId="77777777" w:rsidR="00A16597" w:rsidRDefault="00A16597" w:rsidP="00A16597">
      <w:pPr>
        <w:pStyle w:val="ListParagraph"/>
        <w:spacing w:after="0"/>
        <w:ind w:left="567"/>
        <w:jc w:val="both"/>
      </w:pPr>
    </w:p>
    <w:p w14:paraId="35EBA8C6" w14:textId="6255BED5" w:rsidR="00CF5E4C" w:rsidRPr="00F278B1" w:rsidRDefault="00CF5E4C" w:rsidP="00F278B1">
      <w:pPr>
        <w:spacing w:after="0"/>
        <w:rPr>
          <w:rFonts w:asciiTheme="minorBidi" w:hAnsiTheme="minorBidi" w:cstheme="minorBidi"/>
          <w:b/>
          <w:sz w:val="32"/>
          <w:szCs w:val="32"/>
        </w:rPr>
      </w:pPr>
      <w:r w:rsidRPr="002742E7">
        <w:rPr>
          <w:rFonts w:asciiTheme="minorBidi" w:hAnsiTheme="minorBidi" w:cstheme="minorBidi"/>
          <w:b/>
          <w:bCs/>
          <w:sz w:val="32"/>
          <w:szCs w:val="32"/>
        </w:rPr>
        <w:t xml:space="preserve">The </w:t>
      </w:r>
      <w:r w:rsidR="00616A67">
        <w:rPr>
          <w:rFonts w:asciiTheme="minorBidi" w:hAnsiTheme="minorBidi" w:cstheme="minorBidi"/>
          <w:b/>
          <w:bCs/>
          <w:sz w:val="32"/>
          <w:szCs w:val="32"/>
        </w:rPr>
        <w:t>m</w:t>
      </w:r>
      <w:r w:rsidRPr="002742E7">
        <w:rPr>
          <w:rFonts w:asciiTheme="minorBidi" w:hAnsiTheme="minorBidi" w:cstheme="minorBidi"/>
          <w:b/>
          <w:bCs/>
          <w:sz w:val="32"/>
          <w:szCs w:val="32"/>
        </w:rPr>
        <w:t xml:space="preserve">ajor </w:t>
      </w:r>
      <w:r w:rsidR="00616A67">
        <w:rPr>
          <w:rFonts w:asciiTheme="minorBidi" w:hAnsiTheme="minorBidi" w:cstheme="minorBidi"/>
          <w:b/>
          <w:bCs/>
          <w:sz w:val="32"/>
          <w:szCs w:val="32"/>
        </w:rPr>
        <w:t>a</w:t>
      </w:r>
      <w:r w:rsidRPr="002742E7">
        <w:rPr>
          <w:rFonts w:asciiTheme="minorBidi" w:hAnsiTheme="minorBidi" w:cstheme="minorBidi"/>
          <w:b/>
          <w:bCs/>
          <w:sz w:val="32"/>
          <w:szCs w:val="32"/>
        </w:rPr>
        <w:t xml:space="preserve">ccident </w:t>
      </w:r>
      <w:r w:rsidR="00616A67">
        <w:rPr>
          <w:rFonts w:asciiTheme="minorBidi" w:hAnsiTheme="minorBidi" w:cstheme="minorBidi"/>
          <w:b/>
          <w:bCs/>
          <w:sz w:val="32"/>
          <w:szCs w:val="32"/>
        </w:rPr>
        <w:t>h</w:t>
      </w:r>
      <w:r w:rsidRPr="002742E7">
        <w:rPr>
          <w:rFonts w:asciiTheme="minorBidi" w:hAnsiTheme="minorBidi" w:cstheme="minorBidi"/>
          <w:b/>
          <w:bCs/>
          <w:sz w:val="32"/>
          <w:szCs w:val="32"/>
        </w:rPr>
        <w:t xml:space="preserve">azard </w:t>
      </w:r>
      <w:r w:rsidR="00616A67">
        <w:rPr>
          <w:rFonts w:asciiTheme="minorBidi" w:hAnsiTheme="minorBidi" w:cstheme="minorBidi"/>
          <w:b/>
          <w:bCs/>
          <w:sz w:val="32"/>
          <w:szCs w:val="32"/>
        </w:rPr>
        <w:t>p</w:t>
      </w:r>
      <w:r w:rsidRPr="002742E7">
        <w:rPr>
          <w:rFonts w:asciiTheme="minorBidi" w:hAnsiTheme="minorBidi" w:cstheme="minorBidi"/>
          <w:b/>
          <w:bCs/>
          <w:sz w:val="32"/>
          <w:szCs w:val="32"/>
        </w:rPr>
        <w:t>otential of offshore hydrogen production</w:t>
      </w:r>
    </w:p>
    <w:p w14:paraId="3A873474" w14:textId="77777777" w:rsidR="00F278B1" w:rsidRPr="00F278B1" w:rsidRDefault="00F278B1" w:rsidP="00F278B1">
      <w:pPr>
        <w:pStyle w:val="ListParagraph"/>
        <w:spacing w:after="0"/>
        <w:ind w:left="567"/>
        <w:jc w:val="both"/>
      </w:pPr>
    </w:p>
    <w:p w14:paraId="2CB68707" w14:textId="326B62FD" w:rsidR="00CF5E4C" w:rsidRPr="007F0B4E" w:rsidRDefault="00CF5E4C" w:rsidP="00F278B1">
      <w:pPr>
        <w:pStyle w:val="ListParagraph"/>
        <w:numPr>
          <w:ilvl w:val="2"/>
          <w:numId w:val="6"/>
        </w:numPr>
        <w:spacing w:after="0"/>
        <w:ind w:left="567" w:hanging="567"/>
        <w:contextualSpacing w:val="0"/>
        <w:jc w:val="both"/>
      </w:pPr>
      <w:r w:rsidRPr="0079471C">
        <w:rPr>
          <w:rFonts w:eastAsia="Arial" w:cs="Arial"/>
          <w:szCs w:val="24"/>
        </w:rPr>
        <w:t xml:space="preserve">Hydrogen is a highly flammable substance with a low ignition point which has extensive industrial applications including as a coolant in generators and as a crucial element of the chemical process to produce ammonia. Hydrogen is already defined as a dangerous substance under regulation to control onshore </w:t>
      </w:r>
      <w:r>
        <w:rPr>
          <w:rFonts w:eastAsia="Arial" w:cs="Arial"/>
          <w:szCs w:val="24"/>
        </w:rPr>
        <w:t>MAH</w:t>
      </w:r>
      <w:r w:rsidRPr="0079471C">
        <w:rPr>
          <w:rFonts w:eastAsia="Arial" w:cs="Arial"/>
          <w:szCs w:val="24"/>
        </w:rPr>
        <w:t xml:space="preserve"> and its presence in significant quantities is subject to the Control of Major Hazards Regulations 2015</w:t>
      </w:r>
      <w:r>
        <w:rPr>
          <w:rStyle w:val="FootnoteReference"/>
          <w:rFonts w:eastAsia="Arial" w:cs="Arial"/>
          <w:szCs w:val="24"/>
        </w:rPr>
        <w:footnoteReference w:id="8"/>
      </w:r>
      <w:r w:rsidRPr="0079471C">
        <w:rPr>
          <w:rFonts w:eastAsia="Arial" w:cs="Arial"/>
          <w:szCs w:val="24"/>
        </w:rPr>
        <w:t xml:space="preserve"> (COMAH).</w:t>
      </w:r>
    </w:p>
    <w:p w14:paraId="7166DBE0" w14:textId="77777777" w:rsidR="00CF5E4C" w:rsidRPr="005430F9" w:rsidRDefault="00CF5E4C" w:rsidP="00F278B1">
      <w:pPr>
        <w:pStyle w:val="ListParagraph"/>
        <w:spacing w:after="0"/>
        <w:ind w:left="567" w:hanging="567"/>
        <w:contextualSpacing w:val="0"/>
        <w:jc w:val="both"/>
      </w:pPr>
    </w:p>
    <w:p w14:paraId="120E1365" w14:textId="77777777" w:rsidR="00CF5E4C" w:rsidRPr="00B77C3C" w:rsidRDefault="00CF5E4C" w:rsidP="00F278B1">
      <w:pPr>
        <w:pStyle w:val="ListParagraph"/>
        <w:numPr>
          <w:ilvl w:val="2"/>
          <w:numId w:val="6"/>
        </w:numPr>
        <w:spacing w:after="0"/>
        <w:ind w:left="567" w:hanging="567"/>
        <w:contextualSpacing w:val="0"/>
        <w:jc w:val="both"/>
      </w:pPr>
      <w:r w:rsidRPr="007F0B4E">
        <w:rPr>
          <w:rFonts w:eastAsia="Arial" w:cs="Arial"/>
          <w:szCs w:val="24"/>
        </w:rPr>
        <w:t>Offshore hydrogen production involves siting electrolysers on offshore installations that split the hydrogen and oxygen atoms in seawater; the hydrogen generated by this process is then piped or shipped onshore for use.</w:t>
      </w:r>
      <w:r>
        <w:rPr>
          <w:rFonts w:eastAsia="Arial" w:cs="Arial"/>
          <w:szCs w:val="24"/>
        </w:rPr>
        <w:t xml:space="preserve"> </w:t>
      </w:r>
      <w:r w:rsidRPr="007F0B4E">
        <w:rPr>
          <w:rFonts w:eastAsia="Arial" w:cs="Arial"/>
          <w:szCs w:val="24"/>
        </w:rPr>
        <w:t>The presence of hydrogen on an offshore installation introduces the additional hazard of a highly flammable substance to a work environment that already creates many hazards, and where emergency arrangements are constrained by the challenges of location.</w:t>
      </w:r>
    </w:p>
    <w:p w14:paraId="410AB646" w14:textId="77777777" w:rsidR="00CF5E4C" w:rsidRDefault="00CF5E4C" w:rsidP="00F278B1">
      <w:pPr>
        <w:pStyle w:val="ListParagraph"/>
        <w:spacing w:after="0"/>
        <w:ind w:hanging="567"/>
        <w:contextualSpacing w:val="0"/>
      </w:pPr>
    </w:p>
    <w:p w14:paraId="2DB2C4B2" w14:textId="77777777" w:rsidR="00CF5E4C" w:rsidRPr="00104478" w:rsidRDefault="00CF5E4C" w:rsidP="00F278B1">
      <w:pPr>
        <w:spacing w:after="0"/>
        <w:rPr>
          <w:b/>
          <w:bCs/>
          <w:sz w:val="32"/>
          <w:szCs w:val="32"/>
        </w:rPr>
      </w:pPr>
      <w:r w:rsidRPr="00104478">
        <w:rPr>
          <w:b/>
          <w:bCs/>
          <w:sz w:val="32"/>
          <w:szCs w:val="32"/>
        </w:rPr>
        <w:t xml:space="preserve">Regulatory </w:t>
      </w:r>
      <w:r w:rsidRPr="00104478">
        <w:rPr>
          <w:rFonts w:cs="Arial"/>
          <w:b/>
          <w:bCs/>
          <w:sz w:val="32"/>
          <w:szCs w:val="32"/>
        </w:rPr>
        <w:t>inconsistencies</w:t>
      </w:r>
      <w:r w:rsidRPr="00104478">
        <w:rPr>
          <w:b/>
          <w:bCs/>
          <w:sz w:val="32"/>
          <w:szCs w:val="32"/>
        </w:rPr>
        <w:t xml:space="preserve"> </w:t>
      </w:r>
    </w:p>
    <w:p w14:paraId="20B3AC74" w14:textId="77777777" w:rsidR="00CF5E4C" w:rsidRPr="00481954" w:rsidRDefault="00CF5E4C" w:rsidP="00F278B1">
      <w:pPr>
        <w:pStyle w:val="ListParagraph"/>
        <w:spacing w:after="0" w:line="23" w:lineRule="atLeast"/>
        <w:ind w:left="567"/>
        <w:jc w:val="lowKashida"/>
      </w:pPr>
    </w:p>
    <w:p w14:paraId="6D47A5DA" w14:textId="1B658533" w:rsidR="00CF5E4C" w:rsidRPr="002528BC" w:rsidRDefault="00CF5E4C" w:rsidP="00F278B1">
      <w:pPr>
        <w:pStyle w:val="ListParagraph"/>
        <w:numPr>
          <w:ilvl w:val="2"/>
          <w:numId w:val="6"/>
        </w:numPr>
        <w:spacing w:after="0" w:line="22" w:lineRule="atLeast"/>
        <w:ind w:left="567" w:hanging="567"/>
        <w:contextualSpacing w:val="0"/>
        <w:jc w:val="lowKashida"/>
      </w:pPr>
      <w:r>
        <w:rPr>
          <w:rFonts w:asciiTheme="minorBidi" w:hAnsiTheme="minorBidi" w:cstheme="minorBidi"/>
        </w:rPr>
        <w:t>F</w:t>
      </w:r>
      <w:r w:rsidRPr="00512B7D">
        <w:rPr>
          <w:rFonts w:asciiTheme="minorBidi" w:hAnsiTheme="minorBidi" w:cstheme="minorBidi"/>
        </w:rPr>
        <w:t>ollowing policy and legal analysis</w:t>
      </w:r>
      <w:r>
        <w:rPr>
          <w:rFonts w:asciiTheme="minorBidi" w:hAnsiTheme="minorBidi" w:cstheme="minorBidi"/>
        </w:rPr>
        <w:t>, HSE has identified</w:t>
      </w:r>
      <w:r w:rsidRPr="00512B7D">
        <w:rPr>
          <w:rFonts w:asciiTheme="minorBidi" w:hAnsiTheme="minorBidi" w:cstheme="minorBidi"/>
        </w:rPr>
        <w:t xml:space="preserve"> regulatory inconsistencies in the existing major hazards regulatory framework, which do not currently support effective </w:t>
      </w:r>
      <w:r>
        <w:rPr>
          <w:rFonts w:asciiTheme="minorBidi" w:hAnsiTheme="minorBidi" w:cstheme="minorBidi"/>
        </w:rPr>
        <w:t>regulation</w:t>
      </w:r>
      <w:r w:rsidRPr="00512B7D">
        <w:rPr>
          <w:rFonts w:asciiTheme="minorBidi" w:hAnsiTheme="minorBidi" w:cstheme="minorBidi"/>
        </w:rPr>
        <w:t xml:space="preserve"> of the safety risks associated with the CCUS industry and offshore hydrogen production.</w:t>
      </w:r>
    </w:p>
    <w:p w14:paraId="70B29E6B" w14:textId="77777777" w:rsidR="00CF5E4C" w:rsidRPr="002528BC" w:rsidRDefault="00CF5E4C" w:rsidP="00CF5E4C">
      <w:pPr>
        <w:pStyle w:val="ListParagraph"/>
        <w:spacing w:after="0" w:line="23" w:lineRule="atLeast"/>
        <w:ind w:left="567"/>
        <w:jc w:val="lowKashida"/>
      </w:pPr>
    </w:p>
    <w:p w14:paraId="0F746363" w14:textId="77777777" w:rsidR="00CF5E4C" w:rsidRPr="00F278B1" w:rsidRDefault="00CF5E4C" w:rsidP="00CF5E4C">
      <w:pPr>
        <w:spacing w:line="23" w:lineRule="atLeast"/>
        <w:jc w:val="lowKashida"/>
        <w:rPr>
          <w:rFonts w:asciiTheme="minorBidi" w:hAnsiTheme="minorBidi" w:cstheme="minorBidi"/>
          <w:b/>
          <w:sz w:val="32"/>
          <w:szCs w:val="32"/>
        </w:rPr>
      </w:pPr>
      <w:r w:rsidRPr="00F278B1">
        <w:rPr>
          <w:rFonts w:asciiTheme="minorBidi" w:hAnsiTheme="minorBidi" w:cstheme="minorBidi"/>
          <w:b/>
          <w:sz w:val="32"/>
          <w:szCs w:val="32"/>
        </w:rPr>
        <w:t>Regulatory application to CCUS onshore</w:t>
      </w:r>
    </w:p>
    <w:p w14:paraId="798822B7" w14:textId="77777777" w:rsidR="00CF5E4C" w:rsidRPr="00E3350C" w:rsidRDefault="00CF5E4C" w:rsidP="00F278B1">
      <w:pPr>
        <w:pStyle w:val="ListParagraph"/>
        <w:numPr>
          <w:ilvl w:val="2"/>
          <w:numId w:val="6"/>
        </w:numPr>
        <w:spacing w:after="0" w:line="22" w:lineRule="atLeast"/>
        <w:ind w:left="567" w:hanging="567"/>
        <w:contextualSpacing w:val="0"/>
        <w:jc w:val="lowKashida"/>
      </w:pPr>
      <w:r w:rsidRPr="004B2BD6">
        <w:rPr>
          <w:rFonts w:asciiTheme="minorBidi" w:hAnsiTheme="minorBidi" w:cstheme="minorBidi"/>
          <w:u w:val="single"/>
        </w:rPr>
        <w:t>The Pipelines Safety Regulations 1996</w:t>
      </w:r>
      <w:r>
        <w:rPr>
          <w:rStyle w:val="FootnoteReference"/>
          <w:rFonts w:asciiTheme="minorBidi" w:hAnsiTheme="minorBidi" w:cstheme="minorBidi"/>
          <w:bCs/>
          <w:szCs w:val="24"/>
        </w:rPr>
        <w:footnoteReference w:id="9"/>
      </w:r>
      <w:r w:rsidRPr="00B657F8">
        <w:rPr>
          <w:rFonts w:asciiTheme="minorBidi" w:hAnsiTheme="minorBidi" w:cstheme="minorBidi"/>
        </w:rPr>
        <w:t xml:space="preserve"> (PSR</w:t>
      </w:r>
      <w:r>
        <w:rPr>
          <w:rFonts w:asciiTheme="minorBidi" w:hAnsiTheme="minorBidi" w:cstheme="minorBidi"/>
        </w:rPr>
        <w:t>96</w:t>
      </w:r>
      <w:r w:rsidRPr="00B657F8">
        <w:rPr>
          <w:rFonts w:asciiTheme="minorBidi" w:hAnsiTheme="minorBidi" w:cstheme="minorBidi"/>
        </w:rPr>
        <w:t>) apply to the transport</w:t>
      </w:r>
      <w:r>
        <w:rPr>
          <w:rFonts w:asciiTheme="minorBidi" w:hAnsiTheme="minorBidi" w:cstheme="minorBidi"/>
        </w:rPr>
        <w:t>ation</w:t>
      </w:r>
      <w:r w:rsidRPr="00B657F8">
        <w:rPr>
          <w:rFonts w:asciiTheme="minorBidi" w:hAnsiTheme="minorBidi" w:cstheme="minorBidi"/>
        </w:rPr>
        <w:t xml:space="preserve"> of fluids (with some exceptions) by pipeline. </w:t>
      </w:r>
      <w:r w:rsidRPr="00B657F8">
        <w:rPr>
          <w:rFonts w:asciiTheme="minorBidi" w:hAnsiTheme="minorBidi" w:cstheme="minorBidi"/>
          <w:bCs/>
          <w:szCs w:val="24"/>
        </w:rPr>
        <w:t xml:space="preserve">PSR’s general provisions apply to all pipelines, with additional requirements for Major Accident Hazard pipelines (MAHP). MAHPs carry substances defined by PSR as dangerous fluids. The designation of a pipeline as a MAHP places additional duties </w:t>
      </w:r>
      <w:r>
        <w:rPr>
          <w:rFonts w:asciiTheme="minorBidi" w:hAnsiTheme="minorBidi" w:cstheme="minorBidi"/>
          <w:bCs/>
          <w:szCs w:val="24"/>
        </w:rPr>
        <w:t xml:space="preserve">to notify HSE of new pipelines at the design stage, before construction and to prepare a major accident prevention document (MAPD). Further duties </w:t>
      </w:r>
      <w:r w:rsidRPr="00CD2D30">
        <w:rPr>
          <w:rFonts w:asciiTheme="minorBidi" w:hAnsiTheme="minorBidi" w:cstheme="minorBidi"/>
          <w:bCs/>
          <w:szCs w:val="24"/>
        </w:rPr>
        <w:t>in relation to emergency planning and response attract land use planning controls limiting development in the proximity of the pipeline</w:t>
      </w:r>
      <w:r w:rsidRPr="00B657F8">
        <w:rPr>
          <w:rFonts w:asciiTheme="minorBidi" w:hAnsiTheme="minorBidi" w:cstheme="minorBidi"/>
          <w:bCs/>
          <w:szCs w:val="24"/>
        </w:rPr>
        <w:t>.</w:t>
      </w:r>
    </w:p>
    <w:p w14:paraId="76A8C961" w14:textId="77777777" w:rsidR="00CF5E4C" w:rsidRPr="00E3350C" w:rsidRDefault="00CF5E4C" w:rsidP="00F278B1">
      <w:pPr>
        <w:pStyle w:val="ListParagraph"/>
        <w:spacing w:after="0" w:line="22" w:lineRule="atLeast"/>
        <w:ind w:left="567" w:hanging="567"/>
        <w:contextualSpacing w:val="0"/>
        <w:jc w:val="lowKashida"/>
      </w:pPr>
    </w:p>
    <w:p w14:paraId="444274AA" w14:textId="0ECCCF03" w:rsidR="00CF5E4C" w:rsidRDefault="00CF5E4C" w:rsidP="00F278B1">
      <w:pPr>
        <w:pStyle w:val="ListParagraph"/>
        <w:numPr>
          <w:ilvl w:val="2"/>
          <w:numId w:val="6"/>
        </w:numPr>
        <w:spacing w:after="0" w:line="22" w:lineRule="atLeast"/>
        <w:ind w:left="567" w:hanging="567"/>
        <w:contextualSpacing w:val="0"/>
        <w:jc w:val="lowKashida"/>
      </w:pPr>
      <w:r w:rsidRPr="007201C3">
        <w:rPr>
          <w:rFonts w:asciiTheme="minorBidi" w:hAnsiTheme="minorBidi" w:cstheme="minorBidi"/>
        </w:rPr>
        <w:t xml:space="preserve">Legal advice indicates that there is a lack of clarity </w:t>
      </w:r>
      <w:r>
        <w:rPr>
          <w:rFonts w:asciiTheme="minorBidi" w:hAnsiTheme="minorBidi" w:cstheme="minorBidi"/>
        </w:rPr>
        <w:t xml:space="preserve">as to </w:t>
      </w:r>
      <w:r w:rsidRPr="007201C3">
        <w:rPr>
          <w:rFonts w:asciiTheme="minorBidi" w:hAnsiTheme="minorBidi" w:cstheme="minorBidi"/>
        </w:rPr>
        <w:t>whether these provisions apply to pipelines transporting CO</w:t>
      </w:r>
      <w:r w:rsidRPr="007201C3">
        <w:rPr>
          <w:rFonts w:asciiTheme="minorBidi" w:hAnsiTheme="minorBidi" w:cstheme="minorBidi"/>
          <w:vertAlign w:val="subscript"/>
        </w:rPr>
        <w:t>2</w:t>
      </w:r>
      <w:r w:rsidRPr="007201C3">
        <w:rPr>
          <w:rFonts w:asciiTheme="minorBidi" w:hAnsiTheme="minorBidi" w:cstheme="minorBidi"/>
        </w:rPr>
        <w:t xml:space="preserve"> </w:t>
      </w:r>
      <w:r w:rsidRPr="00DF509F">
        <w:t>and it is also currently unclear whether CO</w:t>
      </w:r>
      <w:r w:rsidRPr="00DF509F">
        <w:rPr>
          <w:vertAlign w:val="subscript"/>
        </w:rPr>
        <w:t>2</w:t>
      </w:r>
      <w:r w:rsidRPr="00DF509F">
        <w:t xml:space="preserve"> meets the definition of a dangerous fluid in PSR.</w:t>
      </w:r>
    </w:p>
    <w:p w14:paraId="6CF1A366" w14:textId="77777777" w:rsidR="00CF5E4C" w:rsidRDefault="00CF5E4C" w:rsidP="0029217F">
      <w:pPr>
        <w:spacing w:after="0" w:line="22" w:lineRule="atLeast"/>
        <w:jc w:val="lowKashida"/>
      </w:pPr>
    </w:p>
    <w:p w14:paraId="5DF36614" w14:textId="77777777" w:rsidR="00CF5E4C" w:rsidRPr="0029217F" w:rsidRDefault="00CF5E4C" w:rsidP="00CF5E4C">
      <w:pPr>
        <w:spacing w:after="0" w:line="23" w:lineRule="atLeast"/>
        <w:jc w:val="lowKashida"/>
        <w:rPr>
          <w:rFonts w:asciiTheme="minorBidi" w:eastAsia="Times New Roman" w:hAnsiTheme="minorBidi" w:cstheme="minorBidi"/>
          <w:b/>
          <w:sz w:val="32"/>
          <w:szCs w:val="32"/>
        </w:rPr>
      </w:pPr>
      <w:r w:rsidRPr="0029217F">
        <w:rPr>
          <w:rFonts w:asciiTheme="minorBidi" w:eastAsia="Times New Roman" w:hAnsiTheme="minorBidi" w:cstheme="minorBidi"/>
          <w:b/>
          <w:sz w:val="32"/>
          <w:szCs w:val="32"/>
        </w:rPr>
        <w:t>Regulatory application to CCUS offshore</w:t>
      </w:r>
    </w:p>
    <w:p w14:paraId="5D9FEFF2" w14:textId="77777777" w:rsidR="00CF5E4C" w:rsidRDefault="00CF5E4C" w:rsidP="00CF5E4C">
      <w:pPr>
        <w:spacing w:after="0" w:line="23" w:lineRule="atLeast"/>
        <w:jc w:val="lowKashida"/>
      </w:pPr>
    </w:p>
    <w:p w14:paraId="5BC4F938" w14:textId="3C1F3203" w:rsidR="00CF5E4C" w:rsidRPr="00A010D5" w:rsidRDefault="00CF5E4C" w:rsidP="00BD77ED">
      <w:pPr>
        <w:pStyle w:val="ListParagraph"/>
        <w:numPr>
          <w:ilvl w:val="2"/>
          <w:numId w:val="6"/>
        </w:numPr>
        <w:spacing w:after="0" w:line="22" w:lineRule="atLeast"/>
        <w:ind w:left="567" w:hanging="567"/>
        <w:contextualSpacing w:val="0"/>
        <w:jc w:val="lowKashida"/>
      </w:pPr>
      <w:r w:rsidRPr="006F358F">
        <w:rPr>
          <w:rFonts w:asciiTheme="minorBidi" w:eastAsia="Times New Roman" w:hAnsiTheme="minorBidi" w:cstheme="minorBidi"/>
          <w:u w:val="single"/>
        </w:rPr>
        <w:t>The Offshore Installations and Pipeline Works (Management and Administration) Regulations 1995</w:t>
      </w:r>
      <w:r>
        <w:rPr>
          <w:rStyle w:val="FootnoteReference"/>
          <w:rFonts w:asciiTheme="minorBidi" w:eastAsia="Times New Roman" w:hAnsiTheme="minorBidi" w:cstheme="minorBidi"/>
          <w:szCs w:val="24"/>
        </w:rPr>
        <w:footnoteReference w:id="10"/>
      </w:r>
      <w:r w:rsidRPr="227DE7E7">
        <w:rPr>
          <w:rFonts w:asciiTheme="minorBidi" w:eastAsia="Times New Roman" w:hAnsiTheme="minorBidi" w:cstheme="minorBidi"/>
        </w:rPr>
        <w:t xml:space="preserve"> (MAR</w:t>
      </w:r>
      <w:r>
        <w:rPr>
          <w:rFonts w:asciiTheme="minorBidi" w:eastAsia="Times New Roman" w:hAnsiTheme="minorBidi" w:cstheme="minorBidi"/>
        </w:rPr>
        <w:t>95</w:t>
      </w:r>
      <w:r w:rsidRPr="227DE7E7">
        <w:rPr>
          <w:rFonts w:asciiTheme="minorBidi" w:eastAsia="Times New Roman" w:hAnsiTheme="minorBidi" w:cstheme="minorBidi"/>
        </w:rPr>
        <w:t>)</w:t>
      </w:r>
      <w:r w:rsidRPr="227DE7E7">
        <w:rPr>
          <w:rFonts w:eastAsia="Arial" w:cs="Arial"/>
          <w:color w:val="212B32"/>
          <w:szCs w:val="24"/>
        </w:rPr>
        <w:t xml:space="preserve"> place goal-setting duties on installation owners and operators to ensure the integrity of an installation throughout its lifecycle and provide a framework for ensuring the safe condition of wells on land and offshore, throughout their lifecycle, including an examination scheme. MAR</w:t>
      </w:r>
      <w:r>
        <w:rPr>
          <w:rFonts w:eastAsia="Arial" w:cs="Arial"/>
          <w:color w:val="212B32"/>
          <w:szCs w:val="24"/>
        </w:rPr>
        <w:t>95</w:t>
      </w:r>
      <w:r w:rsidRPr="227DE7E7">
        <w:rPr>
          <w:rFonts w:eastAsia="Arial" w:cs="Arial"/>
          <w:color w:val="212B32"/>
          <w:szCs w:val="24"/>
        </w:rPr>
        <w:t xml:space="preserve"> provisions also apply to mobile installations whil</w:t>
      </w:r>
      <w:r>
        <w:rPr>
          <w:rFonts w:eastAsia="Arial" w:cs="Arial"/>
          <w:color w:val="212B32"/>
          <w:szCs w:val="24"/>
        </w:rPr>
        <w:t>e</w:t>
      </w:r>
      <w:r w:rsidRPr="227DE7E7">
        <w:rPr>
          <w:rFonts w:eastAsia="Arial" w:cs="Arial"/>
          <w:color w:val="212B32"/>
          <w:szCs w:val="24"/>
        </w:rPr>
        <w:t xml:space="preserve"> in transit to a location.</w:t>
      </w:r>
    </w:p>
    <w:p w14:paraId="79332677" w14:textId="77777777" w:rsidR="00C505B7" w:rsidRPr="00A010D5" w:rsidRDefault="00C505B7" w:rsidP="00BD77ED">
      <w:pPr>
        <w:pStyle w:val="ListParagraph"/>
        <w:spacing w:after="0" w:line="22" w:lineRule="atLeast"/>
        <w:ind w:left="567" w:hanging="567"/>
        <w:contextualSpacing w:val="0"/>
        <w:jc w:val="lowKashida"/>
      </w:pPr>
    </w:p>
    <w:p w14:paraId="2E99BF2C" w14:textId="77777777" w:rsidR="00CF5E4C" w:rsidRPr="00C00477" w:rsidRDefault="00CF5E4C" w:rsidP="00BD77ED">
      <w:pPr>
        <w:pStyle w:val="ListParagraph"/>
        <w:numPr>
          <w:ilvl w:val="2"/>
          <w:numId w:val="6"/>
        </w:numPr>
        <w:spacing w:after="0" w:line="22" w:lineRule="atLeast"/>
        <w:ind w:left="567" w:hanging="567"/>
        <w:contextualSpacing w:val="0"/>
        <w:jc w:val="lowKashida"/>
        <w:rPr>
          <w:rFonts w:asciiTheme="minorBidi" w:eastAsia="Times New Roman" w:hAnsiTheme="minorBidi" w:cstheme="minorBidi"/>
        </w:rPr>
      </w:pPr>
      <w:r w:rsidRPr="227DE7E7">
        <w:rPr>
          <w:rFonts w:asciiTheme="minorBidi" w:eastAsia="Times New Roman" w:hAnsiTheme="minorBidi" w:cstheme="minorBidi"/>
        </w:rPr>
        <w:t xml:space="preserve">These Regulations were amended in 2013 to include </w:t>
      </w:r>
      <w:r>
        <w:rPr>
          <w:rFonts w:asciiTheme="minorBidi" w:eastAsia="Times New Roman" w:hAnsiTheme="minorBidi" w:cstheme="minorBidi"/>
        </w:rPr>
        <w:t>‘</w:t>
      </w:r>
      <w:r w:rsidRPr="00BE26DA">
        <w:rPr>
          <w:rFonts w:asciiTheme="minorBidi" w:eastAsia="Times New Roman" w:hAnsiTheme="minorBidi" w:cstheme="minorBidi"/>
          <w:i/>
          <w:iCs/>
        </w:rPr>
        <w:t>the storage of gas in or under the shore or bed of relevant waters or the recovery of gas so stored</w:t>
      </w:r>
      <w:r>
        <w:rPr>
          <w:rFonts w:asciiTheme="minorBidi" w:eastAsia="Times New Roman" w:hAnsiTheme="minorBidi" w:cstheme="minorBidi"/>
        </w:rPr>
        <w:t>’</w:t>
      </w:r>
      <w:r w:rsidRPr="31968E69">
        <w:rPr>
          <w:rFonts w:asciiTheme="minorBidi" w:eastAsia="Times New Roman" w:hAnsiTheme="minorBidi" w:cstheme="minorBidi"/>
        </w:rPr>
        <w:t>, aimed specifically at the regulation of offshore CO</w:t>
      </w:r>
      <w:r w:rsidRPr="31968E69">
        <w:rPr>
          <w:rFonts w:asciiTheme="minorBidi" w:eastAsia="Times New Roman" w:hAnsiTheme="minorBidi" w:cstheme="minorBidi"/>
          <w:vertAlign w:val="subscript"/>
        </w:rPr>
        <w:t>2</w:t>
      </w:r>
      <w:r w:rsidRPr="31968E69">
        <w:rPr>
          <w:rFonts w:asciiTheme="minorBidi" w:eastAsia="Times New Roman" w:hAnsiTheme="minorBidi" w:cstheme="minorBidi"/>
        </w:rPr>
        <w:t xml:space="preserve"> storage. However, the word ‘</w:t>
      </w:r>
      <w:r w:rsidRPr="009D60F8">
        <w:rPr>
          <w:rFonts w:asciiTheme="minorBidi" w:eastAsia="Times New Roman" w:hAnsiTheme="minorBidi" w:cstheme="minorBidi"/>
          <w:i/>
          <w:iCs/>
        </w:rPr>
        <w:t>gas</w:t>
      </w:r>
      <w:r w:rsidRPr="31968E69">
        <w:rPr>
          <w:rFonts w:asciiTheme="minorBidi" w:eastAsia="Times New Roman" w:hAnsiTheme="minorBidi" w:cstheme="minorBidi"/>
        </w:rPr>
        <w:t>’ potentially limits the applicability to gaseous phase CO</w:t>
      </w:r>
      <w:r w:rsidRPr="31968E69">
        <w:rPr>
          <w:rFonts w:asciiTheme="minorBidi" w:eastAsia="Times New Roman" w:hAnsiTheme="minorBidi" w:cstheme="minorBidi"/>
          <w:vertAlign w:val="subscript"/>
        </w:rPr>
        <w:t>2,</w:t>
      </w:r>
      <w:r w:rsidRPr="31968E69">
        <w:rPr>
          <w:rFonts w:asciiTheme="minorBidi" w:eastAsia="Times New Roman" w:hAnsiTheme="minorBidi" w:cstheme="minorBidi"/>
        </w:rPr>
        <w:t xml:space="preserve"> and planned UK CCUS projects will </w:t>
      </w:r>
      <w:r w:rsidRPr="006F358F">
        <w:rPr>
          <w:rFonts w:asciiTheme="minorBidi" w:eastAsia="Times New Roman" w:hAnsiTheme="minorBidi" w:cstheme="minorBidi"/>
        </w:rPr>
        <w:t xml:space="preserve">involve </w:t>
      </w:r>
      <w:r w:rsidRPr="006F358F">
        <w:t>CO</w:t>
      </w:r>
      <w:r w:rsidRPr="006F358F">
        <w:rPr>
          <w:vertAlign w:val="subscript"/>
        </w:rPr>
        <w:t>2</w:t>
      </w:r>
      <w:r w:rsidRPr="006F358F">
        <w:rPr>
          <w:rFonts w:asciiTheme="minorBidi" w:eastAsia="Times New Roman" w:hAnsiTheme="minorBidi" w:cstheme="minorBidi"/>
        </w:rPr>
        <w:t xml:space="preserve"> being</w:t>
      </w:r>
      <w:r w:rsidRPr="31968E69">
        <w:rPr>
          <w:rFonts w:asciiTheme="minorBidi" w:eastAsia="Times New Roman" w:hAnsiTheme="minorBidi" w:cstheme="minorBidi"/>
        </w:rPr>
        <w:t xml:space="preserve"> transported and stored in other chemical phases.</w:t>
      </w:r>
    </w:p>
    <w:p w14:paraId="5B47CF0D" w14:textId="77777777" w:rsidR="00CF5E4C" w:rsidRPr="00A010D5" w:rsidRDefault="00CF5E4C" w:rsidP="00BD77ED">
      <w:pPr>
        <w:pStyle w:val="ListParagraph"/>
        <w:spacing w:after="0" w:line="22" w:lineRule="atLeast"/>
        <w:ind w:left="567" w:hanging="567"/>
        <w:contextualSpacing w:val="0"/>
        <w:jc w:val="lowKashida"/>
      </w:pPr>
    </w:p>
    <w:p w14:paraId="6CDF1E48" w14:textId="77777777" w:rsidR="00CF5E4C" w:rsidRPr="00C00477" w:rsidRDefault="00CF5E4C" w:rsidP="00BD77ED">
      <w:pPr>
        <w:pStyle w:val="ListParagraph"/>
        <w:numPr>
          <w:ilvl w:val="2"/>
          <w:numId w:val="6"/>
        </w:numPr>
        <w:spacing w:after="0" w:line="22" w:lineRule="atLeast"/>
        <w:ind w:left="567" w:hanging="567"/>
        <w:contextualSpacing w:val="0"/>
        <w:jc w:val="lowKashida"/>
        <w:rPr>
          <w:rFonts w:eastAsia="Arial" w:cs="Arial"/>
          <w:szCs w:val="24"/>
        </w:rPr>
      </w:pPr>
      <w:r w:rsidRPr="006F358F">
        <w:rPr>
          <w:rFonts w:asciiTheme="minorBidi" w:eastAsia="Times New Roman" w:hAnsiTheme="minorBidi" w:cstheme="minorBidi"/>
          <w:u w:val="single"/>
        </w:rPr>
        <w:t>The Offshore Installations (Offshore Safety Directive) (Safety Case etc) Regulations 2015</w:t>
      </w:r>
      <w:r>
        <w:rPr>
          <w:rStyle w:val="FootnoteReference"/>
          <w:rFonts w:asciiTheme="minorBidi" w:eastAsia="Times New Roman" w:hAnsiTheme="minorBidi" w:cstheme="minorBidi"/>
          <w:szCs w:val="24"/>
        </w:rPr>
        <w:footnoteReference w:id="11"/>
      </w:r>
      <w:r w:rsidRPr="3A072735">
        <w:rPr>
          <w:rFonts w:asciiTheme="minorBidi" w:eastAsia="Times New Roman" w:hAnsiTheme="minorBidi" w:cstheme="minorBidi"/>
        </w:rPr>
        <w:t xml:space="preserve"> (SCR</w:t>
      </w:r>
      <w:r>
        <w:rPr>
          <w:rFonts w:asciiTheme="minorBidi" w:eastAsia="Times New Roman" w:hAnsiTheme="minorBidi" w:cstheme="minorBidi"/>
        </w:rPr>
        <w:t>15</w:t>
      </w:r>
      <w:r w:rsidRPr="3A072735">
        <w:rPr>
          <w:rFonts w:asciiTheme="minorBidi" w:eastAsia="Times New Roman" w:hAnsiTheme="minorBidi" w:cstheme="minorBidi"/>
        </w:rPr>
        <w:t xml:space="preserve">) require operators of offshore installations to, among other duties, prepare a safety case for approval by HSE. </w:t>
      </w:r>
      <w:r w:rsidRPr="01E502A1">
        <w:rPr>
          <w:rFonts w:asciiTheme="minorBidi" w:eastAsia="Times New Roman" w:hAnsiTheme="minorBidi" w:cstheme="minorBidi"/>
        </w:rPr>
        <w:t>An offshore installation is defined in MAR</w:t>
      </w:r>
      <w:r>
        <w:rPr>
          <w:rFonts w:asciiTheme="minorBidi" w:eastAsia="Times New Roman" w:hAnsiTheme="minorBidi" w:cstheme="minorBidi"/>
        </w:rPr>
        <w:t>95</w:t>
      </w:r>
      <w:r w:rsidRPr="01E502A1">
        <w:rPr>
          <w:rFonts w:asciiTheme="minorBidi" w:eastAsia="Times New Roman" w:hAnsiTheme="minorBidi" w:cstheme="minorBidi"/>
        </w:rPr>
        <w:t xml:space="preserve"> </w:t>
      </w:r>
      <w:r>
        <w:rPr>
          <w:rFonts w:asciiTheme="minorBidi" w:eastAsia="Times New Roman" w:hAnsiTheme="minorBidi" w:cstheme="minorBidi"/>
        </w:rPr>
        <w:t>‘</w:t>
      </w:r>
      <w:r w:rsidRPr="007D2C4A">
        <w:rPr>
          <w:rFonts w:asciiTheme="minorBidi" w:eastAsia="Times New Roman" w:hAnsiTheme="minorBidi" w:cstheme="minorBidi"/>
          <w:i/>
          <w:iCs/>
        </w:rPr>
        <w:t xml:space="preserve">as </w:t>
      </w:r>
      <w:r w:rsidRPr="007D2C4A">
        <w:rPr>
          <w:rFonts w:eastAsia="Arial" w:cs="Arial"/>
          <w:i/>
          <w:iCs/>
        </w:rPr>
        <w:t>a</w:t>
      </w:r>
      <w:r w:rsidRPr="007D2C4A">
        <w:rPr>
          <w:rFonts w:eastAsia="Arial" w:cs="Arial"/>
          <w:i/>
          <w:iCs/>
          <w:color w:val="1E1E1E"/>
          <w:szCs w:val="24"/>
        </w:rPr>
        <w:t xml:space="preserve"> structure which is used for the exploitation, or exploration of mineral resources by means of a well; for the storage of gas in or under the shore or the recovery of gas so stored;</w:t>
      </w:r>
      <w:r w:rsidRPr="007D2C4A">
        <w:rPr>
          <w:rFonts w:eastAsia="Arial" w:cs="Arial"/>
          <w:i/>
          <w:iCs/>
          <w:szCs w:val="24"/>
        </w:rPr>
        <w:t xml:space="preserve"> for the conveyance of things by means of a pipe; or mainly for the provision of accommodation for persons who work on or from a structure falling within any of the provisions of these regulations</w:t>
      </w:r>
      <w:r w:rsidRPr="00D810A8">
        <w:rPr>
          <w:rFonts w:eastAsia="Arial" w:cs="Arial"/>
          <w:szCs w:val="24"/>
        </w:rPr>
        <w:t>.</w:t>
      </w:r>
      <w:r>
        <w:rPr>
          <w:rFonts w:eastAsia="Arial" w:cs="Arial"/>
          <w:szCs w:val="24"/>
        </w:rPr>
        <w:t>’</w:t>
      </w:r>
    </w:p>
    <w:p w14:paraId="469993F6" w14:textId="77777777" w:rsidR="00CF5E4C" w:rsidRPr="00561E42" w:rsidRDefault="00CF5E4C" w:rsidP="00BD77ED">
      <w:pPr>
        <w:spacing w:after="0" w:line="22" w:lineRule="atLeast"/>
        <w:ind w:left="567" w:hanging="567"/>
        <w:jc w:val="lowKashida"/>
      </w:pPr>
    </w:p>
    <w:p w14:paraId="0CCE1C1D" w14:textId="5341318D" w:rsidR="00CF5E4C" w:rsidRPr="00C77E43" w:rsidRDefault="00CF5E4C" w:rsidP="00EA2CBD">
      <w:pPr>
        <w:pStyle w:val="ListParagraph"/>
        <w:numPr>
          <w:ilvl w:val="2"/>
          <w:numId w:val="6"/>
        </w:numPr>
        <w:spacing w:after="0" w:line="22" w:lineRule="atLeast"/>
        <w:ind w:left="567" w:hanging="567"/>
        <w:contextualSpacing w:val="0"/>
        <w:jc w:val="lowKashida"/>
      </w:pPr>
      <w:r>
        <w:rPr>
          <w:rFonts w:eastAsia="Arial" w:cs="Arial"/>
          <w:szCs w:val="24"/>
        </w:rPr>
        <w:t xml:space="preserve">An installation needs to </w:t>
      </w:r>
      <w:r w:rsidR="00FD67A2">
        <w:rPr>
          <w:rFonts w:eastAsia="Arial" w:cs="Arial"/>
          <w:szCs w:val="24"/>
        </w:rPr>
        <w:t>meet the definition</w:t>
      </w:r>
      <w:r>
        <w:rPr>
          <w:rFonts w:eastAsia="Arial" w:cs="Arial"/>
          <w:szCs w:val="24"/>
        </w:rPr>
        <w:t xml:space="preserve"> in MAR95 </w:t>
      </w:r>
      <w:r w:rsidR="00C57AB1">
        <w:rPr>
          <w:rFonts w:eastAsia="Arial" w:cs="Arial"/>
          <w:szCs w:val="24"/>
        </w:rPr>
        <w:t>for</w:t>
      </w:r>
      <w:r>
        <w:rPr>
          <w:rFonts w:eastAsia="Arial" w:cs="Arial"/>
          <w:szCs w:val="24"/>
        </w:rPr>
        <w:t xml:space="preserve"> the safety case regulations</w:t>
      </w:r>
      <w:r w:rsidR="00C57AB1">
        <w:rPr>
          <w:rFonts w:eastAsia="Arial" w:cs="Arial"/>
          <w:szCs w:val="24"/>
        </w:rPr>
        <w:t xml:space="preserve"> to apply</w:t>
      </w:r>
      <w:r>
        <w:rPr>
          <w:rFonts w:eastAsia="Arial" w:cs="Arial"/>
          <w:szCs w:val="24"/>
        </w:rPr>
        <w:t xml:space="preserve">. </w:t>
      </w:r>
      <w:r w:rsidRPr="05ABD2F6">
        <w:rPr>
          <w:rFonts w:eastAsia="Arial" w:cs="Arial"/>
          <w:szCs w:val="24"/>
        </w:rPr>
        <w:t xml:space="preserve">The definition was drafted with the intention of applying to oil and gas installations. In a CCUS context an installation is used to connect the injection well used to inject </w:t>
      </w:r>
      <w:r w:rsidRPr="2B0BEEF8">
        <w:rPr>
          <w:rFonts w:asciiTheme="minorBidi" w:eastAsia="Times New Roman" w:hAnsiTheme="minorBidi" w:cstheme="minorBidi"/>
        </w:rPr>
        <w:t>CO</w:t>
      </w:r>
      <w:r w:rsidRPr="2B0BEEF8">
        <w:rPr>
          <w:rFonts w:asciiTheme="minorBidi" w:eastAsia="Times New Roman" w:hAnsiTheme="minorBidi" w:cstheme="minorBidi"/>
          <w:vertAlign w:val="subscript"/>
        </w:rPr>
        <w:t>2</w:t>
      </w:r>
      <w:r w:rsidRPr="05ABD2F6">
        <w:rPr>
          <w:rFonts w:eastAsia="Arial" w:cs="Arial"/>
          <w:szCs w:val="24"/>
        </w:rPr>
        <w:t xml:space="preserve"> into seabed deep rock formations with the pipelines transporting </w:t>
      </w:r>
      <w:r w:rsidRPr="2B0BEEF8">
        <w:rPr>
          <w:rFonts w:asciiTheme="minorBidi" w:eastAsia="Times New Roman" w:hAnsiTheme="minorBidi" w:cstheme="minorBidi"/>
        </w:rPr>
        <w:t>CO</w:t>
      </w:r>
      <w:r w:rsidRPr="2B0BEEF8">
        <w:rPr>
          <w:rFonts w:asciiTheme="minorBidi" w:eastAsia="Times New Roman" w:hAnsiTheme="minorBidi" w:cstheme="minorBidi"/>
          <w:vertAlign w:val="subscript"/>
        </w:rPr>
        <w:t>2</w:t>
      </w:r>
      <w:r w:rsidRPr="3E426E29">
        <w:rPr>
          <w:rFonts w:asciiTheme="minorBidi" w:eastAsia="Times New Roman" w:hAnsiTheme="minorBidi" w:cstheme="minorBidi"/>
          <w:vertAlign w:val="subscript"/>
        </w:rPr>
        <w:t xml:space="preserve"> </w:t>
      </w:r>
      <w:r w:rsidRPr="05ABD2F6">
        <w:rPr>
          <w:rFonts w:eastAsia="Arial" w:cs="Arial"/>
          <w:szCs w:val="24"/>
        </w:rPr>
        <w:t>from onshore capture plants.</w:t>
      </w:r>
    </w:p>
    <w:p w14:paraId="5A192C8C" w14:textId="77777777" w:rsidR="00CF5E4C" w:rsidRPr="00C77E43" w:rsidRDefault="00CF5E4C" w:rsidP="00EA2CBD">
      <w:pPr>
        <w:pStyle w:val="ListParagraph"/>
        <w:spacing w:after="0" w:line="22" w:lineRule="atLeast"/>
        <w:ind w:left="567" w:hanging="567"/>
        <w:contextualSpacing w:val="0"/>
        <w:jc w:val="lowKashida"/>
      </w:pPr>
    </w:p>
    <w:p w14:paraId="12CED08D" w14:textId="77777777" w:rsidR="00CF5E4C" w:rsidRPr="00C77E43" w:rsidRDefault="00CF5E4C" w:rsidP="00EA2CBD">
      <w:pPr>
        <w:pStyle w:val="ListParagraph"/>
        <w:numPr>
          <w:ilvl w:val="2"/>
          <w:numId w:val="6"/>
        </w:numPr>
        <w:spacing w:after="0" w:line="22" w:lineRule="atLeast"/>
        <w:ind w:left="567" w:hanging="567"/>
        <w:contextualSpacing w:val="0"/>
        <w:jc w:val="lowKashida"/>
      </w:pPr>
      <w:r w:rsidRPr="55F4043F">
        <w:rPr>
          <w:rFonts w:eastAsia="Arial" w:cs="Arial"/>
        </w:rPr>
        <w:lastRenderedPageBreak/>
        <w:t>However, not all planned CCUS projects will use an offshore installation and wells to facilitate permanent storage. Some projects plan to use offshore subsea injection: concepts where ships are used as the mode of transport from collection to storage, and an injection from the ship straight to the seabed deep rock formations.</w:t>
      </w:r>
      <w:r w:rsidRPr="02A20CB1">
        <w:rPr>
          <w:rFonts w:eastAsia="Arial" w:cs="Arial"/>
        </w:rPr>
        <w:t xml:space="preserve"> Consequently,</w:t>
      </w:r>
      <w:r w:rsidRPr="02A20CB1">
        <w:rPr>
          <w:rFonts w:asciiTheme="minorBidi" w:eastAsia="Times New Roman" w:hAnsiTheme="minorBidi" w:cstheme="minorBidi"/>
        </w:rPr>
        <w:t xml:space="preserve"> the </w:t>
      </w:r>
      <w:r w:rsidRPr="05ABD2F6">
        <w:rPr>
          <w:rFonts w:asciiTheme="minorBidi" w:eastAsia="Times New Roman" w:hAnsiTheme="minorBidi" w:cstheme="minorBidi"/>
        </w:rPr>
        <w:t xml:space="preserve">requirements of the offshore regime, including safety cases, </w:t>
      </w:r>
      <w:r>
        <w:rPr>
          <w:rFonts w:asciiTheme="minorBidi" w:eastAsia="Times New Roman" w:hAnsiTheme="minorBidi" w:cstheme="minorBidi"/>
        </w:rPr>
        <w:t>do</w:t>
      </w:r>
      <w:r w:rsidRPr="05ABD2F6">
        <w:rPr>
          <w:rFonts w:asciiTheme="minorBidi" w:eastAsia="Times New Roman" w:hAnsiTheme="minorBidi" w:cstheme="minorBidi"/>
        </w:rPr>
        <w:t xml:space="preserve"> not clearly or consistently apply to CCUS projects.</w:t>
      </w:r>
    </w:p>
    <w:p w14:paraId="232374F6" w14:textId="77777777" w:rsidR="00CF5E4C" w:rsidRPr="00C77E43" w:rsidRDefault="00CF5E4C" w:rsidP="00EA2CBD">
      <w:pPr>
        <w:pStyle w:val="ListParagraph"/>
        <w:spacing w:after="0" w:line="22" w:lineRule="atLeast"/>
        <w:ind w:left="567" w:hanging="567"/>
        <w:contextualSpacing w:val="0"/>
        <w:jc w:val="lowKashida"/>
      </w:pPr>
    </w:p>
    <w:p w14:paraId="224ABCA3" w14:textId="4FD6DFEB" w:rsidR="00CF5E4C" w:rsidRPr="00C77E43" w:rsidRDefault="00CF5E4C" w:rsidP="00EA2CBD">
      <w:pPr>
        <w:pStyle w:val="ListParagraph"/>
        <w:numPr>
          <w:ilvl w:val="2"/>
          <w:numId w:val="6"/>
        </w:numPr>
        <w:spacing w:after="0" w:line="22" w:lineRule="atLeast"/>
        <w:ind w:left="567" w:hanging="567"/>
        <w:contextualSpacing w:val="0"/>
        <w:jc w:val="lowKashida"/>
      </w:pPr>
      <w:r w:rsidRPr="006F358F">
        <w:rPr>
          <w:rFonts w:asciiTheme="minorBidi" w:eastAsia="Times New Roman" w:hAnsiTheme="minorBidi" w:cstheme="minorBidi"/>
          <w:u w:val="single"/>
        </w:rPr>
        <w:t>The Offshore Installations and Wells (Design and Construction, etc.) Regulations 1996</w:t>
      </w:r>
      <w:r w:rsidRPr="00B60C99">
        <w:rPr>
          <w:rStyle w:val="FootnoteReference"/>
          <w:rFonts w:asciiTheme="minorBidi" w:eastAsia="Times New Roman" w:hAnsiTheme="minorBidi" w:cstheme="minorBidi"/>
          <w:szCs w:val="24"/>
        </w:rPr>
        <w:footnoteReference w:id="12"/>
      </w:r>
      <w:r w:rsidRPr="00B60C99">
        <w:rPr>
          <w:rFonts w:asciiTheme="minorBidi" w:eastAsia="Times New Roman" w:hAnsiTheme="minorBidi" w:cstheme="minorBidi"/>
        </w:rPr>
        <w:t xml:space="preserve"> (DCR</w:t>
      </w:r>
      <w:r>
        <w:rPr>
          <w:rFonts w:asciiTheme="minorBidi" w:eastAsia="Times New Roman" w:hAnsiTheme="minorBidi" w:cstheme="minorBidi"/>
        </w:rPr>
        <w:t>96</w:t>
      </w:r>
      <w:r w:rsidRPr="00B60C99">
        <w:rPr>
          <w:rFonts w:asciiTheme="minorBidi" w:eastAsia="Times New Roman" w:hAnsiTheme="minorBidi" w:cstheme="minorBidi"/>
        </w:rPr>
        <w:t xml:space="preserve">) </w:t>
      </w:r>
      <w:r w:rsidRPr="00910094">
        <w:rPr>
          <w:rFonts w:cs="Arial"/>
          <w:color w:val="1E1E1E"/>
          <w:shd w:val="clear" w:color="auto" w:fill="FFFFFF"/>
        </w:rPr>
        <w:t>contain requirements for ensuring that offshore oil and gas installations, and oil and gas wells are designed, constructed</w:t>
      </w:r>
      <w:r w:rsidR="00FF3D35">
        <w:rPr>
          <w:rFonts w:cs="Arial"/>
          <w:color w:val="1E1E1E"/>
          <w:shd w:val="clear" w:color="auto" w:fill="FFFFFF"/>
        </w:rPr>
        <w:t>,</w:t>
      </w:r>
      <w:r w:rsidRPr="00910094">
        <w:rPr>
          <w:rFonts w:cs="Arial"/>
          <w:color w:val="1E1E1E"/>
          <w:shd w:val="clear" w:color="auto" w:fill="FFFFFF"/>
        </w:rPr>
        <w:t xml:space="preserve"> and kept in a sound structural state, and other requirements affecting them, for purposes of health and safety. They </w:t>
      </w:r>
      <w:r>
        <w:rPr>
          <w:rFonts w:cs="Arial"/>
          <w:color w:val="1E1E1E"/>
          <w:shd w:val="clear" w:color="auto" w:fill="FFFFFF"/>
        </w:rPr>
        <w:t xml:space="preserve">apply </w:t>
      </w:r>
      <w:r w:rsidRPr="00B60C99">
        <w:rPr>
          <w:rFonts w:asciiTheme="minorBidi" w:eastAsia="Times New Roman" w:hAnsiTheme="minorBidi" w:cstheme="minorBidi"/>
        </w:rPr>
        <w:t xml:space="preserve">to hydrocarbon wells and so </w:t>
      </w:r>
      <w:r>
        <w:rPr>
          <w:rFonts w:asciiTheme="minorBidi" w:eastAsia="Times New Roman" w:hAnsiTheme="minorBidi" w:cstheme="minorBidi"/>
        </w:rPr>
        <w:t>do</w:t>
      </w:r>
      <w:r w:rsidRPr="00B60C99">
        <w:rPr>
          <w:rFonts w:asciiTheme="minorBidi" w:eastAsia="Times New Roman" w:hAnsiTheme="minorBidi" w:cstheme="minorBidi"/>
        </w:rPr>
        <w:t xml:space="preserve"> not apply to CCUS activities involving using wells to inject </w:t>
      </w:r>
      <w:r w:rsidRPr="00910094">
        <w:rPr>
          <w:rFonts w:asciiTheme="minorBidi" w:eastAsia="Times New Roman" w:hAnsiTheme="minorBidi" w:cstheme="minorBidi"/>
        </w:rPr>
        <w:t>CO</w:t>
      </w:r>
      <w:r w:rsidRPr="00910094">
        <w:rPr>
          <w:rFonts w:asciiTheme="minorBidi" w:eastAsia="Times New Roman" w:hAnsiTheme="minorBidi" w:cstheme="minorBidi"/>
          <w:vertAlign w:val="subscript"/>
        </w:rPr>
        <w:t>2</w:t>
      </w:r>
      <w:r w:rsidR="00574725">
        <w:rPr>
          <w:rFonts w:asciiTheme="minorBidi" w:eastAsia="Times New Roman" w:hAnsiTheme="minorBidi" w:cstheme="minorBidi"/>
          <w:vertAlign w:val="subscript"/>
        </w:rPr>
        <w:t>.</w:t>
      </w:r>
      <w:r w:rsidRPr="00B60C99">
        <w:rPr>
          <w:rFonts w:asciiTheme="minorBidi" w:eastAsia="Times New Roman" w:hAnsiTheme="minorBidi" w:cstheme="minorBidi"/>
        </w:rPr>
        <w:t xml:space="preserve"> This creates inconsistency of application of major hazard regimes to well activities involving similar hazards.</w:t>
      </w:r>
    </w:p>
    <w:p w14:paraId="283386B1" w14:textId="77777777" w:rsidR="00CF5E4C" w:rsidRDefault="00CF5E4C" w:rsidP="00EA2CBD">
      <w:pPr>
        <w:pStyle w:val="ListParagraph"/>
        <w:spacing w:after="0" w:line="22" w:lineRule="atLeast"/>
        <w:ind w:left="567" w:hanging="567"/>
        <w:contextualSpacing w:val="0"/>
      </w:pPr>
    </w:p>
    <w:p w14:paraId="5BC30718" w14:textId="21D89FFA" w:rsidR="00CF5E4C" w:rsidRPr="00C77E43" w:rsidRDefault="00CF5E4C" w:rsidP="00EA2CBD">
      <w:pPr>
        <w:pStyle w:val="ListParagraph"/>
        <w:numPr>
          <w:ilvl w:val="2"/>
          <w:numId w:val="6"/>
        </w:numPr>
        <w:spacing w:after="0" w:line="22" w:lineRule="atLeast"/>
        <w:ind w:left="567" w:hanging="567"/>
        <w:contextualSpacing w:val="0"/>
        <w:jc w:val="lowKashida"/>
      </w:pPr>
      <w:r w:rsidRPr="006F358F">
        <w:rPr>
          <w:rFonts w:eastAsia="Arial" w:cs="Arial"/>
          <w:szCs w:val="24"/>
          <w:u w:val="single"/>
        </w:rPr>
        <w:t>T</w:t>
      </w:r>
      <w:r w:rsidRPr="006F358F">
        <w:rPr>
          <w:rFonts w:asciiTheme="minorBidi" w:eastAsia="Times New Roman" w:hAnsiTheme="minorBidi" w:cstheme="minorBidi"/>
          <w:szCs w:val="24"/>
          <w:u w:val="single"/>
        </w:rPr>
        <w:t>he Health and Safety at Work etc. 1974 (Application outside Great Britain) Order 2013</w:t>
      </w:r>
      <w:r w:rsidRPr="00C77E43">
        <w:rPr>
          <w:rStyle w:val="FootnoteReference"/>
          <w:rFonts w:asciiTheme="minorBidi" w:eastAsia="Times New Roman" w:hAnsiTheme="minorBidi" w:cstheme="minorBidi"/>
          <w:szCs w:val="24"/>
        </w:rPr>
        <w:footnoteReference w:id="13"/>
      </w:r>
      <w:r w:rsidRPr="00C77E43">
        <w:rPr>
          <w:rFonts w:asciiTheme="minorBidi" w:eastAsia="Times New Roman" w:hAnsiTheme="minorBidi" w:cstheme="minorBidi"/>
          <w:b/>
          <w:bCs/>
          <w:szCs w:val="24"/>
        </w:rPr>
        <w:t xml:space="preserve"> </w:t>
      </w:r>
      <w:r w:rsidRPr="00B60C99">
        <w:rPr>
          <w:rFonts w:asciiTheme="minorBidi" w:eastAsia="Times New Roman" w:hAnsiTheme="minorBidi" w:cstheme="minorBidi"/>
          <w:szCs w:val="24"/>
        </w:rPr>
        <w:t>(AOGBO)</w:t>
      </w:r>
      <w:r w:rsidRPr="00CD2D30">
        <w:rPr>
          <w:rFonts w:asciiTheme="minorBidi" w:eastAsia="Times New Roman" w:hAnsiTheme="minorBidi" w:cstheme="minorBidi"/>
          <w:szCs w:val="24"/>
        </w:rPr>
        <w:t xml:space="preserve"> applies specific sections of HSWA beyond the mainland of Great Britain to specified offshore areas and work activities. Article 8 of the AOGBO clarifying HSE jurisdiction was amended in 2013 to expand the description of an offshore installation to include offshore CO</w:t>
      </w:r>
      <w:r w:rsidRPr="00CD2D30">
        <w:rPr>
          <w:rFonts w:asciiTheme="minorBidi" w:eastAsia="Times New Roman" w:hAnsiTheme="minorBidi" w:cstheme="minorBidi"/>
          <w:szCs w:val="24"/>
          <w:vertAlign w:val="subscript"/>
        </w:rPr>
        <w:t>2</w:t>
      </w:r>
      <w:r w:rsidRPr="00CD2D30">
        <w:rPr>
          <w:rFonts w:asciiTheme="minorBidi" w:eastAsia="Times New Roman" w:hAnsiTheme="minorBidi" w:cstheme="minorBidi"/>
          <w:szCs w:val="24"/>
        </w:rPr>
        <w:t xml:space="preserve"> storage and injection, this had the effect of extending general duties under HSWA but not further specific duties under major hazard </w:t>
      </w:r>
      <w:r>
        <w:rPr>
          <w:rFonts w:asciiTheme="minorBidi" w:eastAsia="Times New Roman" w:hAnsiTheme="minorBidi" w:cstheme="minorBidi"/>
          <w:szCs w:val="24"/>
        </w:rPr>
        <w:t>regulation</w:t>
      </w:r>
      <w:r w:rsidRPr="00FB585E">
        <w:rPr>
          <w:rFonts w:asciiTheme="minorBidi" w:eastAsia="Times New Roman" w:hAnsiTheme="minorBidi" w:cstheme="minorBidi"/>
          <w:szCs w:val="24"/>
        </w:rPr>
        <w:t xml:space="preserve">. This means that </w:t>
      </w:r>
      <w:r w:rsidRPr="00FB585E">
        <w:rPr>
          <w:rFonts w:asciiTheme="minorBidi" w:eastAsia="Times New Roman" w:hAnsiTheme="minorBidi" w:cstheme="minorBidi"/>
        </w:rPr>
        <w:t>specific</w:t>
      </w:r>
      <w:r w:rsidRPr="00FB585E" w:rsidDel="00F70137">
        <w:rPr>
          <w:rFonts w:asciiTheme="minorBidi" w:eastAsia="Times New Roman" w:hAnsiTheme="minorBidi" w:cstheme="minorBidi"/>
        </w:rPr>
        <w:t xml:space="preserve"> </w:t>
      </w:r>
      <w:r w:rsidR="00F70137">
        <w:rPr>
          <w:rFonts w:asciiTheme="minorBidi" w:eastAsia="Times New Roman" w:hAnsiTheme="minorBidi" w:cstheme="minorBidi"/>
        </w:rPr>
        <w:t>changes</w:t>
      </w:r>
      <w:r w:rsidRPr="00FB585E">
        <w:rPr>
          <w:rFonts w:asciiTheme="minorBidi" w:eastAsia="Times New Roman" w:hAnsiTheme="minorBidi" w:cstheme="minorBidi"/>
        </w:rPr>
        <w:t xml:space="preserve"> will be required to ensure duties for CCUS</w:t>
      </w:r>
      <w:r w:rsidR="00D85D70">
        <w:rPr>
          <w:rFonts w:asciiTheme="minorBidi" w:eastAsia="Times New Roman" w:hAnsiTheme="minorBidi" w:cstheme="minorBidi"/>
        </w:rPr>
        <w:t>,</w:t>
      </w:r>
      <w:r w:rsidRPr="00FB585E">
        <w:rPr>
          <w:rFonts w:asciiTheme="minorBidi" w:eastAsia="Times New Roman" w:hAnsiTheme="minorBidi" w:cstheme="minorBidi"/>
        </w:rPr>
        <w:t xml:space="preserve"> and hydrogen are extended to address MAH.</w:t>
      </w:r>
    </w:p>
    <w:p w14:paraId="63F418E8" w14:textId="77777777" w:rsidR="00CF5E4C" w:rsidRDefault="00CF5E4C" w:rsidP="00CF5E4C">
      <w:pPr>
        <w:spacing w:after="0" w:line="23" w:lineRule="atLeast"/>
        <w:ind w:left="347"/>
        <w:jc w:val="lowKashida"/>
      </w:pPr>
    </w:p>
    <w:p w14:paraId="25AF2F3F" w14:textId="50449B57" w:rsidR="00CF5E4C" w:rsidRPr="00EA2CBD" w:rsidRDefault="00CF5E4C" w:rsidP="00EA2CBD">
      <w:pPr>
        <w:pBdr>
          <w:top w:val="nil"/>
          <w:left w:val="nil"/>
          <w:bottom w:val="nil"/>
          <w:right w:val="nil"/>
          <w:between w:val="nil"/>
          <w:bar w:val="nil"/>
        </w:pBdr>
        <w:spacing w:after="0" w:line="22" w:lineRule="atLeast"/>
        <w:jc w:val="lowKashida"/>
        <w:rPr>
          <w:rFonts w:asciiTheme="minorBidi" w:hAnsiTheme="minorBidi" w:cstheme="minorBidi"/>
          <w:b/>
          <w:sz w:val="32"/>
          <w:szCs w:val="32"/>
        </w:rPr>
      </w:pPr>
      <w:r w:rsidRPr="00EA2CBD">
        <w:rPr>
          <w:rFonts w:asciiTheme="minorBidi" w:hAnsiTheme="minorBidi" w:cstheme="minorBidi"/>
          <w:b/>
          <w:sz w:val="32"/>
          <w:szCs w:val="32"/>
        </w:rPr>
        <w:t>Regulatory application to offshore hydrogen production</w:t>
      </w:r>
    </w:p>
    <w:p w14:paraId="203E6627" w14:textId="77777777" w:rsidR="00EA2CBD" w:rsidRPr="00EA2CBD" w:rsidRDefault="00EA2CBD" w:rsidP="00EA2CBD">
      <w:pPr>
        <w:pStyle w:val="ListParagraph"/>
        <w:spacing w:after="0" w:line="23" w:lineRule="atLeast"/>
        <w:ind w:left="567"/>
        <w:jc w:val="lowKashida"/>
      </w:pPr>
    </w:p>
    <w:p w14:paraId="3253DF9B" w14:textId="73084B51" w:rsidR="00CF5E4C" w:rsidRPr="00C77E43" w:rsidRDefault="00CF5E4C" w:rsidP="00EA2CBD">
      <w:pPr>
        <w:pStyle w:val="ListParagraph"/>
        <w:numPr>
          <w:ilvl w:val="2"/>
          <w:numId w:val="6"/>
        </w:numPr>
        <w:spacing w:after="0" w:line="22" w:lineRule="atLeast"/>
        <w:ind w:left="567" w:hanging="567"/>
        <w:contextualSpacing w:val="0"/>
        <w:jc w:val="lowKashida"/>
      </w:pPr>
      <w:r w:rsidRPr="00C77E43">
        <w:rPr>
          <w:rFonts w:asciiTheme="minorBidi" w:hAnsiTheme="minorBidi" w:cstheme="minorBidi"/>
        </w:rPr>
        <w:t>As the protections and provisions in existing offshore regulation including, MAR</w:t>
      </w:r>
      <w:r>
        <w:rPr>
          <w:rFonts w:asciiTheme="minorBidi" w:hAnsiTheme="minorBidi" w:cstheme="minorBidi"/>
        </w:rPr>
        <w:t>95</w:t>
      </w:r>
      <w:r w:rsidRPr="00C77E43">
        <w:rPr>
          <w:rFonts w:asciiTheme="minorBidi" w:hAnsiTheme="minorBidi" w:cstheme="minorBidi"/>
        </w:rPr>
        <w:t>, SCR</w:t>
      </w:r>
      <w:r>
        <w:rPr>
          <w:rFonts w:asciiTheme="minorBidi" w:hAnsiTheme="minorBidi" w:cstheme="minorBidi"/>
        </w:rPr>
        <w:t>15,</w:t>
      </w:r>
      <w:r w:rsidRPr="00C77E43">
        <w:rPr>
          <w:rFonts w:asciiTheme="minorBidi" w:hAnsiTheme="minorBidi" w:cstheme="minorBidi"/>
        </w:rPr>
        <w:t xml:space="preserve"> DCR</w:t>
      </w:r>
      <w:r>
        <w:rPr>
          <w:rFonts w:asciiTheme="minorBidi" w:hAnsiTheme="minorBidi" w:cstheme="minorBidi"/>
        </w:rPr>
        <w:t xml:space="preserve">96 </w:t>
      </w:r>
      <w:r w:rsidRPr="00C77E43">
        <w:rPr>
          <w:rFonts w:asciiTheme="minorBidi" w:hAnsiTheme="minorBidi" w:cstheme="minorBidi"/>
        </w:rPr>
        <w:t>and AOGBO were drafted primarily to apply to hydrocarbons, there are similar issues for the offshore production of hydrogen to those described above for CCUS activities especially concerning the definition of an offshore installation</w:t>
      </w:r>
      <w:r w:rsidRPr="00C77E43">
        <w:rPr>
          <w:rFonts w:eastAsia="Arial" w:cs="Arial"/>
        </w:rPr>
        <w:t>.</w:t>
      </w:r>
    </w:p>
    <w:p w14:paraId="2369358E" w14:textId="77777777" w:rsidR="00CF5E4C" w:rsidRPr="00C77E43" w:rsidRDefault="00CF5E4C" w:rsidP="00EA2CBD">
      <w:pPr>
        <w:pStyle w:val="ListParagraph"/>
        <w:spacing w:after="0" w:line="22" w:lineRule="atLeast"/>
        <w:ind w:left="567" w:hanging="567"/>
        <w:contextualSpacing w:val="0"/>
        <w:jc w:val="lowKashida"/>
      </w:pPr>
    </w:p>
    <w:p w14:paraId="3FA76488" w14:textId="35753F9D" w:rsidR="00CF5E4C" w:rsidRPr="00CF0C26" w:rsidRDefault="00CF5E4C" w:rsidP="00EA2CBD">
      <w:pPr>
        <w:pStyle w:val="ListParagraph"/>
        <w:numPr>
          <w:ilvl w:val="2"/>
          <w:numId w:val="6"/>
        </w:numPr>
        <w:spacing w:after="0" w:line="22" w:lineRule="atLeast"/>
        <w:ind w:left="567" w:hanging="567"/>
        <w:contextualSpacing w:val="0"/>
        <w:jc w:val="lowKashida"/>
      </w:pPr>
      <w:r>
        <w:rPr>
          <w:rFonts w:asciiTheme="minorBidi" w:hAnsiTheme="minorBidi" w:cstheme="minorBidi"/>
        </w:rPr>
        <w:t>For example, a</w:t>
      </w:r>
      <w:r w:rsidRPr="78B3BD4D">
        <w:rPr>
          <w:rFonts w:eastAsia="Arial" w:cs="Arial"/>
          <w:szCs w:val="24"/>
        </w:rPr>
        <w:t xml:space="preserve">s currently drafted in SCR15, an installation </w:t>
      </w:r>
      <w:proofErr w:type="gramStart"/>
      <w:r w:rsidRPr="78B3BD4D">
        <w:rPr>
          <w:rFonts w:eastAsia="Arial" w:cs="Arial"/>
          <w:szCs w:val="24"/>
        </w:rPr>
        <w:t>for the production of</w:t>
      </w:r>
      <w:proofErr w:type="gramEnd"/>
      <w:r w:rsidRPr="78B3BD4D">
        <w:rPr>
          <w:rFonts w:eastAsia="Arial" w:cs="Arial"/>
          <w:szCs w:val="24"/>
        </w:rPr>
        <w:t xml:space="preserve"> hydrogen would be classed as a non-production installation</w:t>
      </w:r>
      <w:r>
        <w:rPr>
          <w:rFonts w:eastAsia="Arial" w:cs="Arial"/>
          <w:szCs w:val="24"/>
        </w:rPr>
        <w:t>, because it doesn’t involve extraction of hydrocarbons</w:t>
      </w:r>
      <w:r w:rsidRPr="78B3BD4D">
        <w:rPr>
          <w:rFonts w:eastAsia="Arial" w:cs="Arial"/>
          <w:szCs w:val="24"/>
        </w:rPr>
        <w:t xml:space="preserve">. This would not adequately address the hazards of hydrogen production or provide the Competent Authority, which comprises HSE and </w:t>
      </w:r>
      <w:r>
        <w:rPr>
          <w:rFonts w:eastAsia="Arial" w:cs="Arial"/>
          <w:szCs w:val="24"/>
        </w:rPr>
        <w:t xml:space="preserve">the </w:t>
      </w:r>
      <w:r w:rsidRPr="00B2422D">
        <w:rPr>
          <w:rFonts w:eastAsia="Arial" w:cs="Arial"/>
          <w:szCs w:val="24"/>
        </w:rPr>
        <w:t>Offshore Petroleum Regulator for Environment and Decommissioning (OPRED) (part of the Department for Energy, Security and Net Zero)</w:t>
      </w:r>
      <w:r w:rsidRPr="78B3BD4D">
        <w:rPr>
          <w:rFonts w:eastAsia="Arial" w:cs="Arial"/>
          <w:szCs w:val="24"/>
        </w:rPr>
        <w:t xml:space="preserve"> with sufficient opportunit</w:t>
      </w:r>
      <w:r w:rsidR="00DD4C83">
        <w:rPr>
          <w:rFonts w:eastAsia="Arial" w:cs="Arial"/>
          <w:szCs w:val="24"/>
        </w:rPr>
        <w:t>y</w:t>
      </w:r>
      <w:r w:rsidRPr="78B3BD4D">
        <w:rPr>
          <w:rFonts w:eastAsia="Arial" w:cs="Arial"/>
          <w:szCs w:val="24"/>
        </w:rPr>
        <w:t xml:space="preserve"> </w:t>
      </w:r>
      <w:r w:rsidR="00DD4C83">
        <w:rPr>
          <w:rFonts w:eastAsia="Arial" w:cs="Arial"/>
          <w:szCs w:val="24"/>
        </w:rPr>
        <w:t xml:space="preserve">to provide assurance of the </w:t>
      </w:r>
      <w:r w:rsidR="00807D7D">
        <w:rPr>
          <w:rFonts w:eastAsia="Arial" w:cs="Arial"/>
          <w:szCs w:val="24"/>
        </w:rPr>
        <w:t>appropriate management of operations</w:t>
      </w:r>
      <w:r w:rsidR="0091111F">
        <w:rPr>
          <w:rFonts w:eastAsia="Arial" w:cs="Arial"/>
          <w:szCs w:val="24"/>
        </w:rPr>
        <w:t xml:space="preserve"> e.g. through the</w:t>
      </w:r>
      <w:r w:rsidRPr="78B3BD4D">
        <w:rPr>
          <w:rFonts w:eastAsia="Arial" w:cs="Arial"/>
          <w:szCs w:val="24"/>
        </w:rPr>
        <w:t xml:space="preserve"> </w:t>
      </w:r>
      <w:r w:rsidR="0091111F">
        <w:rPr>
          <w:rFonts w:eastAsia="Arial" w:cs="Arial"/>
          <w:szCs w:val="24"/>
        </w:rPr>
        <w:t>receipt of</w:t>
      </w:r>
      <w:r w:rsidRPr="78B3BD4D">
        <w:rPr>
          <w:rFonts w:eastAsia="Arial" w:cs="Arial"/>
          <w:szCs w:val="24"/>
        </w:rPr>
        <w:t xml:space="preserve"> design notifications </w:t>
      </w:r>
      <w:r w:rsidR="0091111F">
        <w:rPr>
          <w:rFonts w:eastAsia="Arial" w:cs="Arial"/>
          <w:szCs w:val="24"/>
        </w:rPr>
        <w:t>or the</w:t>
      </w:r>
      <w:r w:rsidR="0091111F" w:rsidRPr="78B3BD4D">
        <w:rPr>
          <w:rFonts w:eastAsia="Arial" w:cs="Arial"/>
          <w:szCs w:val="24"/>
        </w:rPr>
        <w:t xml:space="preserve"> </w:t>
      </w:r>
      <w:r w:rsidRPr="78B3BD4D">
        <w:rPr>
          <w:rFonts w:eastAsia="Arial" w:cs="Arial"/>
          <w:szCs w:val="24"/>
        </w:rPr>
        <w:t>assessment of safety cases.</w:t>
      </w:r>
    </w:p>
    <w:p w14:paraId="16E964CA" w14:textId="77777777" w:rsidR="00CF0C26" w:rsidRDefault="00CF0C26" w:rsidP="00CF0C26">
      <w:pPr>
        <w:pStyle w:val="ListParagraph"/>
      </w:pPr>
    </w:p>
    <w:p w14:paraId="055487C6" w14:textId="77777777" w:rsidR="00CF0C26" w:rsidRPr="00CD182A" w:rsidRDefault="00CF0C26" w:rsidP="00CF0C26">
      <w:pPr>
        <w:pStyle w:val="ListParagraph"/>
        <w:spacing w:after="0" w:line="22" w:lineRule="atLeast"/>
        <w:ind w:left="567"/>
        <w:contextualSpacing w:val="0"/>
        <w:jc w:val="lowKashida"/>
      </w:pPr>
    </w:p>
    <w:p w14:paraId="1715D2CB" w14:textId="695A3B37" w:rsidR="00A851A2" w:rsidRPr="00D0440A" w:rsidRDefault="00F12F2E" w:rsidP="00D0440A">
      <w:pPr>
        <w:pStyle w:val="ListParagraph"/>
        <w:keepNext/>
        <w:numPr>
          <w:ilvl w:val="1"/>
          <w:numId w:val="6"/>
        </w:numPr>
        <w:spacing w:after="0"/>
        <w:ind w:left="851" w:hanging="851"/>
        <w:contextualSpacing w:val="0"/>
        <w:rPr>
          <w:b/>
          <w:bCs/>
          <w:sz w:val="32"/>
          <w:szCs w:val="32"/>
        </w:rPr>
      </w:pPr>
      <w:r w:rsidRPr="00D0440A">
        <w:rPr>
          <w:b/>
          <w:sz w:val="32"/>
          <w:szCs w:val="32"/>
        </w:rPr>
        <w:t>Why is government intervention necessary, and what gaps or harms would occur without intervention</w:t>
      </w:r>
      <w:r w:rsidR="00E61A52" w:rsidRPr="00D0440A">
        <w:rPr>
          <w:b/>
          <w:sz w:val="32"/>
          <w:szCs w:val="32"/>
        </w:rPr>
        <w:t xml:space="preserve">  </w:t>
      </w:r>
    </w:p>
    <w:bookmarkEnd w:id="0"/>
    <w:p w14:paraId="46DA510D" w14:textId="6D3ABBE7" w:rsidR="00AE7C86" w:rsidRPr="00D56E16" w:rsidRDefault="004C095D" w:rsidP="00F76E4E">
      <w:pPr>
        <w:keepNext/>
        <w:spacing w:after="0" w:line="23" w:lineRule="atLeast"/>
        <w:ind w:left="360"/>
        <w:jc w:val="lowKashida"/>
        <w:rPr>
          <w:b/>
          <w:bCs/>
          <w:vanish/>
          <w:sz w:val="32"/>
          <w:szCs w:val="32"/>
        </w:rPr>
      </w:pPr>
      <w:r w:rsidRPr="00D56E16">
        <w:rPr>
          <w:rFonts w:eastAsia="Arial" w:cs="Arial"/>
          <w:szCs w:val="24"/>
        </w:rPr>
        <w:t xml:space="preserve"> </w:t>
      </w:r>
      <w:r w:rsidR="00734767" w:rsidRPr="00D56E16">
        <w:rPr>
          <w:rFonts w:eastAsia="Arial" w:cs="Arial"/>
          <w:szCs w:val="24"/>
        </w:rPr>
        <w:t xml:space="preserve"> </w:t>
      </w:r>
    </w:p>
    <w:p w14:paraId="41DD0101" w14:textId="77777777" w:rsidR="00C77E43" w:rsidRPr="00C77E43" w:rsidRDefault="00C77E43" w:rsidP="00F76E4E">
      <w:pPr>
        <w:keepNext/>
        <w:spacing w:after="0" w:line="23" w:lineRule="atLeast"/>
        <w:jc w:val="lowKashida"/>
      </w:pPr>
    </w:p>
    <w:p w14:paraId="21D4AC43" w14:textId="5C19C977" w:rsidR="00C77E43" w:rsidRPr="00752100" w:rsidRDefault="00C77E43" w:rsidP="00F76E4E">
      <w:pPr>
        <w:pStyle w:val="ListParagraph"/>
        <w:keepNext/>
        <w:numPr>
          <w:ilvl w:val="2"/>
          <w:numId w:val="6"/>
        </w:numPr>
        <w:spacing w:after="0" w:line="22" w:lineRule="atLeast"/>
        <w:ind w:left="567" w:hanging="567"/>
        <w:contextualSpacing w:val="0"/>
        <w:jc w:val="lowKashida"/>
      </w:pPr>
      <w:r w:rsidRPr="00B60C99">
        <w:rPr>
          <w:rFonts w:asciiTheme="minorBidi" w:hAnsiTheme="minorBidi" w:cstheme="minorBidi"/>
        </w:rPr>
        <w:t>HSE considers intervention by way of changes to the existing major hazards regulatory framework is necessary for the following reasons:</w:t>
      </w:r>
    </w:p>
    <w:p w14:paraId="48FDA692" w14:textId="77777777" w:rsidR="00752100" w:rsidRDefault="00752100" w:rsidP="00752100">
      <w:pPr>
        <w:spacing w:after="0" w:line="23" w:lineRule="atLeast"/>
        <w:ind w:left="347"/>
        <w:jc w:val="lowKashida"/>
      </w:pPr>
    </w:p>
    <w:p w14:paraId="0B71BA25" w14:textId="791FC7A4" w:rsidR="00752100" w:rsidRPr="00EA2CBD" w:rsidRDefault="00752100" w:rsidP="000D05F9">
      <w:pPr>
        <w:spacing w:after="0" w:line="23" w:lineRule="atLeast"/>
        <w:jc w:val="lowKashida"/>
        <w:rPr>
          <w:rFonts w:asciiTheme="minorBidi" w:hAnsiTheme="minorBidi" w:cstheme="minorBidi"/>
          <w:b/>
          <w:sz w:val="32"/>
          <w:szCs w:val="32"/>
        </w:rPr>
      </w:pPr>
      <w:r w:rsidRPr="00EA2CBD">
        <w:rPr>
          <w:rFonts w:asciiTheme="minorBidi" w:hAnsiTheme="minorBidi" w:cstheme="minorBidi"/>
          <w:b/>
          <w:sz w:val="32"/>
          <w:szCs w:val="32"/>
        </w:rPr>
        <w:lastRenderedPageBreak/>
        <w:t xml:space="preserve">CCUS </w:t>
      </w:r>
      <w:r w:rsidR="00AE0156">
        <w:rPr>
          <w:rFonts w:asciiTheme="minorBidi" w:hAnsiTheme="minorBidi" w:cstheme="minorBidi"/>
          <w:b/>
          <w:sz w:val="32"/>
          <w:szCs w:val="32"/>
        </w:rPr>
        <w:t>tra</w:t>
      </w:r>
      <w:r w:rsidR="00D62DD1">
        <w:rPr>
          <w:rFonts w:asciiTheme="minorBidi" w:hAnsiTheme="minorBidi" w:cstheme="minorBidi"/>
          <w:b/>
          <w:sz w:val="32"/>
          <w:szCs w:val="32"/>
        </w:rPr>
        <w:t xml:space="preserve">nsport by pipeline </w:t>
      </w:r>
      <w:r w:rsidRPr="00EA2CBD">
        <w:rPr>
          <w:rFonts w:asciiTheme="minorBidi" w:hAnsiTheme="minorBidi" w:cstheme="minorBidi"/>
          <w:b/>
          <w:sz w:val="32"/>
          <w:szCs w:val="32"/>
        </w:rPr>
        <w:t>onshore</w:t>
      </w:r>
    </w:p>
    <w:p w14:paraId="16A6C58C" w14:textId="77777777" w:rsidR="00752100" w:rsidRPr="00752100" w:rsidRDefault="00752100" w:rsidP="00752100">
      <w:pPr>
        <w:spacing w:after="0" w:line="23" w:lineRule="atLeast"/>
        <w:ind w:left="347"/>
        <w:jc w:val="lowKashida"/>
      </w:pPr>
    </w:p>
    <w:p w14:paraId="2AC53E10" w14:textId="26D9A2CB" w:rsidR="00752100" w:rsidRPr="00752100" w:rsidRDefault="00752100" w:rsidP="00EA2CBD">
      <w:pPr>
        <w:pStyle w:val="ListParagraph"/>
        <w:numPr>
          <w:ilvl w:val="2"/>
          <w:numId w:val="6"/>
        </w:numPr>
        <w:spacing w:after="0" w:line="22" w:lineRule="atLeast"/>
        <w:ind w:left="567" w:hanging="567"/>
        <w:contextualSpacing w:val="0"/>
        <w:jc w:val="lowKashida"/>
      </w:pPr>
      <w:r w:rsidRPr="00C9750D">
        <w:rPr>
          <w:rFonts w:asciiTheme="minorBidi" w:hAnsiTheme="minorBidi" w:cstheme="minorBidi"/>
        </w:rPr>
        <w:t>Changes to PSR</w:t>
      </w:r>
      <w:r w:rsidR="00621074">
        <w:rPr>
          <w:rFonts w:asciiTheme="minorBidi" w:hAnsiTheme="minorBidi" w:cstheme="minorBidi"/>
        </w:rPr>
        <w:t>96</w:t>
      </w:r>
      <w:r>
        <w:rPr>
          <w:rStyle w:val="FootnoteReference"/>
          <w:rFonts w:asciiTheme="minorBidi" w:hAnsiTheme="minorBidi" w:cstheme="minorBidi"/>
        </w:rPr>
        <w:footnoteReference w:id="14"/>
      </w:r>
      <w:r w:rsidRPr="00C9750D">
        <w:rPr>
          <w:rFonts w:asciiTheme="minorBidi" w:hAnsiTheme="minorBidi" w:cstheme="minorBidi"/>
        </w:rPr>
        <w:t xml:space="preserve"> </w:t>
      </w:r>
      <w:r w:rsidRPr="00C9750D">
        <w:rPr>
          <w:rFonts w:asciiTheme="minorBidi" w:eastAsia="Times New Roman" w:hAnsiTheme="minorBidi" w:cstheme="minorBidi"/>
        </w:rPr>
        <w:t xml:space="preserve">will ensure </w:t>
      </w:r>
      <w:r>
        <w:rPr>
          <w:rFonts w:asciiTheme="minorBidi" w:eastAsia="Times New Roman" w:hAnsiTheme="minorBidi" w:cstheme="minorBidi"/>
        </w:rPr>
        <w:t>that:</w:t>
      </w:r>
    </w:p>
    <w:p w14:paraId="3B3985DB" w14:textId="790FD4B0" w:rsidR="00752100" w:rsidRPr="00752100" w:rsidRDefault="00752100" w:rsidP="00EA2CBD">
      <w:pPr>
        <w:pStyle w:val="ListParagraph"/>
        <w:numPr>
          <w:ilvl w:val="0"/>
          <w:numId w:val="8"/>
        </w:numPr>
        <w:spacing w:after="0" w:line="22" w:lineRule="atLeast"/>
        <w:ind w:left="851"/>
        <w:contextualSpacing w:val="0"/>
        <w:jc w:val="lowKashida"/>
      </w:pPr>
      <w:r w:rsidRPr="00752100">
        <w:rPr>
          <w:rFonts w:asciiTheme="minorBidi" w:hAnsiTheme="minorBidi" w:cstheme="minorBidi"/>
        </w:rPr>
        <w:t xml:space="preserve">the application of the additional requirements of major accident hazard provisions (MAHPs) of PSR are made explicit. If </w:t>
      </w:r>
      <w:r w:rsidRPr="00FD760A">
        <w:t>CO</w:t>
      </w:r>
      <w:r w:rsidRPr="00752100">
        <w:rPr>
          <w:vertAlign w:val="subscript"/>
        </w:rPr>
        <w:t>2</w:t>
      </w:r>
      <w:r w:rsidRPr="00752100">
        <w:rPr>
          <w:rFonts w:asciiTheme="minorBidi" w:hAnsiTheme="minorBidi" w:cstheme="minorBidi"/>
        </w:rPr>
        <w:t xml:space="preserve"> is not brought into the scope of the major accident hazard provisions of PSR</w:t>
      </w:r>
      <w:r w:rsidR="00621074">
        <w:rPr>
          <w:rFonts w:asciiTheme="minorBidi" w:hAnsiTheme="minorBidi" w:cstheme="minorBidi"/>
        </w:rPr>
        <w:t>96</w:t>
      </w:r>
      <w:r w:rsidRPr="00752100">
        <w:rPr>
          <w:rFonts w:asciiTheme="minorBidi" w:hAnsiTheme="minorBidi" w:cstheme="minorBidi"/>
        </w:rPr>
        <w:t xml:space="preserve">, HSE will not be notified of </w:t>
      </w:r>
      <w:r w:rsidRPr="00FD760A">
        <w:t>CO</w:t>
      </w:r>
      <w:r w:rsidRPr="00752100">
        <w:rPr>
          <w:vertAlign w:val="subscript"/>
        </w:rPr>
        <w:t>2</w:t>
      </w:r>
      <w:r w:rsidRPr="00752100">
        <w:rPr>
          <w:rFonts w:asciiTheme="minorBidi" w:hAnsiTheme="minorBidi" w:cstheme="minorBidi"/>
        </w:rPr>
        <w:t xml:space="preserve"> pipelines before their construction, or their use.</w:t>
      </w:r>
    </w:p>
    <w:p w14:paraId="28D10517" w14:textId="19D7045D" w:rsidR="00752100" w:rsidRPr="006C2EAA" w:rsidRDefault="00752100" w:rsidP="00EA2CBD">
      <w:pPr>
        <w:pStyle w:val="ListParagraph"/>
        <w:numPr>
          <w:ilvl w:val="0"/>
          <w:numId w:val="8"/>
        </w:numPr>
        <w:spacing w:after="0" w:line="22" w:lineRule="atLeast"/>
        <w:ind w:left="851"/>
        <w:contextualSpacing w:val="0"/>
        <w:jc w:val="lowKashida"/>
      </w:pPr>
      <w:r w:rsidRPr="00752100">
        <w:rPr>
          <w:rFonts w:asciiTheme="minorBidi" w:hAnsiTheme="minorBidi" w:cstheme="minorBidi"/>
        </w:rPr>
        <w:t xml:space="preserve">any future developments around </w:t>
      </w:r>
      <w:r w:rsidRPr="00FD760A">
        <w:t>CO</w:t>
      </w:r>
      <w:r w:rsidRPr="00752100">
        <w:rPr>
          <w:vertAlign w:val="subscript"/>
        </w:rPr>
        <w:t>2</w:t>
      </w:r>
      <w:r w:rsidRPr="00752100">
        <w:rPr>
          <w:rFonts w:asciiTheme="minorBidi" w:hAnsiTheme="minorBidi" w:cstheme="minorBidi"/>
        </w:rPr>
        <w:t xml:space="preserve"> </w:t>
      </w:r>
      <w:r w:rsidRPr="006C2EAA">
        <w:rPr>
          <w:rFonts w:asciiTheme="minorBidi" w:hAnsiTheme="minorBidi" w:cstheme="minorBidi"/>
        </w:rPr>
        <w:t>pipelines will be subject to consultation zones for land use planning</w:t>
      </w:r>
      <w:r w:rsidR="007A7507" w:rsidRPr="006C2EAA">
        <w:rPr>
          <w:rFonts w:asciiTheme="minorBidi" w:hAnsiTheme="minorBidi" w:cstheme="minorBidi"/>
        </w:rPr>
        <w:t xml:space="preserve">. If </w:t>
      </w:r>
      <w:r w:rsidR="007A7507" w:rsidRPr="006C2EAA">
        <w:t>CO</w:t>
      </w:r>
      <w:r w:rsidR="007A7507" w:rsidRPr="006C2EAA">
        <w:rPr>
          <w:vertAlign w:val="subscript"/>
        </w:rPr>
        <w:t>2</w:t>
      </w:r>
      <w:r w:rsidRPr="006C2EAA">
        <w:rPr>
          <w:rFonts w:asciiTheme="minorBidi" w:hAnsiTheme="minorBidi" w:cstheme="minorBidi"/>
        </w:rPr>
        <w:t>,</w:t>
      </w:r>
      <w:r w:rsidR="007A7507" w:rsidRPr="006C2EAA">
        <w:rPr>
          <w:rFonts w:asciiTheme="minorBidi" w:hAnsiTheme="minorBidi" w:cstheme="minorBidi"/>
        </w:rPr>
        <w:t xml:space="preserve"> is not brought into scope </w:t>
      </w:r>
      <w:r w:rsidR="00E74F37" w:rsidRPr="006C2EAA">
        <w:rPr>
          <w:rFonts w:asciiTheme="minorBidi" w:hAnsiTheme="minorBidi" w:cstheme="minorBidi"/>
        </w:rPr>
        <w:t>it would</w:t>
      </w:r>
      <w:r w:rsidRPr="006C2EAA">
        <w:rPr>
          <w:rFonts w:asciiTheme="minorBidi" w:hAnsiTheme="minorBidi" w:cstheme="minorBidi"/>
        </w:rPr>
        <w:t xml:space="preserve"> creat</w:t>
      </w:r>
      <w:r w:rsidR="00E74F37" w:rsidRPr="006C2EAA">
        <w:rPr>
          <w:rFonts w:asciiTheme="minorBidi" w:hAnsiTheme="minorBidi" w:cstheme="minorBidi"/>
        </w:rPr>
        <w:t>e</w:t>
      </w:r>
      <w:r w:rsidRPr="006C2EAA">
        <w:rPr>
          <w:rFonts w:asciiTheme="minorBidi" w:hAnsiTheme="minorBidi" w:cstheme="minorBidi"/>
        </w:rPr>
        <w:t xml:space="preserve"> the risk that planning applications for developments could be granted without regard to their proximity to the pipeline.</w:t>
      </w:r>
    </w:p>
    <w:p w14:paraId="2DBA7418" w14:textId="77777777" w:rsidR="00752100" w:rsidRPr="00752100" w:rsidRDefault="00752100" w:rsidP="00EA2CBD">
      <w:pPr>
        <w:pStyle w:val="ListParagraph"/>
        <w:spacing w:after="0" w:line="22" w:lineRule="atLeast"/>
        <w:ind w:left="851"/>
        <w:contextualSpacing w:val="0"/>
        <w:jc w:val="lowKashida"/>
      </w:pPr>
    </w:p>
    <w:p w14:paraId="2207FFA7" w14:textId="78C529A0" w:rsidR="00752100" w:rsidRPr="00752100" w:rsidRDefault="00752100" w:rsidP="00EA2CBD">
      <w:pPr>
        <w:pStyle w:val="ListParagraph"/>
        <w:numPr>
          <w:ilvl w:val="2"/>
          <w:numId w:val="6"/>
        </w:numPr>
        <w:spacing w:after="0" w:line="22" w:lineRule="atLeast"/>
        <w:ind w:left="567" w:hanging="567"/>
        <w:contextualSpacing w:val="0"/>
        <w:jc w:val="lowKashida"/>
      </w:pPr>
      <w:r w:rsidRPr="00752100">
        <w:rPr>
          <w:rFonts w:asciiTheme="minorBidi" w:hAnsiTheme="minorBidi" w:cstheme="minorBidi"/>
        </w:rPr>
        <w:t xml:space="preserve">Additionally, if </w:t>
      </w:r>
      <w:r w:rsidRPr="00472F96">
        <w:t>CO</w:t>
      </w:r>
      <w:r w:rsidRPr="00752100">
        <w:rPr>
          <w:vertAlign w:val="subscript"/>
        </w:rPr>
        <w:t>2</w:t>
      </w:r>
      <w:r w:rsidRPr="00752100">
        <w:rPr>
          <w:rFonts w:asciiTheme="minorBidi" w:hAnsiTheme="minorBidi" w:cstheme="minorBidi"/>
        </w:rPr>
        <w:t xml:space="preserve"> is not classed as a dangerous fluid</w:t>
      </w:r>
      <w:r w:rsidR="00FF4C5B">
        <w:rPr>
          <w:rFonts w:asciiTheme="minorBidi" w:hAnsiTheme="minorBidi" w:cstheme="minorBidi"/>
        </w:rPr>
        <w:t>,</w:t>
      </w:r>
      <w:r w:rsidRPr="00752100">
        <w:rPr>
          <w:rFonts w:asciiTheme="minorBidi" w:hAnsiTheme="minorBidi" w:cstheme="minorBidi"/>
        </w:rPr>
        <w:t xml:space="preserve"> then there will be no regulatory requirement for the Local Authority (LA) to prepare an emergency plan that outlines the associated hazards, operating conditions, and evacuation of people.</w:t>
      </w:r>
      <w:r>
        <w:rPr>
          <w:rFonts w:asciiTheme="minorBidi" w:hAnsiTheme="minorBidi" w:cstheme="minorBidi"/>
        </w:rPr>
        <w:t xml:space="preserve"> </w:t>
      </w:r>
      <w:r w:rsidR="00E75469">
        <w:rPr>
          <w:rFonts w:asciiTheme="minorBidi" w:hAnsiTheme="minorBidi" w:cstheme="minorBidi"/>
        </w:rPr>
        <w:t>Changes to the regulations</w:t>
      </w:r>
      <w:r w:rsidRPr="00752100">
        <w:rPr>
          <w:rFonts w:asciiTheme="minorBidi" w:hAnsiTheme="minorBidi" w:cstheme="minorBidi"/>
        </w:rPr>
        <w:t xml:space="preserve"> would allow HSE to influence safety standards at an early stage through the receipt of PSR</w:t>
      </w:r>
      <w:r w:rsidR="00621074">
        <w:rPr>
          <w:rFonts w:asciiTheme="minorBidi" w:hAnsiTheme="minorBidi" w:cstheme="minorBidi"/>
        </w:rPr>
        <w:t>96</w:t>
      </w:r>
      <w:r w:rsidRPr="00752100">
        <w:rPr>
          <w:rFonts w:asciiTheme="minorBidi" w:hAnsiTheme="minorBidi" w:cstheme="minorBidi"/>
        </w:rPr>
        <w:t xml:space="preserve"> notifications and would allow land use planning controls to create consultation zones managing development around pipelines.</w:t>
      </w:r>
    </w:p>
    <w:p w14:paraId="6990DE2E" w14:textId="77777777" w:rsidR="00752100" w:rsidRPr="00752100" w:rsidRDefault="00752100" w:rsidP="00EA2CBD">
      <w:pPr>
        <w:pStyle w:val="ListParagraph"/>
        <w:spacing w:after="0" w:line="22" w:lineRule="atLeast"/>
        <w:ind w:left="567"/>
        <w:contextualSpacing w:val="0"/>
        <w:jc w:val="lowKashida"/>
      </w:pPr>
    </w:p>
    <w:p w14:paraId="02219AA9" w14:textId="20A0A12D" w:rsidR="00752100" w:rsidRPr="000D05F9" w:rsidRDefault="00752100" w:rsidP="00EA2CBD">
      <w:pPr>
        <w:spacing w:after="0" w:line="22" w:lineRule="atLeast"/>
        <w:jc w:val="lowKashida"/>
        <w:rPr>
          <w:rFonts w:asciiTheme="minorBidi" w:hAnsiTheme="minorBidi" w:cstheme="minorBidi"/>
          <w:b/>
          <w:sz w:val="32"/>
          <w:szCs w:val="32"/>
        </w:rPr>
      </w:pPr>
      <w:r w:rsidRPr="000D05F9">
        <w:rPr>
          <w:rFonts w:asciiTheme="minorBidi" w:hAnsiTheme="minorBidi" w:cstheme="minorBidi"/>
          <w:b/>
          <w:sz w:val="32"/>
          <w:szCs w:val="32"/>
        </w:rPr>
        <w:t>CCUS offshore</w:t>
      </w:r>
    </w:p>
    <w:p w14:paraId="1A5656D1" w14:textId="77777777" w:rsidR="00752100" w:rsidRPr="00EA2CBD" w:rsidRDefault="00752100" w:rsidP="00EA2CBD">
      <w:pPr>
        <w:pStyle w:val="ListParagraph"/>
        <w:pBdr>
          <w:top w:val="nil"/>
          <w:left w:val="nil"/>
          <w:bottom w:val="nil"/>
          <w:right w:val="nil"/>
          <w:between w:val="nil"/>
          <w:bar w:val="nil"/>
        </w:pBdr>
        <w:spacing w:after="0" w:line="23" w:lineRule="atLeast"/>
        <w:ind w:left="567"/>
        <w:jc w:val="lowKashida"/>
        <w:rPr>
          <w:rFonts w:asciiTheme="minorBidi" w:eastAsia="Times New Roman" w:hAnsiTheme="minorBidi" w:cstheme="minorBidi"/>
        </w:rPr>
      </w:pPr>
    </w:p>
    <w:p w14:paraId="5ABFA60A" w14:textId="5DAE5126" w:rsidR="00634EAF" w:rsidRDefault="00752100" w:rsidP="00B76479">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eastAsia="Times New Roman" w:hAnsiTheme="minorBidi" w:cstheme="minorBidi"/>
        </w:rPr>
      </w:pPr>
      <w:r w:rsidRPr="00752100">
        <w:rPr>
          <w:rFonts w:asciiTheme="minorBidi" w:hAnsiTheme="minorBidi" w:cstheme="minorBidi"/>
        </w:rPr>
        <w:t xml:space="preserve">Changes to </w:t>
      </w:r>
      <w:r>
        <w:rPr>
          <w:rFonts w:asciiTheme="minorBidi" w:eastAsia="Times New Roman" w:hAnsiTheme="minorBidi" w:cstheme="minorBidi"/>
        </w:rPr>
        <w:t>MAR</w:t>
      </w:r>
      <w:r w:rsidR="00621074">
        <w:rPr>
          <w:rFonts w:asciiTheme="minorBidi" w:eastAsia="Times New Roman" w:hAnsiTheme="minorBidi" w:cstheme="minorBidi"/>
        </w:rPr>
        <w:t>95</w:t>
      </w:r>
      <w:r w:rsidR="003054D4">
        <w:rPr>
          <w:rFonts w:asciiTheme="minorBidi" w:eastAsia="Times New Roman" w:hAnsiTheme="minorBidi" w:cstheme="minorBidi"/>
        </w:rPr>
        <w:t xml:space="preserve"> </w:t>
      </w:r>
      <w:r w:rsidR="00125CA9" w:rsidRPr="0064168A">
        <w:rPr>
          <w:rFonts w:asciiTheme="minorBidi" w:eastAsia="Times New Roman" w:hAnsiTheme="minorBidi" w:cstheme="minorBidi"/>
        </w:rPr>
        <w:t>are required to ensure</w:t>
      </w:r>
      <w:r w:rsidR="00BF3D47">
        <w:rPr>
          <w:rFonts w:asciiTheme="minorBidi" w:eastAsia="Times New Roman" w:hAnsiTheme="minorBidi" w:cstheme="minorBidi"/>
        </w:rPr>
        <w:t xml:space="preserve"> that</w:t>
      </w:r>
      <w:r w:rsidR="00125CA9">
        <w:rPr>
          <w:rFonts w:asciiTheme="minorBidi" w:eastAsia="Times New Roman" w:hAnsiTheme="minorBidi" w:cstheme="minorBidi"/>
        </w:rPr>
        <w:t>:</w:t>
      </w:r>
    </w:p>
    <w:p w14:paraId="153A6981" w14:textId="60F5F3FD" w:rsidR="004826F1" w:rsidRPr="004E1B9A" w:rsidRDefault="00CB1970" w:rsidP="00B76479">
      <w:pPr>
        <w:pStyle w:val="ListParagraph"/>
        <w:numPr>
          <w:ilvl w:val="0"/>
          <w:numId w:val="28"/>
        </w:numPr>
        <w:spacing w:after="0" w:line="22" w:lineRule="atLeast"/>
        <w:contextualSpacing w:val="0"/>
        <w:jc w:val="lowKashida"/>
        <w:rPr>
          <w:rFonts w:asciiTheme="minorBidi" w:hAnsiTheme="minorBidi" w:cstheme="minorBidi"/>
        </w:rPr>
      </w:pPr>
      <w:r>
        <w:rPr>
          <w:rFonts w:asciiTheme="minorBidi" w:hAnsiTheme="minorBidi" w:cstheme="minorBidi"/>
        </w:rPr>
        <w:t>T</w:t>
      </w:r>
      <w:r w:rsidR="004826F1" w:rsidRPr="004E1B9A">
        <w:rPr>
          <w:rFonts w:asciiTheme="minorBidi" w:hAnsiTheme="minorBidi" w:cstheme="minorBidi"/>
        </w:rPr>
        <w:t>he regulations will cover all phases of CO</w:t>
      </w:r>
      <w:r w:rsidR="004826F1" w:rsidRPr="004E1B9A">
        <w:rPr>
          <w:rFonts w:ascii="Cambria Math" w:hAnsi="Cambria Math" w:cs="Cambria Math"/>
        </w:rPr>
        <w:t>₂</w:t>
      </w:r>
      <w:r w:rsidR="004826F1" w:rsidRPr="004E1B9A">
        <w:rPr>
          <w:rFonts w:asciiTheme="minorBidi" w:hAnsiTheme="minorBidi" w:cstheme="minorBidi"/>
        </w:rPr>
        <w:t xml:space="preserve">: gaseous, liquid, and </w:t>
      </w:r>
      <w:proofErr w:type="gramStart"/>
      <w:r w:rsidR="004826F1" w:rsidRPr="004E1B9A">
        <w:rPr>
          <w:rFonts w:asciiTheme="minorBidi" w:hAnsiTheme="minorBidi" w:cstheme="minorBidi"/>
        </w:rPr>
        <w:t>supercritical;</w:t>
      </w:r>
      <w:proofErr w:type="gramEnd"/>
    </w:p>
    <w:p w14:paraId="7CEE2671" w14:textId="2CD71A60" w:rsidR="004826F1" w:rsidRPr="004E1B9A" w:rsidRDefault="00B32188" w:rsidP="00B76479">
      <w:pPr>
        <w:pStyle w:val="ListParagraph"/>
        <w:numPr>
          <w:ilvl w:val="0"/>
          <w:numId w:val="28"/>
        </w:numPr>
        <w:spacing w:after="0" w:line="22" w:lineRule="atLeast"/>
        <w:contextualSpacing w:val="0"/>
        <w:jc w:val="lowKashida"/>
        <w:rPr>
          <w:rFonts w:asciiTheme="minorBidi" w:hAnsiTheme="minorBidi" w:cstheme="minorBidi"/>
        </w:rPr>
      </w:pPr>
      <w:r>
        <w:rPr>
          <w:rFonts w:asciiTheme="minorBidi" w:eastAsia="Times New Roman" w:hAnsiTheme="minorBidi" w:cstheme="minorBidi"/>
        </w:rPr>
        <w:t>T</w:t>
      </w:r>
      <w:r w:rsidR="004826F1" w:rsidRPr="004E1B9A">
        <w:rPr>
          <w:rFonts w:asciiTheme="minorBidi" w:eastAsia="Times New Roman" w:hAnsiTheme="minorBidi" w:cstheme="minorBidi"/>
        </w:rPr>
        <w:t>hese Regulations align with other regulations that will be amended; and</w:t>
      </w:r>
    </w:p>
    <w:p w14:paraId="5745C02D" w14:textId="02A05865" w:rsidR="004826F1" w:rsidRPr="004E1B9A" w:rsidRDefault="00CB1970" w:rsidP="00B76479">
      <w:pPr>
        <w:pStyle w:val="ListParagraph"/>
        <w:numPr>
          <w:ilvl w:val="0"/>
          <w:numId w:val="28"/>
        </w:numPr>
        <w:spacing w:after="0" w:line="22" w:lineRule="atLeast"/>
        <w:contextualSpacing w:val="0"/>
        <w:jc w:val="lowKashida"/>
        <w:rPr>
          <w:rFonts w:asciiTheme="minorBidi" w:hAnsiTheme="minorBidi" w:cstheme="minorBidi"/>
        </w:rPr>
      </w:pPr>
      <w:r>
        <w:rPr>
          <w:rFonts w:asciiTheme="minorBidi" w:eastAsia="Times New Roman" w:hAnsiTheme="minorBidi" w:cstheme="minorBidi"/>
        </w:rPr>
        <w:t>A</w:t>
      </w:r>
      <w:r w:rsidR="004826F1" w:rsidRPr="004E1B9A">
        <w:rPr>
          <w:rFonts w:asciiTheme="minorBidi" w:eastAsia="Times New Roman" w:hAnsiTheme="minorBidi" w:cstheme="minorBidi"/>
        </w:rPr>
        <w:t>ll CCUS installations and projects that may use CO</w:t>
      </w:r>
      <w:r w:rsidR="004826F1" w:rsidRPr="004E1B9A">
        <w:rPr>
          <w:rFonts w:ascii="Cambria Math" w:eastAsia="Times New Roman" w:hAnsi="Cambria Math" w:cs="Cambria Math"/>
        </w:rPr>
        <w:t>₂</w:t>
      </w:r>
      <w:r w:rsidR="004826F1" w:rsidRPr="004E1B9A">
        <w:rPr>
          <w:rFonts w:asciiTheme="minorBidi" w:eastAsia="Times New Roman" w:hAnsiTheme="minorBidi" w:cstheme="minorBidi"/>
        </w:rPr>
        <w:t xml:space="preserve"> subsea injection fall within the scope of these </w:t>
      </w:r>
      <w:r w:rsidR="008E459E">
        <w:rPr>
          <w:rFonts w:asciiTheme="minorBidi" w:eastAsia="Times New Roman" w:hAnsiTheme="minorBidi" w:cstheme="minorBidi"/>
        </w:rPr>
        <w:t>r</w:t>
      </w:r>
      <w:r w:rsidR="004826F1" w:rsidRPr="004E1B9A">
        <w:rPr>
          <w:rFonts w:asciiTheme="minorBidi" w:eastAsia="Times New Roman" w:hAnsiTheme="minorBidi" w:cstheme="minorBidi"/>
        </w:rPr>
        <w:t>egulations</w:t>
      </w:r>
      <w:r w:rsidR="00357636">
        <w:rPr>
          <w:rFonts w:asciiTheme="minorBidi" w:eastAsia="Times New Roman" w:hAnsiTheme="minorBidi" w:cstheme="minorBidi"/>
        </w:rPr>
        <w:t>.</w:t>
      </w:r>
    </w:p>
    <w:p w14:paraId="1091B63E" w14:textId="3806AB3E" w:rsidR="003054D4" w:rsidRDefault="00DD225E" w:rsidP="00B76479">
      <w:pPr>
        <w:pStyle w:val="ListParagraph"/>
        <w:pBdr>
          <w:top w:val="nil"/>
          <w:left w:val="nil"/>
          <w:bottom w:val="nil"/>
          <w:right w:val="nil"/>
          <w:between w:val="nil"/>
          <w:bar w:val="nil"/>
        </w:pBdr>
        <w:spacing w:after="0" w:line="22" w:lineRule="atLeast"/>
        <w:ind w:left="567"/>
        <w:contextualSpacing w:val="0"/>
        <w:jc w:val="lowKashida"/>
        <w:rPr>
          <w:rFonts w:asciiTheme="minorBidi" w:eastAsia="Times New Roman" w:hAnsiTheme="minorBidi" w:cstheme="minorBidi"/>
        </w:rPr>
      </w:pPr>
      <w:r>
        <w:rPr>
          <w:rFonts w:asciiTheme="minorBidi" w:eastAsia="Times New Roman" w:hAnsiTheme="minorBidi" w:cstheme="minorBidi"/>
        </w:rPr>
        <w:t xml:space="preserve"> </w:t>
      </w:r>
    </w:p>
    <w:p w14:paraId="1CD31FBA" w14:textId="08246C55" w:rsidR="00752100" w:rsidRPr="000838DC" w:rsidRDefault="005A258C" w:rsidP="00B76479">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3F52BE">
        <w:rPr>
          <w:rFonts w:asciiTheme="minorBidi" w:eastAsia="Times New Roman" w:hAnsiTheme="minorBidi" w:cstheme="minorBidi"/>
        </w:rPr>
        <w:t>If the definition of “</w:t>
      </w:r>
      <w:r w:rsidRPr="003F52BE">
        <w:rPr>
          <w:rFonts w:asciiTheme="minorBidi" w:eastAsia="Times New Roman" w:hAnsiTheme="minorBidi" w:cstheme="minorBidi"/>
          <w:i/>
          <w:iCs/>
        </w:rPr>
        <w:t>gas</w:t>
      </w:r>
      <w:r w:rsidRPr="003F52BE">
        <w:rPr>
          <w:rFonts w:asciiTheme="minorBidi" w:eastAsia="Times New Roman" w:hAnsiTheme="minorBidi" w:cstheme="minorBidi"/>
        </w:rPr>
        <w:t>” in the AOGBO is extended to MAR95, this would ensure there is a clear basis for an installation used for the storage of CO</w:t>
      </w:r>
      <w:r w:rsidRPr="003F52BE">
        <w:rPr>
          <w:rFonts w:asciiTheme="minorBidi" w:eastAsia="Times New Roman" w:hAnsiTheme="minorBidi" w:cstheme="minorBidi"/>
          <w:vertAlign w:val="subscript"/>
        </w:rPr>
        <w:t>2</w:t>
      </w:r>
      <w:r w:rsidRPr="003F52BE">
        <w:rPr>
          <w:rFonts w:asciiTheme="minorBidi" w:eastAsia="Times New Roman" w:hAnsiTheme="minorBidi" w:cstheme="minorBidi"/>
        </w:rPr>
        <w:t xml:space="preserve"> to qualify as an offshore installation under MAR</w:t>
      </w:r>
      <w:r>
        <w:rPr>
          <w:rFonts w:asciiTheme="minorBidi" w:eastAsia="Times New Roman" w:hAnsiTheme="minorBidi" w:cstheme="minorBidi"/>
        </w:rPr>
        <w:t>95.</w:t>
      </w:r>
    </w:p>
    <w:p w14:paraId="7B86E2C5" w14:textId="77777777" w:rsidR="001C5464" w:rsidRPr="000838DC" w:rsidRDefault="001C5464" w:rsidP="00B76479">
      <w:pPr>
        <w:pStyle w:val="ListParagraph"/>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p>
    <w:p w14:paraId="25E6784D" w14:textId="64809295" w:rsidR="00A74384" w:rsidRPr="005A2799" w:rsidRDefault="00D44380" w:rsidP="00B76479">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5A2799">
        <w:rPr>
          <w:rFonts w:asciiTheme="minorBidi" w:eastAsia="Times New Roman" w:hAnsiTheme="minorBidi" w:cstheme="minorBidi"/>
        </w:rPr>
        <w:t xml:space="preserve">Changes to </w:t>
      </w:r>
      <w:r w:rsidR="003D7723" w:rsidRPr="00C367DA">
        <w:rPr>
          <w:rFonts w:asciiTheme="minorBidi" w:eastAsia="Times New Roman" w:hAnsiTheme="minorBidi" w:cstheme="minorBidi"/>
        </w:rPr>
        <w:t>SCR15</w:t>
      </w:r>
      <w:r w:rsidRPr="005A2799">
        <w:rPr>
          <w:rFonts w:asciiTheme="minorBidi" w:eastAsia="Times New Roman" w:hAnsiTheme="minorBidi" w:cstheme="minorBidi"/>
        </w:rPr>
        <w:t xml:space="preserve"> are required to ensure: </w:t>
      </w:r>
    </w:p>
    <w:p w14:paraId="3E949634" w14:textId="533F9784" w:rsidR="00D44380" w:rsidRPr="00752100" w:rsidRDefault="00B32188" w:rsidP="00B76479">
      <w:pPr>
        <w:pStyle w:val="ListParagraph"/>
        <w:numPr>
          <w:ilvl w:val="0"/>
          <w:numId w:val="19"/>
        </w:numPr>
        <w:pBdr>
          <w:top w:val="nil"/>
          <w:left w:val="nil"/>
          <w:bottom w:val="nil"/>
          <w:right w:val="nil"/>
          <w:between w:val="nil"/>
          <w:bar w:val="nil"/>
        </w:pBdr>
        <w:spacing w:after="0" w:line="22" w:lineRule="atLeast"/>
        <w:ind w:left="1134"/>
        <w:contextualSpacing w:val="0"/>
        <w:jc w:val="lowKashida"/>
        <w:rPr>
          <w:rFonts w:asciiTheme="minorBidi" w:hAnsiTheme="minorBidi" w:cstheme="minorBidi"/>
          <w:b/>
          <w:bCs/>
        </w:rPr>
      </w:pPr>
      <w:r>
        <w:rPr>
          <w:rFonts w:asciiTheme="minorBidi" w:eastAsia="Times New Roman" w:hAnsiTheme="minorBidi" w:cstheme="minorBidi"/>
        </w:rPr>
        <w:t>T</w:t>
      </w:r>
      <w:r w:rsidR="00D44380" w:rsidRPr="65912211">
        <w:rPr>
          <w:rFonts w:asciiTheme="minorBidi" w:eastAsia="Times New Roman" w:hAnsiTheme="minorBidi" w:cstheme="minorBidi"/>
        </w:rPr>
        <w:t xml:space="preserve">hat MAH duties are extended to regulate CCUS, </w:t>
      </w:r>
      <w:proofErr w:type="gramStart"/>
      <w:r w:rsidR="00D44380" w:rsidRPr="65912211">
        <w:rPr>
          <w:rFonts w:asciiTheme="minorBidi" w:eastAsia="Times New Roman" w:hAnsiTheme="minorBidi" w:cstheme="minorBidi"/>
        </w:rPr>
        <w:t>in particular the</w:t>
      </w:r>
      <w:proofErr w:type="gramEnd"/>
      <w:r w:rsidR="00D44380" w:rsidRPr="65912211">
        <w:rPr>
          <w:rFonts w:asciiTheme="minorBidi" w:eastAsia="Times New Roman" w:hAnsiTheme="minorBidi" w:cstheme="minorBidi"/>
        </w:rPr>
        <w:t xml:space="preserve"> requirement for operators of installations to prepare a safety case.</w:t>
      </w:r>
    </w:p>
    <w:p w14:paraId="44A7BBB4" w14:textId="77777777" w:rsidR="00752100" w:rsidRPr="00752100" w:rsidRDefault="00752100" w:rsidP="00B76479">
      <w:pPr>
        <w:pStyle w:val="ListParagraph"/>
        <w:pBdr>
          <w:top w:val="nil"/>
          <w:left w:val="nil"/>
          <w:bottom w:val="nil"/>
          <w:right w:val="nil"/>
          <w:between w:val="nil"/>
          <w:bar w:val="nil"/>
        </w:pBdr>
        <w:spacing w:after="0" w:line="22" w:lineRule="atLeast"/>
        <w:ind w:left="567"/>
        <w:contextualSpacing w:val="0"/>
        <w:jc w:val="lowKashida"/>
        <w:rPr>
          <w:rFonts w:asciiTheme="minorBidi" w:hAnsiTheme="minorBidi" w:cstheme="minorBidi"/>
          <w:b/>
          <w:bCs/>
        </w:rPr>
      </w:pPr>
    </w:p>
    <w:p w14:paraId="420CAFB7" w14:textId="7E25619A" w:rsidR="00752100" w:rsidRPr="00290C1A" w:rsidRDefault="00752100" w:rsidP="00B76479">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FD760A">
        <w:rPr>
          <w:rFonts w:asciiTheme="minorBidi" w:eastAsia="Times New Roman" w:hAnsiTheme="minorBidi" w:cstheme="minorBidi"/>
        </w:rPr>
        <w:t xml:space="preserve">Changes to </w:t>
      </w:r>
      <w:r w:rsidR="00290C1A">
        <w:rPr>
          <w:rFonts w:asciiTheme="minorBidi" w:eastAsia="Times New Roman" w:hAnsiTheme="minorBidi" w:cstheme="minorBidi"/>
        </w:rPr>
        <w:t>DCR</w:t>
      </w:r>
      <w:r w:rsidR="00621074">
        <w:rPr>
          <w:rFonts w:asciiTheme="minorBidi" w:eastAsia="Times New Roman" w:hAnsiTheme="minorBidi" w:cstheme="minorBidi"/>
        </w:rPr>
        <w:t>96</w:t>
      </w:r>
      <w:r w:rsidRPr="00FD760A">
        <w:rPr>
          <w:rFonts w:asciiTheme="minorBidi" w:eastAsia="Times New Roman" w:hAnsiTheme="minorBidi" w:cstheme="minorBidi"/>
        </w:rPr>
        <w:t xml:space="preserve"> </w:t>
      </w:r>
      <w:r w:rsidRPr="00300B6E">
        <w:rPr>
          <w:rFonts w:asciiTheme="minorBidi" w:eastAsia="Times New Roman" w:hAnsiTheme="minorBidi" w:cstheme="minorBidi"/>
        </w:rPr>
        <w:t>are required to</w:t>
      </w:r>
      <w:r>
        <w:rPr>
          <w:rFonts w:asciiTheme="minorBidi" w:eastAsia="Times New Roman" w:hAnsiTheme="minorBidi" w:cstheme="minorBidi"/>
        </w:rPr>
        <w:t xml:space="preserve"> ensure:</w:t>
      </w:r>
    </w:p>
    <w:p w14:paraId="2A5F6E44" w14:textId="683B32AE" w:rsidR="00290C1A" w:rsidRPr="00290C1A" w:rsidRDefault="00B32188" w:rsidP="00B76479">
      <w:pPr>
        <w:pStyle w:val="ListParagraph"/>
        <w:numPr>
          <w:ilvl w:val="0"/>
          <w:numId w:val="9"/>
        </w:numPr>
        <w:pBdr>
          <w:top w:val="nil"/>
          <w:left w:val="nil"/>
          <w:bottom w:val="nil"/>
          <w:right w:val="nil"/>
          <w:between w:val="nil"/>
          <w:bar w:val="nil"/>
        </w:pBdr>
        <w:spacing w:after="0" w:line="22" w:lineRule="atLeast"/>
        <w:ind w:left="1134"/>
        <w:contextualSpacing w:val="0"/>
        <w:jc w:val="lowKashida"/>
        <w:rPr>
          <w:rFonts w:asciiTheme="minorBidi" w:hAnsiTheme="minorBidi" w:cstheme="minorBidi"/>
        </w:rPr>
      </w:pPr>
      <w:r>
        <w:rPr>
          <w:rFonts w:asciiTheme="minorBidi" w:eastAsia="Times New Roman" w:hAnsiTheme="minorBidi" w:cstheme="minorBidi"/>
        </w:rPr>
        <w:t xml:space="preserve">That </w:t>
      </w:r>
      <w:r w:rsidR="00290C1A" w:rsidRPr="00290C1A">
        <w:rPr>
          <w:rFonts w:asciiTheme="minorBidi" w:eastAsia="Times New Roman" w:hAnsiTheme="minorBidi" w:cstheme="minorBidi"/>
        </w:rPr>
        <w:t xml:space="preserve">CCUS activities are included in the scope of the </w:t>
      </w:r>
      <w:proofErr w:type="gramStart"/>
      <w:r w:rsidR="00290C1A" w:rsidRPr="00290C1A">
        <w:rPr>
          <w:rFonts w:asciiTheme="minorBidi" w:eastAsia="Times New Roman" w:hAnsiTheme="minorBidi" w:cstheme="minorBidi"/>
        </w:rPr>
        <w:t>regulations</w:t>
      </w:r>
      <w:r w:rsidR="008F6B8A">
        <w:rPr>
          <w:rFonts w:asciiTheme="minorBidi" w:eastAsia="Times New Roman" w:hAnsiTheme="minorBidi" w:cstheme="minorBidi"/>
        </w:rPr>
        <w:t>;</w:t>
      </w:r>
      <w:proofErr w:type="gramEnd"/>
    </w:p>
    <w:p w14:paraId="2A15F6BA" w14:textId="2524E18E" w:rsidR="00290C1A" w:rsidRPr="00290C1A" w:rsidRDefault="009D2B4D" w:rsidP="00B76479">
      <w:pPr>
        <w:pStyle w:val="ListParagraph"/>
        <w:numPr>
          <w:ilvl w:val="0"/>
          <w:numId w:val="9"/>
        </w:numPr>
        <w:pBdr>
          <w:top w:val="nil"/>
          <w:left w:val="nil"/>
          <w:bottom w:val="nil"/>
          <w:right w:val="nil"/>
          <w:between w:val="nil"/>
          <w:bar w:val="nil"/>
        </w:pBdr>
        <w:spacing w:after="0" w:line="22" w:lineRule="atLeast"/>
        <w:ind w:left="1134"/>
        <w:contextualSpacing w:val="0"/>
        <w:jc w:val="lowKashida"/>
        <w:rPr>
          <w:rFonts w:asciiTheme="minorBidi" w:hAnsiTheme="minorBidi" w:cstheme="minorBidi"/>
        </w:rPr>
      </w:pPr>
      <w:r>
        <w:rPr>
          <w:rFonts w:asciiTheme="minorBidi" w:hAnsiTheme="minorBidi" w:cstheme="minorBidi"/>
        </w:rPr>
        <w:t>T</w:t>
      </w:r>
      <w:r w:rsidR="00290C1A" w:rsidRPr="00290C1A">
        <w:rPr>
          <w:rFonts w:asciiTheme="minorBidi" w:hAnsiTheme="minorBidi" w:cstheme="minorBidi"/>
        </w:rPr>
        <w:t xml:space="preserve">hese Regulations align with other regulations that will be </w:t>
      </w:r>
      <w:proofErr w:type="gramStart"/>
      <w:r w:rsidR="00290C1A" w:rsidRPr="00290C1A">
        <w:rPr>
          <w:rFonts w:asciiTheme="minorBidi" w:hAnsiTheme="minorBidi" w:cstheme="minorBidi"/>
        </w:rPr>
        <w:t>amended</w:t>
      </w:r>
      <w:r w:rsidR="00C7013F">
        <w:rPr>
          <w:rFonts w:asciiTheme="minorBidi" w:hAnsiTheme="minorBidi" w:cstheme="minorBidi"/>
        </w:rPr>
        <w:t>;</w:t>
      </w:r>
      <w:proofErr w:type="gramEnd"/>
    </w:p>
    <w:p w14:paraId="27A7171D" w14:textId="5C6BC21A" w:rsidR="00290C1A" w:rsidRPr="00290C1A" w:rsidRDefault="009D2B4D" w:rsidP="00B76479">
      <w:pPr>
        <w:pStyle w:val="ListParagraph"/>
        <w:numPr>
          <w:ilvl w:val="0"/>
          <w:numId w:val="9"/>
        </w:numPr>
        <w:pBdr>
          <w:top w:val="nil"/>
          <w:left w:val="nil"/>
          <w:bottom w:val="nil"/>
          <w:right w:val="nil"/>
          <w:between w:val="nil"/>
          <w:bar w:val="nil"/>
        </w:pBdr>
        <w:spacing w:after="0" w:line="22" w:lineRule="atLeast"/>
        <w:ind w:left="1134"/>
        <w:contextualSpacing w:val="0"/>
        <w:jc w:val="lowKashida"/>
        <w:rPr>
          <w:rFonts w:asciiTheme="minorBidi" w:hAnsiTheme="minorBidi" w:cstheme="minorBidi"/>
        </w:rPr>
      </w:pPr>
      <w:r>
        <w:rPr>
          <w:rFonts w:asciiTheme="minorBidi" w:hAnsiTheme="minorBidi" w:cstheme="minorBidi"/>
        </w:rPr>
        <w:t>T</w:t>
      </w:r>
      <w:r w:rsidR="00290C1A">
        <w:rPr>
          <w:rFonts w:asciiTheme="minorBidi" w:hAnsiTheme="minorBidi" w:cstheme="minorBidi"/>
        </w:rPr>
        <w:t xml:space="preserve">hat </w:t>
      </w:r>
      <w:r w:rsidR="00290C1A" w:rsidRPr="00290C1A">
        <w:rPr>
          <w:rFonts w:asciiTheme="minorBidi" w:hAnsiTheme="minorBidi" w:cstheme="minorBidi"/>
        </w:rPr>
        <w:t>all phases of CO</w:t>
      </w:r>
      <w:r w:rsidR="00290C1A" w:rsidRPr="00290C1A">
        <w:rPr>
          <w:rFonts w:ascii="Cambria Math" w:hAnsi="Cambria Math" w:cs="Cambria Math"/>
        </w:rPr>
        <w:t>₂</w:t>
      </w:r>
      <w:r w:rsidR="00290C1A" w:rsidRPr="00290C1A">
        <w:rPr>
          <w:rFonts w:asciiTheme="minorBidi" w:hAnsiTheme="minorBidi" w:cstheme="minorBidi"/>
        </w:rPr>
        <w:t xml:space="preserve">, gaseous, liquid, and supercritical, </w:t>
      </w:r>
      <w:r w:rsidR="00290C1A">
        <w:rPr>
          <w:rFonts w:asciiTheme="minorBidi" w:hAnsiTheme="minorBidi" w:cstheme="minorBidi"/>
        </w:rPr>
        <w:t xml:space="preserve">are </w:t>
      </w:r>
      <w:r w:rsidR="00290C1A" w:rsidRPr="00290C1A">
        <w:rPr>
          <w:rFonts w:asciiTheme="minorBidi" w:hAnsiTheme="minorBidi" w:cstheme="minorBidi"/>
        </w:rPr>
        <w:t>include</w:t>
      </w:r>
      <w:r w:rsidR="00290C1A">
        <w:rPr>
          <w:rFonts w:asciiTheme="minorBidi" w:hAnsiTheme="minorBidi" w:cstheme="minorBidi"/>
        </w:rPr>
        <w:t>d</w:t>
      </w:r>
      <w:r w:rsidR="00290C1A" w:rsidRPr="00290C1A">
        <w:rPr>
          <w:rFonts w:asciiTheme="minorBidi" w:hAnsiTheme="minorBidi" w:cstheme="minorBidi"/>
        </w:rPr>
        <w:t xml:space="preserve"> within the scope of these </w:t>
      </w:r>
      <w:proofErr w:type="gramStart"/>
      <w:r w:rsidR="008E459E">
        <w:rPr>
          <w:rFonts w:asciiTheme="minorBidi" w:hAnsiTheme="minorBidi" w:cstheme="minorBidi"/>
        </w:rPr>
        <w:t>r</w:t>
      </w:r>
      <w:r w:rsidR="00290C1A" w:rsidRPr="00290C1A">
        <w:rPr>
          <w:rFonts w:asciiTheme="minorBidi" w:hAnsiTheme="minorBidi" w:cstheme="minorBidi"/>
        </w:rPr>
        <w:t>egulations</w:t>
      </w:r>
      <w:r w:rsidR="00C7013F">
        <w:rPr>
          <w:rFonts w:asciiTheme="minorBidi" w:hAnsiTheme="minorBidi" w:cstheme="minorBidi"/>
        </w:rPr>
        <w:t>;</w:t>
      </w:r>
      <w:proofErr w:type="gramEnd"/>
      <w:r w:rsidR="00290C1A" w:rsidRPr="00290C1A">
        <w:rPr>
          <w:rFonts w:asciiTheme="minorBidi" w:hAnsiTheme="minorBidi" w:cstheme="minorBidi"/>
        </w:rPr>
        <w:t xml:space="preserve"> </w:t>
      </w:r>
    </w:p>
    <w:p w14:paraId="502E6955" w14:textId="29C1099D" w:rsidR="00290C1A" w:rsidRPr="00290C1A" w:rsidRDefault="009D2B4D" w:rsidP="00B76479">
      <w:pPr>
        <w:pStyle w:val="ListParagraph"/>
        <w:numPr>
          <w:ilvl w:val="0"/>
          <w:numId w:val="9"/>
        </w:numPr>
        <w:pBdr>
          <w:top w:val="nil"/>
          <w:left w:val="nil"/>
          <w:bottom w:val="nil"/>
          <w:right w:val="nil"/>
          <w:between w:val="nil"/>
          <w:bar w:val="nil"/>
        </w:pBdr>
        <w:spacing w:after="0" w:line="22" w:lineRule="atLeast"/>
        <w:ind w:left="1134"/>
        <w:contextualSpacing w:val="0"/>
        <w:jc w:val="lowKashida"/>
        <w:rPr>
          <w:rFonts w:asciiTheme="minorBidi" w:hAnsiTheme="minorBidi" w:cstheme="minorBidi"/>
        </w:rPr>
      </w:pPr>
      <w:r>
        <w:rPr>
          <w:rFonts w:asciiTheme="minorBidi" w:hAnsiTheme="minorBidi" w:cstheme="minorBidi"/>
        </w:rPr>
        <w:t>T</w:t>
      </w:r>
      <w:r w:rsidR="00290C1A" w:rsidRPr="00290C1A">
        <w:rPr>
          <w:rFonts w:asciiTheme="minorBidi" w:hAnsiTheme="minorBidi" w:cstheme="minorBidi"/>
        </w:rPr>
        <w:t>hat all CCUS projects that may use CO</w:t>
      </w:r>
      <w:r w:rsidR="00290C1A" w:rsidRPr="00290C1A">
        <w:rPr>
          <w:rFonts w:ascii="Cambria Math" w:hAnsi="Cambria Math" w:cs="Cambria Math"/>
        </w:rPr>
        <w:t>₂</w:t>
      </w:r>
      <w:r w:rsidR="00290C1A" w:rsidRPr="00290C1A">
        <w:rPr>
          <w:rFonts w:asciiTheme="minorBidi" w:hAnsiTheme="minorBidi" w:cstheme="minorBidi"/>
        </w:rPr>
        <w:t xml:space="preserve"> subsea injection will be within the scope of these Regulations.</w:t>
      </w:r>
    </w:p>
    <w:p w14:paraId="6ADAB530" w14:textId="77777777" w:rsidR="00290C1A" w:rsidRPr="00290C1A" w:rsidRDefault="00290C1A" w:rsidP="00974DB3">
      <w:pPr>
        <w:pStyle w:val="ListParagraph"/>
        <w:pBdr>
          <w:top w:val="nil"/>
          <w:left w:val="nil"/>
          <w:bottom w:val="nil"/>
          <w:right w:val="nil"/>
          <w:between w:val="nil"/>
          <w:bar w:val="nil"/>
        </w:pBdr>
        <w:spacing w:after="0" w:line="23" w:lineRule="atLeast"/>
        <w:ind w:left="567"/>
        <w:jc w:val="lowKashida"/>
        <w:rPr>
          <w:rFonts w:asciiTheme="minorBidi" w:hAnsiTheme="minorBidi" w:cstheme="minorBidi"/>
          <w:b/>
          <w:bCs/>
        </w:rPr>
      </w:pPr>
    </w:p>
    <w:p w14:paraId="72F2E583" w14:textId="1005CE73" w:rsidR="00E575E8" w:rsidRPr="00E575E8" w:rsidRDefault="00290C1A" w:rsidP="00E575E8">
      <w:pPr>
        <w:pStyle w:val="ListParagraph"/>
        <w:numPr>
          <w:ilvl w:val="2"/>
          <w:numId w:val="6"/>
        </w:numPr>
        <w:pBdr>
          <w:top w:val="nil"/>
          <w:left w:val="nil"/>
          <w:bottom w:val="nil"/>
          <w:right w:val="nil"/>
          <w:between w:val="nil"/>
          <w:bar w:val="nil"/>
        </w:pBdr>
        <w:spacing w:after="0" w:line="23" w:lineRule="atLeast"/>
        <w:ind w:left="567"/>
        <w:jc w:val="lowKashida"/>
        <w:rPr>
          <w:rFonts w:asciiTheme="minorBidi" w:hAnsiTheme="minorBidi" w:cstheme="minorBidi"/>
          <w:b/>
          <w:bCs/>
        </w:rPr>
      </w:pPr>
      <w:r w:rsidRPr="00235BAF">
        <w:rPr>
          <w:rFonts w:eastAsia="Arial" w:cs="Arial"/>
          <w:szCs w:val="24"/>
        </w:rPr>
        <w:t xml:space="preserve">Changes to </w:t>
      </w:r>
      <w:r w:rsidRPr="00235BAF">
        <w:rPr>
          <w:rFonts w:asciiTheme="minorBidi" w:eastAsia="Times New Roman" w:hAnsiTheme="minorBidi" w:cstheme="minorBidi"/>
          <w:szCs w:val="24"/>
        </w:rPr>
        <w:t>AOGBO</w:t>
      </w:r>
      <w:r w:rsidRPr="00235BAF">
        <w:rPr>
          <w:rFonts w:eastAsia="Arial" w:cs="Arial"/>
          <w:szCs w:val="24"/>
        </w:rPr>
        <w:t xml:space="preserve"> </w:t>
      </w:r>
      <w:r w:rsidRPr="00235BAF">
        <w:rPr>
          <w:rFonts w:asciiTheme="minorBidi" w:eastAsia="Times New Roman" w:hAnsiTheme="minorBidi" w:cstheme="minorBidi"/>
        </w:rPr>
        <w:t>are required to</w:t>
      </w:r>
      <w:r w:rsidR="00E575E8">
        <w:rPr>
          <w:rFonts w:asciiTheme="minorBidi" w:eastAsia="Times New Roman" w:hAnsiTheme="minorBidi" w:cstheme="minorBidi"/>
        </w:rPr>
        <w:t>:</w:t>
      </w:r>
      <w:r w:rsidRPr="00235BAF">
        <w:rPr>
          <w:rFonts w:asciiTheme="minorBidi" w:eastAsia="Times New Roman" w:hAnsiTheme="minorBidi" w:cstheme="minorBidi"/>
        </w:rPr>
        <w:t xml:space="preserve"> </w:t>
      </w:r>
    </w:p>
    <w:p w14:paraId="5D1F2B24" w14:textId="49CDD570" w:rsidR="00290C1A" w:rsidRPr="00290C1A" w:rsidRDefault="00290C1A" w:rsidP="00E575E8">
      <w:pPr>
        <w:pStyle w:val="ListParagraph"/>
        <w:numPr>
          <w:ilvl w:val="3"/>
          <w:numId w:val="6"/>
        </w:numPr>
        <w:pBdr>
          <w:top w:val="nil"/>
          <w:left w:val="nil"/>
          <w:bottom w:val="nil"/>
          <w:right w:val="nil"/>
          <w:between w:val="nil"/>
          <w:bar w:val="nil"/>
        </w:pBdr>
        <w:spacing w:after="0" w:line="23" w:lineRule="atLeast"/>
        <w:jc w:val="lowKashida"/>
        <w:rPr>
          <w:rFonts w:asciiTheme="minorBidi" w:hAnsiTheme="minorBidi" w:cstheme="minorBidi"/>
          <w:b/>
          <w:bCs/>
        </w:rPr>
      </w:pPr>
      <w:r w:rsidRPr="00235BAF">
        <w:rPr>
          <w:rFonts w:asciiTheme="minorBidi" w:eastAsia="Times New Roman" w:hAnsiTheme="minorBidi" w:cstheme="minorBidi"/>
        </w:rPr>
        <w:t>ensure that</w:t>
      </w:r>
      <w:r w:rsidR="00551D7F" w:rsidRPr="00E575E8">
        <w:rPr>
          <w:rFonts w:asciiTheme="minorBidi" w:eastAsia="Times New Roman" w:hAnsiTheme="minorBidi" w:cstheme="minorBidi"/>
        </w:rPr>
        <w:t xml:space="preserve"> the appropriate sections of HSWA are correctly </w:t>
      </w:r>
      <w:r w:rsidR="00235BAF" w:rsidRPr="00E575E8">
        <w:rPr>
          <w:rFonts w:asciiTheme="minorBidi" w:eastAsia="Times New Roman" w:hAnsiTheme="minorBidi" w:cstheme="minorBidi"/>
        </w:rPr>
        <w:t xml:space="preserve">applied to the activities as they will be defined following the proposed changes. </w:t>
      </w:r>
    </w:p>
    <w:p w14:paraId="652A4118" w14:textId="77777777" w:rsidR="00290C1A" w:rsidRPr="000D05F9" w:rsidRDefault="00290C1A" w:rsidP="00290C1A">
      <w:pPr>
        <w:pStyle w:val="ListParagraph"/>
        <w:pBdr>
          <w:top w:val="nil"/>
          <w:left w:val="nil"/>
          <w:bottom w:val="nil"/>
          <w:right w:val="nil"/>
          <w:between w:val="nil"/>
          <w:bar w:val="nil"/>
        </w:pBdr>
        <w:spacing w:after="0" w:line="23" w:lineRule="atLeast"/>
        <w:ind w:left="851"/>
        <w:jc w:val="lowKashida"/>
        <w:rPr>
          <w:rFonts w:asciiTheme="minorBidi" w:eastAsia="Times New Roman" w:hAnsiTheme="minorBidi" w:cstheme="minorBidi"/>
          <w:sz w:val="28"/>
          <w:szCs w:val="28"/>
        </w:rPr>
      </w:pPr>
    </w:p>
    <w:p w14:paraId="37E9C7A0" w14:textId="77777777" w:rsidR="00FD3DAE" w:rsidRDefault="00FD3DAE" w:rsidP="00290C1A">
      <w:pPr>
        <w:pStyle w:val="ListParagraph"/>
        <w:pBdr>
          <w:top w:val="nil"/>
          <w:left w:val="nil"/>
          <w:bottom w:val="nil"/>
          <w:right w:val="nil"/>
          <w:between w:val="nil"/>
          <w:bar w:val="nil"/>
        </w:pBdr>
        <w:spacing w:after="0" w:line="23" w:lineRule="atLeast"/>
        <w:ind w:left="851"/>
        <w:jc w:val="lowKashida"/>
        <w:rPr>
          <w:rFonts w:asciiTheme="minorBidi" w:eastAsia="Times New Roman" w:hAnsiTheme="minorBidi" w:cstheme="minorBidi"/>
          <w:sz w:val="28"/>
          <w:szCs w:val="28"/>
        </w:rPr>
      </w:pPr>
    </w:p>
    <w:p w14:paraId="729DAE16" w14:textId="77777777" w:rsidR="00FD3DAE" w:rsidRPr="000D05F9" w:rsidRDefault="00FD3DAE" w:rsidP="00290C1A">
      <w:pPr>
        <w:pStyle w:val="ListParagraph"/>
        <w:pBdr>
          <w:top w:val="nil"/>
          <w:left w:val="nil"/>
          <w:bottom w:val="nil"/>
          <w:right w:val="nil"/>
          <w:between w:val="nil"/>
          <w:bar w:val="nil"/>
        </w:pBdr>
        <w:spacing w:after="0" w:line="23" w:lineRule="atLeast"/>
        <w:ind w:left="851"/>
        <w:jc w:val="lowKashida"/>
        <w:rPr>
          <w:rFonts w:asciiTheme="minorBidi" w:eastAsia="Times New Roman" w:hAnsiTheme="minorBidi" w:cstheme="minorBidi"/>
          <w:sz w:val="28"/>
          <w:szCs w:val="28"/>
        </w:rPr>
      </w:pPr>
    </w:p>
    <w:p w14:paraId="1C46B3FA" w14:textId="5C0024FC" w:rsidR="00290C1A" w:rsidRPr="00D0440A" w:rsidRDefault="00290C1A" w:rsidP="00290C1A">
      <w:pPr>
        <w:pBdr>
          <w:top w:val="nil"/>
          <w:left w:val="nil"/>
          <w:bottom w:val="nil"/>
          <w:right w:val="nil"/>
          <w:between w:val="nil"/>
          <w:bar w:val="nil"/>
        </w:pBdr>
        <w:spacing w:after="0" w:line="23" w:lineRule="atLeast"/>
        <w:jc w:val="lowKashida"/>
        <w:rPr>
          <w:rFonts w:asciiTheme="minorBidi" w:eastAsia="Times New Roman" w:hAnsiTheme="minorBidi" w:cstheme="minorBidi"/>
          <w:sz w:val="32"/>
          <w:szCs w:val="32"/>
        </w:rPr>
      </w:pPr>
      <w:r w:rsidRPr="00D0440A">
        <w:rPr>
          <w:rFonts w:asciiTheme="minorBidi" w:hAnsiTheme="minorBidi" w:cstheme="minorBidi"/>
          <w:b/>
          <w:sz w:val="32"/>
          <w:szCs w:val="32"/>
        </w:rPr>
        <w:lastRenderedPageBreak/>
        <w:t>Offshore hydrogen production</w:t>
      </w:r>
    </w:p>
    <w:p w14:paraId="1AA7C576" w14:textId="77777777" w:rsidR="00290C1A" w:rsidRPr="00290C1A" w:rsidRDefault="00290C1A" w:rsidP="00290C1A">
      <w:pPr>
        <w:pStyle w:val="ListParagraph"/>
        <w:pBdr>
          <w:top w:val="nil"/>
          <w:left w:val="nil"/>
          <w:bottom w:val="nil"/>
          <w:right w:val="nil"/>
          <w:between w:val="nil"/>
          <w:bar w:val="nil"/>
        </w:pBdr>
        <w:spacing w:after="0" w:line="23" w:lineRule="atLeast"/>
        <w:ind w:left="851"/>
        <w:jc w:val="lowKashida"/>
        <w:rPr>
          <w:rFonts w:asciiTheme="minorBidi" w:hAnsiTheme="minorBidi" w:cstheme="minorBidi"/>
          <w:b/>
          <w:bCs/>
        </w:rPr>
      </w:pPr>
    </w:p>
    <w:p w14:paraId="228BBE2B" w14:textId="1AF99870" w:rsidR="00BD2981" w:rsidRPr="00F634A8" w:rsidRDefault="00290C1A" w:rsidP="005278F0">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F634A8">
        <w:rPr>
          <w:rFonts w:asciiTheme="minorBidi" w:hAnsiTheme="minorBidi" w:cstheme="minorBidi"/>
        </w:rPr>
        <w:t>Changes to MAR</w:t>
      </w:r>
      <w:r w:rsidR="00871B59">
        <w:rPr>
          <w:rFonts w:asciiTheme="minorBidi" w:hAnsiTheme="minorBidi" w:cstheme="minorBidi"/>
        </w:rPr>
        <w:t>95</w:t>
      </w:r>
      <w:r w:rsidRPr="00F634A8">
        <w:rPr>
          <w:rFonts w:asciiTheme="minorBidi" w:hAnsiTheme="minorBidi" w:cstheme="minorBidi"/>
        </w:rPr>
        <w:t xml:space="preserve"> </w:t>
      </w:r>
      <w:r w:rsidR="00313DCE" w:rsidRPr="00F634A8">
        <w:rPr>
          <w:rFonts w:asciiTheme="minorBidi" w:hAnsiTheme="minorBidi" w:cstheme="minorBidi"/>
        </w:rPr>
        <w:t>are required to</w:t>
      </w:r>
      <w:r w:rsidR="00BD2981" w:rsidRPr="00F634A8">
        <w:rPr>
          <w:rFonts w:asciiTheme="minorBidi" w:hAnsiTheme="minorBidi" w:cstheme="minorBidi"/>
        </w:rPr>
        <w:t>:</w:t>
      </w:r>
    </w:p>
    <w:p w14:paraId="1D7260E7" w14:textId="2D024E1E" w:rsidR="00F634A8" w:rsidRPr="00F634A8" w:rsidRDefault="00B32188" w:rsidP="005278F0">
      <w:pPr>
        <w:pStyle w:val="ListParagraph"/>
        <w:numPr>
          <w:ilvl w:val="0"/>
          <w:numId w:val="29"/>
        </w:numPr>
        <w:pBdr>
          <w:top w:val="nil"/>
          <w:left w:val="nil"/>
          <w:bottom w:val="nil"/>
          <w:right w:val="nil"/>
          <w:between w:val="nil"/>
          <w:bar w:val="nil"/>
        </w:pBdr>
        <w:spacing w:after="0" w:line="22" w:lineRule="atLeast"/>
        <w:contextualSpacing w:val="0"/>
        <w:jc w:val="lowKashida"/>
        <w:rPr>
          <w:rFonts w:asciiTheme="minorBidi" w:hAnsiTheme="minorBidi" w:cstheme="minorBidi"/>
        </w:rPr>
      </w:pPr>
      <w:r>
        <w:rPr>
          <w:rFonts w:asciiTheme="minorBidi" w:hAnsiTheme="minorBidi" w:cstheme="minorBidi"/>
        </w:rPr>
        <w:t>B</w:t>
      </w:r>
      <w:r w:rsidR="00290C1A" w:rsidRPr="00F634A8">
        <w:rPr>
          <w:rFonts w:asciiTheme="minorBidi" w:hAnsiTheme="minorBidi" w:cstheme="minorBidi"/>
        </w:rPr>
        <w:t xml:space="preserve">ring hydrogen production activities within scope of MAR95 </w:t>
      </w:r>
      <w:proofErr w:type="gramStart"/>
      <w:r w:rsidR="00290C1A" w:rsidRPr="00F634A8">
        <w:rPr>
          <w:rFonts w:asciiTheme="minorBidi" w:hAnsiTheme="minorBidi" w:cstheme="minorBidi"/>
        </w:rPr>
        <w:t>regulations</w:t>
      </w:r>
      <w:r w:rsidR="009E04E5">
        <w:rPr>
          <w:rFonts w:asciiTheme="minorBidi" w:hAnsiTheme="minorBidi" w:cstheme="minorBidi"/>
        </w:rPr>
        <w:t>;</w:t>
      </w:r>
      <w:proofErr w:type="gramEnd"/>
      <w:r w:rsidR="00290C1A" w:rsidRPr="00F634A8">
        <w:rPr>
          <w:rFonts w:asciiTheme="minorBidi" w:hAnsiTheme="minorBidi" w:cstheme="minorBidi"/>
        </w:rPr>
        <w:t xml:space="preserve"> </w:t>
      </w:r>
    </w:p>
    <w:p w14:paraId="0CA01637" w14:textId="71EDB6B5" w:rsidR="00290C1A" w:rsidRPr="00F634A8" w:rsidRDefault="00B32188" w:rsidP="005278F0">
      <w:pPr>
        <w:pStyle w:val="ListParagraph"/>
        <w:numPr>
          <w:ilvl w:val="0"/>
          <w:numId w:val="29"/>
        </w:numPr>
        <w:pBdr>
          <w:top w:val="nil"/>
          <w:left w:val="nil"/>
          <w:bottom w:val="nil"/>
          <w:right w:val="nil"/>
          <w:between w:val="nil"/>
          <w:bar w:val="nil"/>
        </w:pBdr>
        <w:spacing w:after="0" w:line="22" w:lineRule="atLeast"/>
        <w:contextualSpacing w:val="0"/>
        <w:jc w:val="lowKashida"/>
        <w:rPr>
          <w:rFonts w:asciiTheme="minorBidi" w:hAnsiTheme="minorBidi" w:cstheme="minorBidi"/>
          <w:b/>
          <w:bCs/>
        </w:rPr>
      </w:pPr>
      <w:r>
        <w:rPr>
          <w:rFonts w:asciiTheme="minorBidi" w:hAnsiTheme="minorBidi" w:cstheme="minorBidi"/>
        </w:rPr>
        <w:t>C</w:t>
      </w:r>
      <w:r w:rsidR="00290C1A" w:rsidRPr="00F634A8">
        <w:rPr>
          <w:rFonts w:asciiTheme="minorBidi" w:hAnsiTheme="minorBidi" w:cstheme="minorBidi"/>
        </w:rPr>
        <w:t>lassify work activities</w:t>
      </w:r>
      <w:r w:rsidR="004B734A">
        <w:rPr>
          <w:rFonts w:asciiTheme="minorBidi" w:hAnsiTheme="minorBidi" w:cstheme="minorBidi"/>
        </w:rPr>
        <w:t xml:space="preserve"> connected to offshore hydrogen production</w:t>
      </w:r>
      <w:r w:rsidR="00290C1A" w:rsidRPr="00F634A8">
        <w:rPr>
          <w:rFonts w:asciiTheme="minorBidi" w:hAnsiTheme="minorBidi" w:cstheme="minorBidi"/>
        </w:rPr>
        <w:t xml:space="preserve"> as offshore installations, meaning that MAR95 and the offshore major hazard regime appl</w:t>
      </w:r>
      <w:r w:rsidR="009E04E5">
        <w:rPr>
          <w:rFonts w:asciiTheme="minorBidi" w:hAnsiTheme="minorBidi" w:cstheme="minorBidi"/>
        </w:rPr>
        <w:t>y</w:t>
      </w:r>
    </w:p>
    <w:p w14:paraId="3055DA49" w14:textId="77777777" w:rsidR="00D44C1A" w:rsidRPr="00290C1A" w:rsidRDefault="00D44C1A" w:rsidP="005278F0">
      <w:pPr>
        <w:pStyle w:val="ListParagraph"/>
        <w:pBdr>
          <w:top w:val="nil"/>
          <w:left w:val="nil"/>
          <w:bottom w:val="nil"/>
          <w:right w:val="nil"/>
          <w:between w:val="nil"/>
          <w:bar w:val="nil"/>
        </w:pBdr>
        <w:spacing w:after="0" w:line="22" w:lineRule="atLeast"/>
        <w:ind w:left="567"/>
        <w:contextualSpacing w:val="0"/>
        <w:jc w:val="lowKashida"/>
        <w:rPr>
          <w:rFonts w:asciiTheme="minorBidi" w:hAnsiTheme="minorBidi" w:cstheme="minorBidi"/>
          <w:b/>
          <w:bCs/>
        </w:rPr>
      </w:pPr>
    </w:p>
    <w:p w14:paraId="4D7DBF60" w14:textId="77777777" w:rsidR="0058511E" w:rsidRPr="00FF1B8C" w:rsidRDefault="00D44C1A" w:rsidP="005278F0">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FF1B8C">
        <w:rPr>
          <w:rFonts w:asciiTheme="minorBidi" w:hAnsiTheme="minorBidi" w:cstheme="minorBidi"/>
        </w:rPr>
        <w:t xml:space="preserve">Changes to </w:t>
      </w:r>
      <w:r w:rsidRPr="00924943">
        <w:rPr>
          <w:rFonts w:asciiTheme="minorBidi" w:hAnsiTheme="minorBidi" w:cstheme="minorBidi"/>
        </w:rPr>
        <w:t>SCR</w:t>
      </w:r>
      <w:r w:rsidR="00621074" w:rsidRPr="00924943">
        <w:rPr>
          <w:rFonts w:asciiTheme="minorBidi" w:hAnsiTheme="minorBidi" w:cstheme="minorBidi"/>
        </w:rPr>
        <w:t>15</w:t>
      </w:r>
      <w:r w:rsidRPr="00FF1B8C">
        <w:rPr>
          <w:rFonts w:asciiTheme="minorBidi" w:hAnsiTheme="minorBidi" w:cstheme="minorBidi"/>
        </w:rPr>
        <w:t xml:space="preserve"> </w:t>
      </w:r>
      <w:r w:rsidRPr="00FF1B8C">
        <w:rPr>
          <w:rFonts w:asciiTheme="minorBidi" w:eastAsia="Times New Roman" w:hAnsiTheme="minorBidi" w:cstheme="minorBidi"/>
        </w:rPr>
        <w:t>are required to ensure</w:t>
      </w:r>
      <w:r w:rsidR="0058511E" w:rsidRPr="00FF1B8C">
        <w:rPr>
          <w:rFonts w:asciiTheme="minorBidi" w:eastAsia="Times New Roman" w:hAnsiTheme="minorBidi" w:cstheme="minorBidi"/>
        </w:rPr>
        <w:t>:</w:t>
      </w:r>
    </w:p>
    <w:p w14:paraId="4E88F530" w14:textId="69AC4B2E" w:rsidR="00D44C1A" w:rsidRPr="00FF1B8C" w:rsidRDefault="00B32188" w:rsidP="005278F0">
      <w:pPr>
        <w:pStyle w:val="ListParagraph"/>
        <w:numPr>
          <w:ilvl w:val="0"/>
          <w:numId w:val="30"/>
        </w:numPr>
        <w:pBdr>
          <w:top w:val="nil"/>
          <w:left w:val="nil"/>
          <w:bottom w:val="nil"/>
          <w:right w:val="nil"/>
          <w:between w:val="nil"/>
          <w:bar w:val="nil"/>
        </w:pBdr>
        <w:spacing w:after="0" w:line="22" w:lineRule="atLeast"/>
        <w:ind w:left="1276"/>
        <w:contextualSpacing w:val="0"/>
        <w:jc w:val="lowKashida"/>
        <w:rPr>
          <w:rFonts w:asciiTheme="minorBidi" w:hAnsiTheme="minorBidi" w:cstheme="minorBidi"/>
          <w:b/>
          <w:bCs/>
        </w:rPr>
      </w:pPr>
      <w:r>
        <w:rPr>
          <w:rFonts w:asciiTheme="minorBidi" w:eastAsia="Times New Roman" w:hAnsiTheme="minorBidi" w:cstheme="minorBidi"/>
        </w:rPr>
        <w:t>T</w:t>
      </w:r>
      <w:r w:rsidR="00D44C1A" w:rsidRPr="00FF1B8C">
        <w:rPr>
          <w:rFonts w:asciiTheme="minorBidi" w:eastAsia="Times New Roman" w:hAnsiTheme="minorBidi" w:cstheme="minorBidi"/>
        </w:rPr>
        <w:t xml:space="preserve">hat </w:t>
      </w:r>
      <w:r w:rsidR="00D44C1A" w:rsidRPr="00FF1B8C">
        <w:rPr>
          <w:rFonts w:eastAsia="Arial" w:cs="Arial"/>
          <w:szCs w:val="24"/>
        </w:rPr>
        <w:t>platforms used to produce hydrogen are designated as production installations.</w:t>
      </w:r>
    </w:p>
    <w:p w14:paraId="7C3CEDE3" w14:textId="77777777" w:rsidR="00D44C1A" w:rsidRPr="00D44C1A" w:rsidRDefault="00D44C1A" w:rsidP="005278F0">
      <w:pPr>
        <w:pStyle w:val="ListParagraph"/>
        <w:spacing w:after="0" w:line="22" w:lineRule="atLeast"/>
        <w:ind w:left="567"/>
        <w:contextualSpacing w:val="0"/>
        <w:rPr>
          <w:rFonts w:asciiTheme="minorBidi" w:hAnsiTheme="minorBidi" w:cstheme="minorBidi"/>
          <w:b/>
          <w:bCs/>
        </w:rPr>
      </w:pPr>
    </w:p>
    <w:p w14:paraId="34C03E5F" w14:textId="77777777" w:rsidR="00967D2B" w:rsidRPr="004213DA" w:rsidRDefault="00D44C1A" w:rsidP="005278F0">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4213DA">
        <w:rPr>
          <w:rFonts w:eastAsia="Arial" w:cs="Arial"/>
        </w:rPr>
        <w:t>Changes to AOGBO are required to</w:t>
      </w:r>
      <w:r w:rsidR="00967D2B" w:rsidRPr="004213DA">
        <w:rPr>
          <w:rFonts w:eastAsia="Arial" w:cs="Arial"/>
        </w:rPr>
        <w:t>:</w:t>
      </w:r>
    </w:p>
    <w:p w14:paraId="099E567D" w14:textId="07AE7712" w:rsidR="00D44C1A" w:rsidRPr="00D44C1A" w:rsidRDefault="00B32188" w:rsidP="005278F0">
      <w:pPr>
        <w:pStyle w:val="ListParagraph"/>
        <w:numPr>
          <w:ilvl w:val="0"/>
          <w:numId w:val="34"/>
        </w:numPr>
        <w:pBdr>
          <w:top w:val="nil"/>
          <w:left w:val="nil"/>
          <w:bottom w:val="nil"/>
          <w:right w:val="nil"/>
          <w:between w:val="nil"/>
          <w:bar w:val="nil"/>
        </w:pBdr>
        <w:spacing w:after="0" w:line="22" w:lineRule="atLeast"/>
        <w:contextualSpacing w:val="0"/>
        <w:jc w:val="lowKashida"/>
        <w:rPr>
          <w:rFonts w:asciiTheme="minorBidi" w:hAnsiTheme="minorBidi" w:cstheme="minorBidi"/>
          <w:b/>
          <w:bCs/>
        </w:rPr>
      </w:pPr>
      <w:r>
        <w:rPr>
          <w:rFonts w:eastAsia="Arial" w:cs="Arial"/>
        </w:rPr>
        <w:t>A</w:t>
      </w:r>
      <w:r w:rsidR="00D44C1A" w:rsidRPr="004213DA">
        <w:rPr>
          <w:rFonts w:eastAsia="Arial" w:cs="Arial"/>
        </w:rPr>
        <w:t>dd hydrogen production and hydrogen storage to the list of items that define an offshore installation under AOGBO so that platforms which are used to produce hydrogen are classed as offshore installations and therefore subject to the broad framework of HSWA.</w:t>
      </w:r>
    </w:p>
    <w:p w14:paraId="0EDE97DE" w14:textId="77777777" w:rsidR="00D44C1A" w:rsidRPr="00D44C1A" w:rsidRDefault="00D44C1A" w:rsidP="005278F0">
      <w:pPr>
        <w:pStyle w:val="ListParagraph"/>
        <w:spacing w:after="0" w:line="22" w:lineRule="atLeast"/>
        <w:ind w:left="567"/>
        <w:contextualSpacing w:val="0"/>
        <w:rPr>
          <w:rFonts w:asciiTheme="minorBidi" w:hAnsiTheme="minorBidi" w:cstheme="minorBidi"/>
          <w:b/>
          <w:bCs/>
        </w:rPr>
      </w:pPr>
    </w:p>
    <w:p w14:paraId="098AB2B1" w14:textId="4FFA4F03" w:rsidR="00D44C1A" w:rsidRPr="00D44C1A" w:rsidRDefault="00D44C1A" w:rsidP="005278F0">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7201C3">
        <w:rPr>
          <w:rFonts w:asciiTheme="minorBidi" w:hAnsiTheme="minorBidi" w:cstheme="minorBidi"/>
        </w:rPr>
        <w:t>Engagement with industry and DESNZ indicates that significant onshore storage is not currently planned in CCUS operational models</w:t>
      </w:r>
      <w:r w:rsidR="00E91609">
        <w:rPr>
          <w:rFonts w:asciiTheme="minorBidi" w:hAnsiTheme="minorBidi" w:cstheme="minorBidi"/>
        </w:rPr>
        <w:t xml:space="preserve"> </w:t>
      </w:r>
      <w:r w:rsidRPr="007201C3">
        <w:rPr>
          <w:rFonts w:asciiTheme="minorBidi" w:hAnsiTheme="minorBidi" w:cstheme="minorBidi"/>
        </w:rPr>
        <w:t>and so it is considered more time-critical to address the major hazard risks associated with the transport of CO</w:t>
      </w:r>
      <w:r w:rsidRPr="007201C3">
        <w:rPr>
          <w:rFonts w:asciiTheme="minorBidi" w:hAnsiTheme="minorBidi" w:cstheme="minorBidi"/>
          <w:vertAlign w:val="subscript"/>
        </w:rPr>
        <w:t>2</w:t>
      </w:r>
      <w:r w:rsidRPr="007201C3">
        <w:rPr>
          <w:rFonts w:asciiTheme="minorBidi" w:hAnsiTheme="minorBidi" w:cstheme="minorBidi"/>
        </w:rPr>
        <w:t xml:space="preserve"> by pipeline and offshore storage where CCUS projects are already in the planning and design stage.</w:t>
      </w:r>
    </w:p>
    <w:p w14:paraId="121735E9" w14:textId="77777777" w:rsidR="00D44C1A" w:rsidRPr="00D44C1A" w:rsidRDefault="00D44C1A" w:rsidP="005278F0">
      <w:pPr>
        <w:pStyle w:val="ListParagraph"/>
        <w:spacing w:after="0" w:line="22" w:lineRule="atLeast"/>
        <w:ind w:left="567" w:hanging="567"/>
        <w:contextualSpacing w:val="0"/>
        <w:rPr>
          <w:rFonts w:asciiTheme="minorBidi" w:hAnsiTheme="minorBidi" w:cstheme="minorBidi"/>
          <w:b/>
          <w:bCs/>
        </w:rPr>
      </w:pPr>
    </w:p>
    <w:p w14:paraId="1785236F" w14:textId="3F3EE218" w:rsidR="00D44C1A" w:rsidRPr="00D44C1A" w:rsidRDefault="00D44C1A" w:rsidP="005278F0">
      <w:pPr>
        <w:pStyle w:val="ListParagraph"/>
        <w:numPr>
          <w:ilvl w:val="2"/>
          <w:numId w:val="6"/>
        </w:numPr>
        <w:pBdr>
          <w:top w:val="nil"/>
          <w:left w:val="nil"/>
          <w:bottom w:val="nil"/>
          <w:right w:val="nil"/>
          <w:between w:val="nil"/>
          <w:bar w:val="nil"/>
        </w:pBdr>
        <w:spacing w:after="0" w:line="22" w:lineRule="atLeast"/>
        <w:ind w:left="567" w:hanging="567"/>
        <w:contextualSpacing w:val="0"/>
        <w:jc w:val="lowKashida"/>
        <w:rPr>
          <w:rFonts w:asciiTheme="minorBidi" w:hAnsiTheme="minorBidi" w:cstheme="minorBidi"/>
          <w:b/>
          <w:bCs/>
        </w:rPr>
      </w:pPr>
      <w:r w:rsidRPr="00A82C56">
        <w:rPr>
          <w:rFonts w:asciiTheme="minorBidi" w:hAnsiTheme="minorBidi" w:cstheme="minorBidi"/>
        </w:rPr>
        <w:t xml:space="preserve">In summary, regulatory </w:t>
      </w:r>
      <w:r>
        <w:rPr>
          <w:rFonts w:asciiTheme="minorBidi" w:hAnsiTheme="minorBidi" w:cstheme="minorBidi"/>
        </w:rPr>
        <w:t>changes are</w:t>
      </w:r>
      <w:r w:rsidRPr="00A82C56">
        <w:rPr>
          <w:rFonts w:asciiTheme="minorBidi" w:hAnsiTheme="minorBidi" w:cstheme="minorBidi"/>
        </w:rPr>
        <w:t xml:space="preserve"> required </w:t>
      </w:r>
      <w:r w:rsidRPr="00A82C56">
        <w:rPr>
          <w:rFonts w:eastAsia="Arial" w:cs="Arial"/>
          <w:szCs w:val="24"/>
        </w:rPr>
        <w:t xml:space="preserve">to ensure that CCUS activities and offshore hydrogen production are appropriately brought into scope of HSE`s major hazard regulatory framework. </w:t>
      </w:r>
      <w:r w:rsidRPr="00A82C56">
        <w:rPr>
          <w:rFonts w:asciiTheme="minorBidi" w:hAnsiTheme="minorBidi" w:cstheme="minorBidi"/>
        </w:rPr>
        <w:t>Failure to ensure an appropriate regulatory framework</w:t>
      </w:r>
      <w:r w:rsidRPr="00A82C56">
        <w:rPr>
          <w:rFonts w:asciiTheme="minorBidi" w:eastAsia="Times New Roman" w:hAnsiTheme="minorBidi" w:cstheme="minorBidi"/>
          <w:vertAlign w:val="subscript"/>
        </w:rPr>
        <w:t xml:space="preserve"> </w:t>
      </w:r>
      <w:r w:rsidR="004B6D19">
        <w:rPr>
          <w:rFonts w:asciiTheme="minorBidi" w:hAnsiTheme="minorBidi" w:cstheme="minorBidi"/>
        </w:rPr>
        <w:t>has the potential to</w:t>
      </w:r>
      <w:r w:rsidRPr="00A82C56">
        <w:rPr>
          <w:rFonts w:asciiTheme="minorBidi" w:hAnsiTheme="minorBidi" w:cstheme="minorBidi"/>
        </w:rPr>
        <w:t>:</w:t>
      </w:r>
    </w:p>
    <w:p w14:paraId="05A2EE75" w14:textId="6A7476D4" w:rsidR="00D44C1A" w:rsidRPr="00A82C56" w:rsidRDefault="009D2B4D" w:rsidP="005278F0">
      <w:pPr>
        <w:pStyle w:val="ListParagraph"/>
        <w:numPr>
          <w:ilvl w:val="2"/>
          <w:numId w:val="3"/>
        </w:numPr>
        <w:spacing w:after="0" w:line="22" w:lineRule="atLeast"/>
        <w:ind w:left="1134"/>
        <w:contextualSpacing w:val="0"/>
        <w:jc w:val="lowKashida"/>
        <w:rPr>
          <w:rFonts w:asciiTheme="minorBidi" w:hAnsiTheme="minorBidi" w:cstheme="minorBidi"/>
        </w:rPr>
      </w:pPr>
      <w:r>
        <w:rPr>
          <w:rFonts w:asciiTheme="minorBidi" w:hAnsiTheme="minorBidi" w:cstheme="minorBidi"/>
        </w:rPr>
        <w:t>C</w:t>
      </w:r>
      <w:r w:rsidR="00D44C1A" w:rsidRPr="00A82C56">
        <w:rPr>
          <w:rFonts w:asciiTheme="minorBidi" w:hAnsiTheme="minorBidi" w:cstheme="minorBidi"/>
        </w:rPr>
        <w:t>reat</w:t>
      </w:r>
      <w:r w:rsidR="004B6D19">
        <w:rPr>
          <w:rFonts w:asciiTheme="minorBidi" w:hAnsiTheme="minorBidi" w:cstheme="minorBidi"/>
        </w:rPr>
        <w:t>e</w:t>
      </w:r>
      <w:r w:rsidR="00D44C1A" w:rsidRPr="00A82C56">
        <w:rPr>
          <w:rFonts w:asciiTheme="minorBidi" w:hAnsiTheme="minorBidi" w:cstheme="minorBidi"/>
        </w:rPr>
        <w:t xml:space="preserve"> an unclear and inconsistent regulatory picture for dutyholders and limit HSE’s ability to ensure the effective regulation of these industries. </w:t>
      </w:r>
    </w:p>
    <w:p w14:paraId="56A2BDBE" w14:textId="10FF8121" w:rsidR="00D44C1A" w:rsidRPr="00A82C56" w:rsidRDefault="009D2B4D" w:rsidP="005278F0">
      <w:pPr>
        <w:pStyle w:val="ListParagraph"/>
        <w:numPr>
          <w:ilvl w:val="2"/>
          <w:numId w:val="3"/>
        </w:numPr>
        <w:spacing w:after="0" w:line="22" w:lineRule="atLeast"/>
        <w:ind w:left="1134"/>
        <w:contextualSpacing w:val="0"/>
        <w:jc w:val="lowKashida"/>
        <w:rPr>
          <w:rFonts w:asciiTheme="minorBidi" w:hAnsiTheme="minorBidi" w:cstheme="minorBidi"/>
        </w:rPr>
      </w:pPr>
      <w:r>
        <w:rPr>
          <w:rFonts w:asciiTheme="minorBidi" w:hAnsiTheme="minorBidi" w:cstheme="minorBidi"/>
        </w:rPr>
        <w:t>L</w:t>
      </w:r>
      <w:r w:rsidR="00D44C1A" w:rsidRPr="00A82C56">
        <w:rPr>
          <w:rFonts w:asciiTheme="minorBidi" w:hAnsiTheme="minorBidi" w:cstheme="minorBidi"/>
        </w:rPr>
        <w:t xml:space="preserve">imit the application of planning controls around sites and subsequent developments relating to </w:t>
      </w:r>
      <w:r w:rsidR="00D44C1A" w:rsidRPr="00A82C56">
        <w:rPr>
          <w:rFonts w:eastAsia="Arial" w:cs="Arial"/>
          <w:szCs w:val="24"/>
        </w:rPr>
        <w:t>CCUS activities and offshore hydrogen production</w:t>
      </w:r>
      <w:r w:rsidR="00D44C1A" w:rsidRPr="00A82C56">
        <w:rPr>
          <w:rFonts w:asciiTheme="minorBidi" w:hAnsiTheme="minorBidi" w:cstheme="minorBidi"/>
        </w:rPr>
        <w:t xml:space="preserve">, and the extent of duties placed on Local Authorities to carry out emergency planning. </w:t>
      </w:r>
    </w:p>
    <w:p w14:paraId="0A2CB6E2" w14:textId="77777777" w:rsidR="00D44C1A" w:rsidRPr="00D44C1A" w:rsidRDefault="00D44C1A" w:rsidP="00974DB3">
      <w:pPr>
        <w:pStyle w:val="ListParagraph"/>
        <w:pBdr>
          <w:top w:val="nil"/>
          <w:left w:val="nil"/>
          <w:bottom w:val="nil"/>
          <w:right w:val="nil"/>
          <w:between w:val="nil"/>
          <w:bar w:val="nil"/>
        </w:pBdr>
        <w:spacing w:after="0" w:line="23" w:lineRule="atLeast"/>
        <w:ind w:left="567"/>
        <w:jc w:val="lowKashida"/>
        <w:rPr>
          <w:rFonts w:asciiTheme="minorBidi" w:hAnsiTheme="minorBidi" w:cstheme="minorBidi"/>
          <w:b/>
          <w:bCs/>
        </w:rPr>
      </w:pPr>
    </w:p>
    <w:p w14:paraId="024A5153" w14:textId="0C6E252D" w:rsidR="00D44C1A" w:rsidRPr="00290C1A" w:rsidRDefault="00D44C1A" w:rsidP="005278F0">
      <w:pPr>
        <w:pStyle w:val="ListParagraph"/>
        <w:numPr>
          <w:ilvl w:val="2"/>
          <w:numId w:val="6"/>
        </w:numPr>
        <w:pBdr>
          <w:top w:val="nil"/>
          <w:left w:val="nil"/>
          <w:bottom w:val="nil"/>
          <w:right w:val="nil"/>
          <w:between w:val="nil"/>
          <w:bar w:val="nil"/>
        </w:pBdr>
        <w:spacing w:after="0" w:line="22" w:lineRule="atLeast"/>
        <w:ind w:left="567" w:hanging="567"/>
        <w:jc w:val="lowKashida"/>
        <w:rPr>
          <w:rFonts w:asciiTheme="minorBidi" w:hAnsiTheme="minorBidi" w:cstheme="minorBidi"/>
          <w:b/>
          <w:bCs/>
        </w:rPr>
      </w:pPr>
      <w:r w:rsidRPr="009E08ED">
        <w:rPr>
          <w:rFonts w:asciiTheme="minorBidi" w:hAnsiTheme="minorBidi" w:cstheme="minorBidi"/>
        </w:rPr>
        <w:t>The Government intention is for the first CCUS projects to commence in mid-2020s,</w:t>
      </w:r>
      <w:r w:rsidRPr="009E08ED" w:rsidDel="003502DE">
        <w:rPr>
          <w:rFonts w:asciiTheme="minorBidi" w:hAnsiTheme="minorBidi" w:cstheme="minorBidi"/>
        </w:rPr>
        <w:t xml:space="preserve"> </w:t>
      </w:r>
      <w:r w:rsidRPr="009E08ED">
        <w:rPr>
          <w:rFonts w:asciiTheme="minorBidi" w:hAnsiTheme="minorBidi" w:cstheme="minorBidi"/>
        </w:rPr>
        <w:t xml:space="preserve">and for hydrogen production to rise </w:t>
      </w:r>
      <w:r>
        <w:rPr>
          <w:rFonts w:asciiTheme="minorBidi" w:hAnsiTheme="minorBidi" w:cstheme="minorBidi"/>
        </w:rPr>
        <w:t>significantly</w:t>
      </w:r>
      <w:r w:rsidRPr="009E08ED">
        <w:rPr>
          <w:rFonts w:asciiTheme="minorBidi" w:hAnsiTheme="minorBidi" w:cstheme="minorBidi"/>
        </w:rPr>
        <w:t xml:space="preserve"> by 2030. HSE intends that changes to the regulations outlined in this section will be made in line with these plans for development and deployment.</w:t>
      </w:r>
    </w:p>
    <w:p w14:paraId="50B1C7F8" w14:textId="77777777" w:rsidR="00290C1A" w:rsidRPr="00752100" w:rsidRDefault="00290C1A" w:rsidP="002A0C5D">
      <w:pPr>
        <w:pStyle w:val="ListParagraph"/>
        <w:pBdr>
          <w:top w:val="nil"/>
          <w:left w:val="nil"/>
          <w:bottom w:val="nil"/>
          <w:right w:val="nil"/>
          <w:between w:val="nil"/>
          <w:bar w:val="nil"/>
        </w:pBdr>
        <w:spacing w:after="0" w:line="22" w:lineRule="atLeast"/>
        <w:ind w:left="567"/>
        <w:jc w:val="lowKashida"/>
        <w:rPr>
          <w:rFonts w:asciiTheme="minorBidi" w:hAnsiTheme="minorBidi" w:cstheme="minorBidi"/>
          <w:b/>
          <w:bCs/>
        </w:rPr>
      </w:pPr>
    </w:p>
    <w:p w14:paraId="37042E4B" w14:textId="6060EB73" w:rsidR="00C039E1" w:rsidRPr="002A0C5D" w:rsidRDefault="00C039E1" w:rsidP="002A0C5D">
      <w:pPr>
        <w:pStyle w:val="ListParagraph"/>
        <w:numPr>
          <w:ilvl w:val="0"/>
          <w:numId w:val="6"/>
        </w:numPr>
        <w:spacing w:before="160"/>
        <w:ind w:left="567" w:hanging="567"/>
        <w:contextualSpacing w:val="0"/>
        <w:rPr>
          <w:b/>
          <w:sz w:val="36"/>
          <w:szCs w:val="36"/>
        </w:rPr>
      </w:pPr>
      <w:r w:rsidRPr="002A0C5D">
        <w:rPr>
          <w:b/>
          <w:sz w:val="36"/>
          <w:szCs w:val="36"/>
        </w:rPr>
        <w:t xml:space="preserve">SMART objectives for intervention </w:t>
      </w:r>
    </w:p>
    <w:p w14:paraId="7CEC3218" w14:textId="77777777" w:rsidR="00D44C1A" w:rsidRDefault="00D44C1A" w:rsidP="002A0C5D">
      <w:pPr>
        <w:pStyle w:val="ListParagraph"/>
        <w:numPr>
          <w:ilvl w:val="1"/>
          <w:numId w:val="10"/>
        </w:numPr>
        <w:spacing w:after="0" w:line="22" w:lineRule="atLeast"/>
        <w:ind w:left="567" w:hanging="567"/>
        <w:contextualSpacing w:val="0"/>
        <w:jc w:val="both"/>
      </w:pPr>
      <w:r w:rsidRPr="00CB599F">
        <w:t>The overall strategic objectives are to:</w:t>
      </w:r>
    </w:p>
    <w:p w14:paraId="46E0FBF4" w14:textId="77777777" w:rsidR="00974DB3" w:rsidRPr="00D44C1A" w:rsidRDefault="00974DB3" w:rsidP="002A0C5D">
      <w:pPr>
        <w:pStyle w:val="ListParagraph"/>
        <w:numPr>
          <w:ilvl w:val="0"/>
          <w:numId w:val="35"/>
        </w:numPr>
        <w:spacing w:after="0" w:line="22" w:lineRule="atLeast"/>
        <w:ind w:left="1134"/>
        <w:contextualSpacing w:val="0"/>
        <w:jc w:val="both"/>
        <w:rPr>
          <w:rFonts w:asciiTheme="minorBidi" w:hAnsiTheme="minorBidi" w:cstheme="minorBidi"/>
        </w:rPr>
      </w:pPr>
      <w:r w:rsidRPr="00D44C1A">
        <w:rPr>
          <w:rFonts w:asciiTheme="minorBidi" w:hAnsiTheme="minorBidi" w:cstheme="minorBidi"/>
        </w:rPr>
        <w:t xml:space="preserve">Support the UK Government in achieving its net zero objectives through deployment and expansion of CCUS and offshore Hydrogen </w:t>
      </w:r>
      <w:proofErr w:type="gramStart"/>
      <w:r w:rsidRPr="00D44C1A">
        <w:rPr>
          <w:rFonts w:asciiTheme="minorBidi" w:hAnsiTheme="minorBidi" w:cstheme="minorBidi"/>
        </w:rPr>
        <w:t>production;</w:t>
      </w:r>
      <w:proofErr w:type="gramEnd"/>
    </w:p>
    <w:p w14:paraId="402E8F97" w14:textId="77777777" w:rsidR="00974DB3" w:rsidRPr="00D44C1A" w:rsidRDefault="00974DB3" w:rsidP="002A0C5D">
      <w:pPr>
        <w:pStyle w:val="ListParagraph"/>
        <w:numPr>
          <w:ilvl w:val="0"/>
          <w:numId w:val="35"/>
        </w:numPr>
        <w:spacing w:after="0" w:line="22" w:lineRule="atLeast"/>
        <w:ind w:left="1134"/>
        <w:contextualSpacing w:val="0"/>
        <w:jc w:val="both"/>
        <w:rPr>
          <w:rFonts w:asciiTheme="minorBidi" w:hAnsiTheme="minorBidi" w:cstheme="minorBidi"/>
          <w:bCs/>
          <w:szCs w:val="24"/>
        </w:rPr>
      </w:pPr>
      <w:r w:rsidRPr="00D44C1A">
        <w:rPr>
          <w:rFonts w:asciiTheme="minorBidi" w:hAnsiTheme="minorBidi" w:cstheme="minorBidi"/>
          <w:bCs/>
          <w:szCs w:val="24"/>
        </w:rPr>
        <w:t xml:space="preserve">Ensure the regulatory regime for CCUS and offshore hydrogen production is proportionate to the hazards </w:t>
      </w:r>
      <w:proofErr w:type="gramStart"/>
      <w:r w:rsidRPr="00D44C1A">
        <w:rPr>
          <w:rFonts w:asciiTheme="minorBidi" w:hAnsiTheme="minorBidi" w:cstheme="minorBidi"/>
          <w:bCs/>
          <w:szCs w:val="24"/>
        </w:rPr>
        <w:t>generated;</w:t>
      </w:r>
      <w:proofErr w:type="gramEnd"/>
    </w:p>
    <w:p w14:paraId="5547666D" w14:textId="77777777" w:rsidR="00974DB3" w:rsidRPr="00CB599F" w:rsidRDefault="00974DB3" w:rsidP="002A0C5D">
      <w:pPr>
        <w:pStyle w:val="ListParagraph"/>
        <w:numPr>
          <w:ilvl w:val="0"/>
          <w:numId w:val="35"/>
        </w:numPr>
        <w:spacing w:after="0" w:line="22" w:lineRule="atLeast"/>
        <w:ind w:left="1134"/>
        <w:contextualSpacing w:val="0"/>
        <w:jc w:val="both"/>
      </w:pPr>
      <w:r w:rsidRPr="00D44C1A">
        <w:rPr>
          <w:rFonts w:asciiTheme="minorBidi" w:hAnsiTheme="minorBidi" w:cstheme="minorBidi"/>
        </w:rPr>
        <w:t>Ensure the regulatory regime for CCUS and offshore hydrogen production is clear for dutyholders and other stakeholders.</w:t>
      </w:r>
    </w:p>
    <w:p w14:paraId="7144AEFC" w14:textId="77777777" w:rsidR="00974DB3" w:rsidRDefault="00974DB3" w:rsidP="002A0C5D">
      <w:pPr>
        <w:pStyle w:val="ListParagraph"/>
        <w:spacing w:after="0" w:line="22" w:lineRule="atLeast"/>
        <w:ind w:left="0"/>
        <w:contextualSpacing w:val="0"/>
        <w:jc w:val="both"/>
      </w:pPr>
    </w:p>
    <w:p w14:paraId="4A3AD27F" w14:textId="15F4B1D4" w:rsidR="00D44C1A" w:rsidRPr="00974DB3" w:rsidRDefault="00D44C1A" w:rsidP="002A0C5D">
      <w:pPr>
        <w:pStyle w:val="ListParagraph"/>
        <w:numPr>
          <w:ilvl w:val="1"/>
          <w:numId w:val="10"/>
        </w:numPr>
        <w:spacing w:after="0" w:line="22" w:lineRule="atLeast"/>
        <w:ind w:left="567" w:hanging="567"/>
        <w:contextualSpacing w:val="0"/>
        <w:jc w:val="both"/>
      </w:pPr>
      <w:r w:rsidRPr="00A82C56">
        <w:rPr>
          <w:rFonts w:asciiTheme="minorBidi" w:hAnsiTheme="minorBidi" w:cstheme="minorBidi"/>
        </w:rPr>
        <w:t xml:space="preserve">In assessing and shortlisting options against these objectives, the following critical success factors </w:t>
      </w:r>
      <w:r w:rsidRPr="009A62AC">
        <w:rPr>
          <w:rFonts w:asciiTheme="minorBidi" w:hAnsiTheme="minorBidi" w:cstheme="minorBidi"/>
        </w:rPr>
        <w:t>have been used:</w:t>
      </w:r>
    </w:p>
    <w:p w14:paraId="1C5A9F4D" w14:textId="18491AE0" w:rsidR="00974DB3" w:rsidRDefault="00974DB3" w:rsidP="002A0C5D">
      <w:pPr>
        <w:pStyle w:val="ListParagraph"/>
        <w:numPr>
          <w:ilvl w:val="1"/>
          <w:numId w:val="12"/>
        </w:numPr>
        <w:spacing w:after="0" w:line="22" w:lineRule="atLeast"/>
        <w:ind w:left="1134"/>
        <w:contextualSpacing w:val="0"/>
        <w:jc w:val="both"/>
        <w:rPr>
          <w:rFonts w:asciiTheme="minorBidi" w:hAnsiTheme="minorBidi" w:cstheme="minorBidi"/>
        </w:rPr>
      </w:pPr>
      <w:r w:rsidRPr="00974DB3">
        <w:rPr>
          <w:rFonts w:asciiTheme="minorBidi" w:hAnsiTheme="minorBidi" w:cstheme="minorBidi"/>
          <w:b/>
          <w:bCs/>
        </w:rPr>
        <w:lastRenderedPageBreak/>
        <w:t>Strategic fit</w:t>
      </w:r>
      <w:r>
        <w:rPr>
          <w:rFonts w:asciiTheme="minorBidi" w:hAnsiTheme="minorBidi" w:cstheme="minorBidi"/>
          <w:b/>
          <w:bCs/>
        </w:rPr>
        <w:t>.</w:t>
      </w:r>
      <w:r w:rsidRPr="7C4FA1CF">
        <w:rPr>
          <w:rFonts w:asciiTheme="minorBidi" w:hAnsiTheme="minorBidi" w:cstheme="minorBidi"/>
        </w:rPr>
        <w:t xml:space="preserve"> Any proposal should align with UK Government mission to deliver clean power and accelerate to </w:t>
      </w:r>
      <w:r w:rsidR="00BA703B">
        <w:rPr>
          <w:rFonts w:asciiTheme="minorBidi" w:hAnsiTheme="minorBidi" w:cstheme="minorBidi"/>
        </w:rPr>
        <w:t>N</w:t>
      </w:r>
      <w:r w:rsidRPr="7C4FA1CF">
        <w:rPr>
          <w:rFonts w:asciiTheme="minorBidi" w:hAnsiTheme="minorBidi" w:cstheme="minorBidi"/>
        </w:rPr>
        <w:t xml:space="preserve">et </w:t>
      </w:r>
      <w:r w:rsidR="00BA703B">
        <w:rPr>
          <w:rFonts w:asciiTheme="minorBidi" w:hAnsiTheme="minorBidi" w:cstheme="minorBidi"/>
        </w:rPr>
        <w:t>Z</w:t>
      </w:r>
      <w:r w:rsidRPr="7C4FA1CF">
        <w:rPr>
          <w:rFonts w:asciiTheme="minorBidi" w:hAnsiTheme="minorBidi" w:cstheme="minorBidi"/>
        </w:rPr>
        <w:t>ero</w:t>
      </w:r>
      <w:r w:rsidR="00D726F8">
        <w:rPr>
          <w:rFonts w:asciiTheme="minorBidi" w:hAnsiTheme="minorBidi" w:cstheme="minorBidi"/>
        </w:rPr>
        <w:t>.</w:t>
      </w:r>
      <w:r>
        <w:rPr>
          <w:rFonts w:asciiTheme="minorBidi" w:hAnsiTheme="minorBidi" w:cstheme="minorBidi"/>
        </w:rPr>
        <w:t xml:space="preserve"> </w:t>
      </w:r>
      <w:r w:rsidRPr="00835AE1">
        <w:rPr>
          <w:rFonts w:asciiTheme="minorBidi" w:hAnsiTheme="minorBidi" w:cstheme="minorBidi"/>
        </w:rPr>
        <w:t xml:space="preserve">Any proposal </w:t>
      </w:r>
      <w:r>
        <w:rPr>
          <w:rFonts w:asciiTheme="minorBidi" w:hAnsiTheme="minorBidi" w:cstheme="minorBidi"/>
        </w:rPr>
        <w:t>should also</w:t>
      </w:r>
      <w:r w:rsidRPr="00835AE1">
        <w:rPr>
          <w:rFonts w:asciiTheme="minorBidi" w:hAnsiTheme="minorBidi" w:cstheme="minorBidi"/>
        </w:rPr>
        <w:t xml:space="preserve"> align with HSE’s strategy, </w:t>
      </w:r>
      <w:r w:rsidRPr="00C77E43">
        <w:rPr>
          <w:rFonts w:asciiTheme="minorBidi" w:hAnsiTheme="minorBidi" w:cstheme="minorBidi"/>
        </w:rPr>
        <w:t>Protecting People and Places</w:t>
      </w:r>
      <w:r w:rsidRPr="00C77E43">
        <w:rPr>
          <w:rStyle w:val="FootnoteReference"/>
          <w:rFonts w:asciiTheme="minorBidi" w:hAnsiTheme="minorBidi" w:cstheme="minorBidi"/>
        </w:rPr>
        <w:footnoteReference w:id="15"/>
      </w:r>
      <w:r w:rsidRPr="00C77E43">
        <w:rPr>
          <w:rFonts w:asciiTheme="minorBidi" w:hAnsiTheme="minorBidi" w:cstheme="minorBidi"/>
        </w:rPr>
        <w:t xml:space="preserve"> and</w:t>
      </w:r>
      <w:r w:rsidRPr="00835AE1">
        <w:rPr>
          <w:rFonts w:asciiTheme="minorBidi" w:hAnsiTheme="minorBidi" w:cstheme="minorBidi"/>
        </w:rPr>
        <w:t xml:space="preserve"> HSE’s plans for delivering that strategy, </w:t>
      </w:r>
      <w:r w:rsidR="005F42D4" w:rsidRPr="7C4FA1CF">
        <w:rPr>
          <w:rFonts w:asciiTheme="minorBidi" w:hAnsiTheme="minorBidi" w:cstheme="minorBidi"/>
        </w:rPr>
        <w:t>specifically the strategic objective to enable industry to innovate safely to prevent major accidents, supporting the move towards net zero</w:t>
      </w:r>
      <w:r w:rsidRPr="00835AE1">
        <w:rPr>
          <w:rFonts w:asciiTheme="minorBidi" w:hAnsiTheme="minorBidi" w:cstheme="minorBidi"/>
        </w:rPr>
        <w:t>.</w:t>
      </w:r>
    </w:p>
    <w:p w14:paraId="5B9E1D85" w14:textId="6B2A0673" w:rsidR="00974DB3" w:rsidRDefault="00974DB3" w:rsidP="002A0C5D">
      <w:pPr>
        <w:pStyle w:val="ListParagraph"/>
        <w:numPr>
          <w:ilvl w:val="1"/>
          <w:numId w:val="12"/>
        </w:numPr>
        <w:spacing w:after="0" w:line="22" w:lineRule="atLeast"/>
        <w:ind w:left="1134"/>
        <w:contextualSpacing w:val="0"/>
        <w:jc w:val="both"/>
        <w:rPr>
          <w:rFonts w:asciiTheme="minorBidi" w:hAnsiTheme="minorBidi" w:cstheme="minorBidi"/>
        </w:rPr>
      </w:pPr>
      <w:r w:rsidRPr="00974DB3">
        <w:rPr>
          <w:rFonts w:asciiTheme="minorBidi" w:hAnsiTheme="minorBidi" w:cstheme="minorBidi"/>
          <w:b/>
          <w:bCs/>
        </w:rPr>
        <w:t>Industry technical and practical ability to comply with regulatory requirements</w:t>
      </w:r>
      <w:r>
        <w:rPr>
          <w:rFonts w:asciiTheme="minorBidi" w:hAnsiTheme="minorBidi" w:cstheme="minorBidi"/>
        </w:rPr>
        <w:t>.</w:t>
      </w:r>
      <w:r w:rsidRPr="00974DB3">
        <w:rPr>
          <w:rFonts w:asciiTheme="minorBidi" w:hAnsiTheme="minorBidi" w:cstheme="minorBidi"/>
        </w:rPr>
        <w:t xml:space="preserve"> </w:t>
      </w:r>
      <w:r w:rsidRPr="7C4FA1CF">
        <w:rPr>
          <w:rFonts w:asciiTheme="minorBidi" w:hAnsiTheme="minorBidi" w:cstheme="minorBidi"/>
        </w:rPr>
        <w:t>Any regulatory changes should be reasonably practicable for dutyholders to comply with.</w:t>
      </w:r>
    </w:p>
    <w:p w14:paraId="5BDF5B45" w14:textId="0481F5B8" w:rsidR="00974DB3" w:rsidRPr="001C6D6C" w:rsidRDefault="00974DB3" w:rsidP="002A0C5D">
      <w:pPr>
        <w:pStyle w:val="ListParagraph"/>
        <w:numPr>
          <w:ilvl w:val="1"/>
          <w:numId w:val="12"/>
        </w:numPr>
        <w:spacing w:after="0" w:line="22" w:lineRule="atLeast"/>
        <w:ind w:left="1134"/>
        <w:contextualSpacing w:val="0"/>
        <w:jc w:val="both"/>
        <w:rPr>
          <w:rFonts w:asciiTheme="minorBidi" w:hAnsiTheme="minorBidi" w:cstheme="minorBidi"/>
        </w:rPr>
      </w:pPr>
      <w:r w:rsidRPr="001C6D6C">
        <w:rPr>
          <w:rFonts w:asciiTheme="minorBidi" w:hAnsiTheme="minorBidi" w:cstheme="minorBidi"/>
          <w:b/>
        </w:rPr>
        <w:t>Feasible for HSE to deliver.</w:t>
      </w:r>
      <w:r w:rsidRPr="001C6D6C">
        <w:rPr>
          <w:rFonts w:asciiTheme="minorBidi" w:hAnsiTheme="minorBidi" w:cstheme="minorBidi"/>
        </w:rPr>
        <w:t xml:space="preserve"> Any regulatory changes should be technically and practically possible for HSE to deliver as a regulator.</w:t>
      </w:r>
    </w:p>
    <w:p w14:paraId="22BD4BBF" w14:textId="230395CC" w:rsidR="00974DB3" w:rsidRPr="00814EC5" w:rsidRDefault="00974DB3" w:rsidP="002A0C5D">
      <w:pPr>
        <w:pStyle w:val="ListParagraph"/>
        <w:numPr>
          <w:ilvl w:val="1"/>
          <w:numId w:val="12"/>
        </w:numPr>
        <w:spacing w:after="0" w:line="22" w:lineRule="atLeast"/>
        <w:ind w:left="1134"/>
        <w:contextualSpacing w:val="0"/>
        <w:jc w:val="both"/>
        <w:rPr>
          <w:rFonts w:asciiTheme="minorBidi" w:hAnsiTheme="minorBidi" w:cstheme="minorBidi"/>
        </w:rPr>
      </w:pPr>
      <w:r w:rsidRPr="7C4FA1CF">
        <w:rPr>
          <w:b/>
          <w:bCs/>
        </w:rPr>
        <w:t>Potential value for money</w:t>
      </w:r>
      <w:r>
        <w:rPr>
          <w:b/>
          <w:bCs/>
        </w:rPr>
        <w:t>.</w:t>
      </w:r>
      <w:r w:rsidRPr="7C4FA1CF">
        <w:rPr>
          <w:b/>
          <w:bCs/>
        </w:rPr>
        <w:t xml:space="preserve"> </w:t>
      </w:r>
      <w:r>
        <w:t xml:space="preserve">Proposals will need to ensure that they maintain or improve HSE’s ability to deliver value for money for industry and society. </w:t>
      </w:r>
    </w:p>
    <w:p w14:paraId="2D6DE4E8" w14:textId="58ED356D" w:rsidR="00974DB3" w:rsidRDefault="00974DB3" w:rsidP="002A0C5D">
      <w:pPr>
        <w:pStyle w:val="ListParagraph"/>
        <w:numPr>
          <w:ilvl w:val="1"/>
          <w:numId w:val="12"/>
        </w:numPr>
        <w:spacing w:after="0" w:line="22" w:lineRule="atLeast"/>
        <w:ind w:left="1134"/>
        <w:contextualSpacing w:val="0"/>
        <w:jc w:val="both"/>
        <w:rPr>
          <w:rFonts w:asciiTheme="minorBidi" w:hAnsiTheme="minorBidi" w:cstheme="minorBidi"/>
        </w:rPr>
      </w:pPr>
      <w:r w:rsidRPr="007C47D0">
        <w:rPr>
          <w:rFonts w:asciiTheme="minorBidi" w:hAnsiTheme="minorBidi" w:cstheme="minorBidi"/>
          <w:b/>
          <w:bCs/>
        </w:rPr>
        <w:t>Potentially affordable for HSE/ Government</w:t>
      </w:r>
      <w:r>
        <w:rPr>
          <w:rFonts w:asciiTheme="minorBidi" w:hAnsiTheme="minorBidi" w:cstheme="minorBidi"/>
          <w:b/>
          <w:bCs/>
        </w:rPr>
        <w:t>.</w:t>
      </w:r>
      <w:r w:rsidRPr="007C47D0">
        <w:rPr>
          <w:rFonts w:asciiTheme="minorBidi" w:hAnsiTheme="minorBidi" w:cstheme="minorBidi"/>
          <w:b/>
          <w:bCs/>
        </w:rPr>
        <w:t xml:space="preserve"> </w:t>
      </w:r>
      <w:r w:rsidRPr="7C4FA1CF">
        <w:rPr>
          <w:rFonts w:asciiTheme="minorBidi" w:hAnsiTheme="minorBidi" w:cstheme="minorBidi"/>
        </w:rPr>
        <w:t>The offshore and pipelines regime</w:t>
      </w:r>
      <w:r w:rsidR="00CC7103">
        <w:rPr>
          <w:rFonts w:asciiTheme="minorBidi" w:hAnsiTheme="minorBidi" w:cstheme="minorBidi"/>
        </w:rPr>
        <w:t>s</w:t>
      </w:r>
      <w:r w:rsidRPr="7C4FA1CF">
        <w:rPr>
          <w:rFonts w:asciiTheme="minorBidi" w:hAnsiTheme="minorBidi" w:cstheme="minorBidi"/>
        </w:rPr>
        <w:t xml:space="preserve"> </w:t>
      </w:r>
      <w:r w:rsidRPr="00974DB3">
        <w:rPr>
          <w:rFonts w:asciiTheme="minorBidi" w:hAnsiTheme="minorBidi" w:cstheme="minorBidi"/>
        </w:rPr>
        <w:t xml:space="preserve">operate based on full cost recovery, and any regulatory changes should extend this to </w:t>
      </w:r>
      <w:r w:rsidRPr="00974DB3">
        <w:t>CO</w:t>
      </w:r>
      <w:r w:rsidRPr="00974DB3">
        <w:rPr>
          <w:vertAlign w:val="subscript"/>
        </w:rPr>
        <w:t>2</w:t>
      </w:r>
      <w:r w:rsidRPr="00974DB3">
        <w:rPr>
          <w:rFonts w:asciiTheme="minorBidi" w:hAnsiTheme="minorBidi" w:cstheme="minorBidi"/>
        </w:rPr>
        <w:t xml:space="preserve"> operations</w:t>
      </w:r>
      <w:r w:rsidRPr="7C4FA1CF">
        <w:rPr>
          <w:rFonts w:asciiTheme="minorBidi" w:hAnsiTheme="minorBidi" w:cstheme="minorBidi"/>
        </w:rPr>
        <w:t xml:space="preserve"> and hydrogen production.</w:t>
      </w:r>
    </w:p>
    <w:p w14:paraId="371EF79A" w14:textId="77777777" w:rsidR="00974DB3" w:rsidRDefault="00974DB3" w:rsidP="002A0C5D">
      <w:pPr>
        <w:pStyle w:val="ListParagraph"/>
        <w:spacing w:after="0" w:line="22" w:lineRule="atLeast"/>
        <w:ind w:left="567" w:hanging="425"/>
        <w:contextualSpacing w:val="0"/>
      </w:pPr>
    </w:p>
    <w:p w14:paraId="53260556" w14:textId="6EFB18D6" w:rsidR="00974DB3" w:rsidRPr="009D2B4D" w:rsidRDefault="00974DB3" w:rsidP="002A0C5D">
      <w:pPr>
        <w:pStyle w:val="ListParagraph"/>
        <w:numPr>
          <w:ilvl w:val="1"/>
          <w:numId w:val="10"/>
        </w:numPr>
        <w:spacing w:after="0" w:line="22" w:lineRule="atLeast"/>
        <w:ind w:left="567" w:hanging="567"/>
        <w:contextualSpacing w:val="0"/>
      </w:pPr>
      <w:r w:rsidRPr="004E0F2B">
        <w:rPr>
          <w:rFonts w:asciiTheme="minorBidi" w:hAnsiTheme="minorBidi" w:cstheme="minorBidi"/>
        </w:rPr>
        <w:t>Based on the above strategic objectives and critical success factors the SMART objectives for intervention are to:</w:t>
      </w:r>
    </w:p>
    <w:p w14:paraId="66E05E70" w14:textId="77777777" w:rsidR="009D2B4D" w:rsidRDefault="009D2B4D" w:rsidP="002A0C5D">
      <w:pPr>
        <w:pStyle w:val="ListParagraph"/>
        <w:spacing w:after="0" w:line="22" w:lineRule="atLeast"/>
        <w:ind w:left="567"/>
        <w:contextualSpacing w:val="0"/>
        <w:rPr>
          <w:rFonts w:asciiTheme="minorBidi" w:hAnsiTheme="minorBidi" w:cstheme="minorBidi"/>
        </w:rPr>
      </w:pPr>
    </w:p>
    <w:p w14:paraId="02561973" w14:textId="295C0FE9" w:rsidR="009D2B4D" w:rsidRPr="009D2B4D" w:rsidRDefault="009D2B4D" w:rsidP="002A0C5D">
      <w:pPr>
        <w:pStyle w:val="ListParagraph"/>
        <w:numPr>
          <w:ilvl w:val="0"/>
          <w:numId w:val="13"/>
        </w:numPr>
        <w:spacing w:after="0" w:line="22" w:lineRule="atLeast"/>
        <w:ind w:left="1134"/>
        <w:contextualSpacing w:val="0"/>
        <w:jc w:val="both"/>
        <w:rPr>
          <w:rFonts w:asciiTheme="minorBidi" w:hAnsiTheme="minorBidi" w:cstheme="minorBidi"/>
        </w:rPr>
      </w:pPr>
      <w:r w:rsidRPr="009D2B4D">
        <w:rPr>
          <w:rFonts w:asciiTheme="minorBidi" w:hAnsiTheme="minorBidi" w:cstheme="minorBidi"/>
        </w:rPr>
        <w:t>Deliver regulatory change which comes into force in line with HM Government plans for the deployment of CCUS operations and offshore hydrogen production.</w:t>
      </w:r>
    </w:p>
    <w:p w14:paraId="1FBBCF9D" w14:textId="429A0118" w:rsidR="009D2B4D" w:rsidRPr="009D2B4D" w:rsidRDefault="009D2B4D" w:rsidP="002A0C5D">
      <w:pPr>
        <w:pStyle w:val="ListParagraph"/>
        <w:numPr>
          <w:ilvl w:val="0"/>
          <w:numId w:val="13"/>
        </w:numPr>
        <w:spacing w:after="0" w:line="22" w:lineRule="atLeast"/>
        <w:ind w:left="1134"/>
        <w:contextualSpacing w:val="0"/>
        <w:rPr>
          <w:rFonts w:asciiTheme="minorBidi" w:hAnsiTheme="minorBidi" w:cstheme="minorBidi"/>
        </w:rPr>
      </w:pPr>
      <w:r w:rsidRPr="009D2B4D">
        <w:rPr>
          <w:rFonts w:asciiTheme="minorBidi" w:hAnsiTheme="minorBidi" w:cstheme="minorBidi"/>
        </w:rPr>
        <w:t>Create a regulatory framework that is appropriate to the hazards associated with CCUS operations and offshore hydrogen production. Any changes to the framework should be clear and practicable for dutyholders to act upon; deliverable by HSE; where success can be monitored through an evaluation plan that will be determined once the intervention option has been decided on following further stakeholder consultation</w:t>
      </w:r>
      <w:r w:rsidR="002A0C5D">
        <w:rPr>
          <w:rFonts w:asciiTheme="minorBidi" w:hAnsiTheme="minorBidi" w:cstheme="minorBidi"/>
        </w:rPr>
        <w:t>.</w:t>
      </w:r>
    </w:p>
    <w:p w14:paraId="1AFC21C4" w14:textId="77777777" w:rsidR="009D2B4D" w:rsidRPr="009D2B4D" w:rsidRDefault="009D2B4D" w:rsidP="002A0C5D">
      <w:pPr>
        <w:pStyle w:val="ListParagraph"/>
        <w:spacing w:after="0" w:line="22" w:lineRule="atLeast"/>
        <w:ind w:left="1134"/>
        <w:contextualSpacing w:val="0"/>
        <w:rPr>
          <w:rFonts w:asciiTheme="minorBidi" w:hAnsiTheme="minorBidi" w:cstheme="minorBidi"/>
        </w:rPr>
      </w:pPr>
    </w:p>
    <w:p w14:paraId="6286320F" w14:textId="2AEFDD93" w:rsidR="009D2B4D" w:rsidRPr="002A0C5D" w:rsidRDefault="00EB3106" w:rsidP="002A0C5D">
      <w:pPr>
        <w:pStyle w:val="ListParagraph"/>
        <w:numPr>
          <w:ilvl w:val="0"/>
          <w:numId w:val="6"/>
        </w:numPr>
        <w:spacing w:before="160"/>
        <w:ind w:left="567" w:hanging="567"/>
        <w:rPr>
          <w:b/>
          <w:sz w:val="36"/>
          <w:szCs w:val="36"/>
        </w:rPr>
      </w:pPr>
      <w:r w:rsidRPr="002A0C5D">
        <w:rPr>
          <w:b/>
          <w:sz w:val="36"/>
          <w:szCs w:val="36"/>
        </w:rPr>
        <w:t>Description of proposed intervention options and explanation of the logical change process whereby this achieves SMART objectives</w:t>
      </w:r>
      <w:r w:rsidR="009D2B4D" w:rsidRPr="002A0C5D">
        <w:rPr>
          <w:b/>
          <w:sz w:val="36"/>
          <w:szCs w:val="36"/>
        </w:rPr>
        <w:t xml:space="preserve"> </w:t>
      </w:r>
    </w:p>
    <w:p w14:paraId="513B5618" w14:textId="77777777" w:rsidR="009D2B4D" w:rsidRPr="00CB599F" w:rsidRDefault="009D2B4D" w:rsidP="00D17F2A">
      <w:pPr>
        <w:pStyle w:val="ListParagraph"/>
        <w:keepNext/>
        <w:spacing w:after="0"/>
        <w:jc w:val="both"/>
      </w:pPr>
    </w:p>
    <w:p w14:paraId="6C62BF17" w14:textId="77777777" w:rsidR="009D2B4D" w:rsidRPr="00CB599F" w:rsidRDefault="009D2B4D" w:rsidP="00EA61A4">
      <w:pPr>
        <w:pStyle w:val="ListParagraph"/>
        <w:numPr>
          <w:ilvl w:val="0"/>
          <w:numId w:val="14"/>
        </w:numPr>
        <w:spacing w:after="0"/>
        <w:jc w:val="both"/>
        <w:rPr>
          <w:b/>
          <w:bCs/>
          <w:vanish/>
        </w:rPr>
      </w:pPr>
    </w:p>
    <w:p w14:paraId="2349D689" w14:textId="7126F19A" w:rsidR="009D2B4D" w:rsidRPr="00EB3106" w:rsidRDefault="00EB3106" w:rsidP="037A3CC8">
      <w:pPr>
        <w:pStyle w:val="ListParagraph"/>
        <w:numPr>
          <w:ilvl w:val="1"/>
          <w:numId w:val="14"/>
        </w:numPr>
        <w:spacing w:after="0" w:line="22" w:lineRule="atLeast"/>
        <w:jc w:val="both"/>
      </w:pPr>
      <w:r w:rsidRPr="007424D1">
        <w:rPr>
          <w:rFonts w:eastAsia="Arial" w:cs="Arial"/>
        </w:rPr>
        <w:t xml:space="preserve">HSE's preferred option is to make changes to existing major hazard regulations to either clarify or extend the scope of CCUS activities offshore and the transport of </w:t>
      </w:r>
      <w:r w:rsidR="004D2461">
        <w:rPr>
          <w:rFonts w:eastAsia="Arial" w:cs="Arial"/>
        </w:rPr>
        <w:t>CO</w:t>
      </w:r>
      <w:r w:rsidR="004D2461" w:rsidRPr="008628BA">
        <w:rPr>
          <w:rFonts w:cs="Arial"/>
          <w:vertAlign w:val="subscript"/>
        </w:rPr>
        <w:t>2</w:t>
      </w:r>
      <w:r w:rsidRPr="007424D1">
        <w:rPr>
          <w:rFonts w:eastAsia="Arial" w:cs="Arial"/>
        </w:rPr>
        <w:t xml:space="preserve"> by pipelines and offshore hydrogen production. </w:t>
      </w:r>
      <w:r w:rsidRPr="037A3CC8">
        <w:rPr>
          <w:rFonts w:eastAsia="Arial" w:cs="Arial"/>
        </w:rPr>
        <w:t xml:space="preserve">This would </w:t>
      </w:r>
      <w:proofErr w:type="gramStart"/>
      <w:r w:rsidRPr="037A3CC8">
        <w:rPr>
          <w:rFonts w:eastAsia="Arial" w:cs="Arial"/>
        </w:rPr>
        <w:t>require;</w:t>
      </w:r>
      <w:proofErr w:type="gramEnd"/>
    </w:p>
    <w:p w14:paraId="2A83FCE1" w14:textId="77777777" w:rsidR="0051559C" w:rsidRPr="00EB3106" w:rsidRDefault="0051559C" w:rsidP="0051559C">
      <w:pPr>
        <w:pStyle w:val="ListParagraph"/>
        <w:spacing w:after="0" w:line="22" w:lineRule="atLeast"/>
        <w:ind w:left="454"/>
        <w:jc w:val="both"/>
      </w:pPr>
    </w:p>
    <w:p w14:paraId="13394CA7" w14:textId="31AB7CF2" w:rsidR="00EB3106" w:rsidRPr="008628BA" w:rsidRDefault="00EB3106" w:rsidP="002A0C5D">
      <w:pPr>
        <w:pStyle w:val="ListParagraph"/>
        <w:numPr>
          <w:ilvl w:val="0"/>
          <w:numId w:val="15"/>
        </w:numPr>
        <w:spacing w:after="0" w:line="22" w:lineRule="atLeast"/>
        <w:ind w:left="1134"/>
        <w:contextualSpacing w:val="0"/>
        <w:jc w:val="both"/>
        <w:rPr>
          <w:rFonts w:cs="Arial"/>
        </w:rPr>
      </w:pPr>
      <w:r w:rsidRPr="00EB3106">
        <w:rPr>
          <w:rFonts w:eastAsia="Arial" w:cs="Arial"/>
        </w:rPr>
        <w:t>Changes to PSR</w:t>
      </w:r>
      <w:r w:rsidR="00D62CBF">
        <w:rPr>
          <w:rFonts w:eastAsia="Arial" w:cs="Arial"/>
        </w:rPr>
        <w:t>96</w:t>
      </w:r>
      <w:r w:rsidRPr="00EB3106">
        <w:rPr>
          <w:rFonts w:eastAsia="Arial" w:cs="Arial"/>
        </w:rPr>
        <w:t xml:space="preserve"> so that </w:t>
      </w:r>
      <w:r w:rsidRPr="008628BA">
        <w:rPr>
          <w:rFonts w:cs="Arial"/>
        </w:rPr>
        <w:t>CO</w:t>
      </w:r>
      <w:r w:rsidRPr="008628BA">
        <w:rPr>
          <w:rFonts w:cs="Arial"/>
          <w:vertAlign w:val="subscript"/>
        </w:rPr>
        <w:t>2</w:t>
      </w:r>
      <w:r w:rsidRPr="00EB3106">
        <w:rPr>
          <w:rFonts w:eastAsia="Arial" w:cs="Arial"/>
        </w:rPr>
        <w:t xml:space="preserve">, in all phases within CCUS, is subject to the additional duties applicable to major accident hazard pipelines. </w:t>
      </w:r>
      <w:r w:rsidRPr="008628BA">
        <w:rPr>
          <w:rFonts w:cs="Arial"/>
        </w:rPr>
        <w:t>This would make the application of the additional requirements of MAHPs explicit and allow HSE to influence safety standards at an early stage through the receipt of PSR</w:t>
      </w:r>
      <w:r w:rsidR="00D62CBF" w:rsidRPr="008628BA">
        <w:rPr>
          <w:rFonts w:cs="Arial"/>
        </w:rPr>
        <w:t>96</w:t>
      </w:r>
      <w:r w:rsidRPr="008628BA">
        <w:rPr>
          <w:rFonts w:cs="Arial"/>
        </w:rPr>
        <w:t xml:space="preserve"> notifications and would allow land use planning controls to create consultation zones managing development around pipelines. </w:t>
      </w:r>
    </w:p>
    <w:p w14:paraId="183E5C4A" w14:textId="1AE53059" w:rsidR="00EB3106" w:rsidRPr="008628BA" w:rsidRDefault="00EB3106" w:rsidP="002A0C5D">
      <w:pPr>
        <w:pStyle w:val="ListParagraph"/>
        <w:numPr>
          <w:ilvl w:val="0"/>
          <w:numId w:val="15"/>
        </w:numPr>
        <w:spacing w:after="0" w:line="22" w:lineRule="atLeast"/>
        <w:ind w:left="1134"/>
        <w:contextualSpacing w:val="0"/>
        <w:jc w:val="both"/>
        <w:rPr>
          <w:rFonts w:cs="Arial"/>
        </w:rPr>
      </w:pPr>
      <w:r w:rsidRPr="00EB3106">
        <w:rPr>
          <w:rFonts w:eastAsia="Arial" w:cs="Arial"/>
        </w:rPr>
        <w:t>Changes to SCR</w:t>
      </w:r>
      <w:r w:rsidR="00D62CBF">
        <w:rPr>
          <w:rFonts w:eastAsia="Arial" w:cs="Arial"/>
        </w:rPr>
        <w:t>15</w:t>
      </w:r>
      <w:r w:rsidRPr="00EB3106">
        <w:rPr>
          <w:rFonts w:eastAsia="Arial" w:cs="Arial"/>
        </w:rPr>
        <w:t>, MAR</w:t>
      </w:r>
      <w:r w:rsidR="00D62CBF">
        <w:rPr>
          <w:rFonts w:eastAsia="Arial" w:cs="Arial"/>
        </w:rPr>
        <w:t>95</w:t>
      </w:r>
      <w:r w:rsidRPr="00EB3106">
        <w:rPr>
          <w:rFonts w:eastAsia="Arial" w:cs="Arial"/>
        </w:rPr>
        <w:t>, DCR</w:t>
      </w:r>
      <w:r w:rsidR="00D62CBF">
        <w:rPr>
          <w:rFonts w:eastAsia="Arial" w:cs="Arial"/>
        </w:rPr>
        <w:t>96</w:t>
      </w:r>
      <w:r w:rsidRPr="00EB3106">
        <w:rPr>
          <w:rFonts w:eastAsia="Arial" w:cs="Arial"/>
        </w:rPr>
        <w:t xml:space="preserve"> and AOGBO to clarify or where necessary extend application to CCUS activities offshore and to offshore hydrogen production.  </w:t>
      </w:r>
      <w:r w:rsidR="00B116FD" w:rsidRPr="008628BA">
        <w:rPr>
          <w:rFonts w:eastAsia="Arial" w:cs="Arial"/>
        </w:rPr>
        <w:t>T</w:t>
      </w:r>
      <w:r w:rsidRPr="008628BA">
        <w:rPr>
          <w:rFonts w:eastAsia="Arial" w:cs="Arial"/>
        </w:rPr>
        <w:t xml:space="preserve">his may be achieved by </w:t>
      </w:r>
      <w:r w:rsidR="00B116FD" w:rsidRPr="008628BA">
        <w:rPr>
          <w:rFonts w:eastAsia="Arial" w:cs="Arial"/>
        </w:rPr>
        <w:t>copying the requirements from existing</w:t>
      </w:r>
      <w:r w:rsidRPr="008628BA">
        <w:rPr>
          <w:rFonts w:eastAsia="Arial" w:cs="Arial"/>
        </w:rPr>
        <w:t xml:space="preserve"> legislation </w:t>
      </w:r>
      <w:r w:rsidR="0041442A" w:rsidRPr="008628BA">
        <w:rPr>
          <w:rFonts w:eastAsia="Arial" w:cs="Arial"/>
        </w:rPr>
        <w:t xml:space="preserve">to a specific regulation </w:t>
      </w:r>
      <w:r w:rsidRPr="008628BA">
        <w:rPr>
          <w:rFonts w:eastAsia="Arial" w:cs="Arial"/>
        </w:rPr>
        <w:t>applicable to CCUS operations.</w:t>
      </w:r>
      <w:r w:rsidR="008628BA" w:rsidRPr="008628BA">
        <w:rPr>
          <w:rFonts w:eastAsia="Arial" w:cs="Arial"/>
        </w:rPr>
        <w:t xml:space="preserve">  This would have the same effect but may, presentationally, appear more straightforward. </w:t>
      </w:r>
    </w:p>
    <w:p w14:paraId="3233E810" w14:textId="77777777" w:rsidR="00EB3106" w:rsidRDefault="00EB3106" w:rsidP="002A0C5D">
      <w:pPr>
        <w:pStyle w:val="ListParagraph"/>
        <w:spacing w:after="0" w:line="22" w:lineRule="atLeast"/>
        <w:ind w:left="1134"/>
        <w:contextualSpacing w:val="0"/>
        <w:jc w:val="both"/>
      </w:pPr>
    </w:p>
    <w:p w14:paraId="512AFC90" w14:textId="42056BD7" w:rsidR="00EB3106" w:rsidRPr="00D62CBF" w:rsidRDefault="00EB3106" w:rsidP="002A0C5D">
      <w:pPr>
        <w:pStyle w:val="ListParagraph"/>
        <w:numPr>
          <w:ilvl w:val="1"/>
          <w:numId w:val="14"/>
        </w:numPr>
        <w:spacing w:after="0" w:line="22" w:lineRule="atLeast"/>
        <w:contextualSpacing w:val="0"/>
        <w:jc w:val="both"/>
      </w:pPr>
      <w:r w:rsidRPr="00FE2A35">
        <w:rPr>
          <w:rFonts w:eastAsia="Arial" w:cs="Arial"/>
        </w:rPr>
        <w:lastRenderedPageBreak/>
        <w:t xml:space="preserve">HSE’s major hazard regimes generally require an operator to prepare a comprehensive document detailing their potential risks, hazard scenarios and measures identified either to prevent those scenarios taking place or mitigating the negative effects if they do. This document is known as either a Safety Report or a Safety Case. These documents </w:t>
      </w:r>
      <w:proofErr w:type="gramStart"/>
      <w:r w:rsidRPr="00FE2A35">
        <w:rPr>
          <w:rFonts w:eastAsia="Arial" w:cs="Arial"/>
        </w:rPr>
        <w:t>have to</w:t>
      </w:r>
      <w:proofErr w:type="gramEnd"/>
      <w:r w:rsidRPr="00FE2A35">
        <w:rPr>
          <w:rFonts w:eastAsia="Arial" w:cs="Arial"/>
        </w:rPr>
        <w:t xml:space="preserve"> be submitted to HSE prior to work activities commencing. Specific wording differs between different major hazard regulations but broadly HSE must confirm it is satisfied that the operator has sufficiently identified the hazards created by their work activity and that the measures identified are appropriate.</w:t>
      </w:r>
    </w:p>
    <w:p w14:paraId="448BAF5A" w14:textId="77777777" w:rsidR="00D62CBF" w:rsidRPr="00EB3106" w:rsidRDefault="00D62CBF" w:rsidP="002A0C5D">
      <w:pPr>
        <w:pStyle w:val="ListParagraph"/>
        <w:spacing w:after="0" w:line="22" w:lineRule="atLeast"/>
        <w:ind w:left="454" w:hanging="454"/>
        <w:contextualSpacing w:val="0"/>
        <w:jc w:val="both"/>
      </w:pPr>
    </w:p>
    <w:p w14:paraId="482FA4BB" w14:textId="1491AAA4" w:rsidR="00EB3106" w:rsidRPr="00D17F2A" w:rsidRDefault="00EB3106" w:rsidP="002A0C5D">
      <w:pPr>
        <w:pStyle w:val="ListParagraph"/>
        <w:numPr>
          <w:ilvl w:val="1"/>
          <w:numId w:val="14"/>
        </w:numPr>
        <w:spacing w:after="0" w:line="22" w:lineRule="atLeast"/>
        <w:contextualSpacing w:val="0"/>
        <w:jc w:val="both"/>
      </w:pPr>
      <w:r w:rsidRPr="00FE2A35">
        <w:rPr>
          <w:rFonts w:eastAsia="Arial" w:cs="Arial"/>
        </w:rPr>
        <w:t>These changes would see the above-mentioned</w:t>
      </w:r>
      <w:r w:rsidR="00C13C8E">
        <w:rPr>
          <w:rFonts w:eastAsia="Arial" w:cs="Arial"/>
        </w:rPr>
        <w:t>,</w:t>
      </w:r>
      <w:r>
        <w:rPr>
          <w:rFonts w:eastAsia="Arial" w:cs="Arial"/>
        </w:rPr>
        <w:t xml:space="preserve"> already </w:t>
      </w:r>
      <w:r w:rsidR="00C13C8E">
        <w:rPr>
          <w:rFonts w:eastAsia="Arial" w:cs="Arial"/>
        </w:rPr>
        <w:t>existing,</w:t>
      </w:r>
      <w:r w:rsidRPr="00FE2A35">
        <w:rPr>
          <w:rFonts w:eastAsia="Arial" w:cs="Arial"/>
        </w:rPr>
        <w:t xml:space="preserve"> regulatory </w:t>
      </w:r>
      <w:r w:rsidRPr="00C13C8E">
        <w:rPr>
          <w:rFonts w:eastAsia="Arial" w:cs="Arial"/>
        </w:rPr>
        <w:t>duties</w:t>
      </w:r>
      <w:r w:rsidRPr="002D0A4B">
        <w:rPr>
          <w:rFonts w:eastAsia="Arial" w:cs="Arial"/>
        </w:rPr>
        <w:t xml:space="preserve"> </w:t>
      </w:r>
      <w:r w:rsidRPr="00EB3106">
        <w:rPr>
          <w:rFonts w:eastAsia="Arial" w:cs="Arial"/>
        </w:rPr>
        <w:t xml:space="preserve">for major hazards activities such as safety cases, notifications and emergency plans, extended to the emerging CCUS and hydrogen production industries. It is recognised that the preferred option </w:t>
      </w:r>
      <w:r w:rsidRPr="00EB3106">
        <w:t>would see greater costs for operators than not making any intervention;</w:t>
      </w:r>
      <w:r w:rsidRPr="00EB3106">
        <w:rPr>
          <w:rFonts w:eastAsia="Arial" w:cs="Arial"/>
        </w:rPr>
        <w:t xml:space="preserve"> HSE considers this to be appropriate to ensure that the major hazard risks associated with these industries are appropriately regulated. Potential dutyholders are likely to be familiar with these requirements as these </w:t>
      </w:r>
      <w:r w:rsidR="008A0523">
        <w:rPr>
          <w:rFonts w:eastAsia="Arial" w:cs="Arial"/>
        </w:rPr>
        <w:t xml:space="preserve">are </w:t>
      </w:r>
      <w:r w:rsidRPr="00EB3106">
        <w:rPr>
          <w:rFonts w:eastAsia="Arial" w:cs="Arial"/>
        </w:rPr>
        <w:t>duties already well known and understood within the existing pipeline</w:t>
      </w:r>
      <w:r w:rsidRPr="00FE2A35">
        <w:rPr>
          <w:rFonts w:eastAsia="Arial" w:cs="Arial"/>
        </w:rPr>
        <w:t xml:space="preserve"> and offshore sectors.</w:t>
      </w:r>
    </w:p>
    <w:p w14:paraId="29F99E8B" w14:textId="77777777" w:rsidR="00D17F2A" w:rsidRPr="00D17F2A" w:rsidRDefault="00D17F2A" w:rsidP="002A0C5D">
      <w:pPr>
        <w:pStyle w:val="ListParagraph"/>
        <w:spacing w:after="0" w:line="22" w:lineRule="atLeast"/>
        <w:ind w:left="454" w:hanging="454"/>
        <w:contextualSpacing w:val="0"/>
        <w:jc w:val="both"/>
      </w:pPr>
    </w:p>
    <w:p w14:paraId="1CD2967E" w14:textId="6D99DAB5" w:rsidR="00AE3FE4" w:rsidRPr="00BA0670" w:rsidRDefault="00D17F2A">
      <w:pPr>
        <w:pStyle w:val="ListParagraph"/>
        <w:numPr>
          <w:ilvl w:val="1"/>
          <w:numId w:val="14"/>
        </w:numPr>
        <w:spacing w:after="0" w:line="22" w:lineRule="atLeast"/>
        <w:contextualSpacing w:val="0"/>
        <w:jc w:val="both"/>
      </w:pPr>
      <w:r w:rsidRPr="0097448B">
        <w:t xml:space="preserve">This intervention option </w:t>
      </w:r>
      <w:r>
        <w:t xml:space="preserve">has been identified as the only one that </w:t>
      </w:r>
      <w:r w:rsidRPr="0097448B">
        <w:t xml:space="preserve">meets the objectives </w:t>
      </w:r>
      <w:r w:rsidRPr="00045355">
        <w:t>outlined in Section 3</w:t>
      </w:r>
      <w:r>
        <w:t xml:space="preserve"> as it allows for major hazard regulatory standards to be introduced for these work activities, in a manner that is clear, appropriate</w:t>
      </w:r>
      <w:r w:rsidR="00DA45C0">
        <w:t>,</w:t>
      </w:r>
      <w:r>
        <w:t xml:space="preserve"> and proportionate to the hazards created.</w:t>
      </w:r>
      <w:r w:rsidRPr="0097448B">
        <w:t xml:space="preserve"> </w:t>
      </w:r>
      <w:r>
        <w:t xml:space="preserve">HSE’s intention is to introduce regulations to come into </w:t>
      </w:r>
      <w:r w:rsidR="00D71D28">
        <w:t>force</w:t>
      </w:r>
      <w:r>
        <w:t xml:space="preserve"> </w:t>
      </w:r>
      <w:r w:rsidR="009B37DF" w:rsidRPr="009D2B4D">
        <w:rPr>
          <w:rFonts w:asciiTheme="minorBidi" w:hAnsiTheme="minorBidi" w:cstheme="minorBidi"/>
        </w:rPr>
        <w:t>in line with HM Government plans for the deployment of CCUS operations and offshore hydrogen production</w:t>
      </w:r>
      <w:r w:rsidR="009B37DF">
        <w:rPr>
          <w:rFonts w:asciiTheme="minorBidi" w:hAnsiTheme="minorBidi" w:cstheme="minorBidi"/>
        </w:rPr>
        <w:t xml:space="preserve">. </w:t>
      </w:r>
    </w:p>
    <w:p w14:paraId="089A6EB0" w14:textId="77777777" w:rsidR="00BA0670" w:rsidRDefault="00BA0670" w:rsidP="00BA0670">
      <w:pPr>
        <w:pStyle w:val="ListParagraph"/>
      </w:pPr>
    </w:p>
    <w:p w14:paraId="13364B8F" w14:textId="43325336" w:rsidR="000249A5" w:rsidRDefault="00313E6B" w:rsidP="002A0C5D">
      <w:pPr>
        <w:pStyle w:val="ListParagraph"/>
        <w:numPr>
          <w:ilvl w:val="1"/>
          <w:numId w:val="14"/>
        </w:numPr>
        <w:spacing w:after="0" w:line="22" w:lineRule="atLeast"/>
        <w:contextualSpacing w:val="0"/>
        <w:jc w:val="both"/>
      </w:pPr>
      <w:r>
        <w:t xml:space="preserve">A </w:t>
      </w:r>
      <w:r w:rsidR="00D13463">
        <w:t xml:space="preserve">logical </w:t>
      </w:r>
      <w:r>
        <w:t xml:space="preserve">theory of change </w:t>
      </w:r>
      <w:r w:rsidRPr="00313E6B">
        <w:t xml:space="preserve">map of </w:t>
      </w:r>
      <w:r w:rsidR="00D83D30">
        <w:t>the</w:t>
      </w:r>
      <w:r w:rsidRPr="00313E6B">
        <w:t xml:space="preserve"> objective</w:t>
      </w:r>
      <w:r w:rsidR="00D83D30">
        <w:t xml:space="preserve"> and how the proposed intervention will </w:t>
      </w:r>
      <w:r w:rsidR="00B81D03">
        <w:t>be</w:t>
      </w:r>
      <w:r w:rsidR="00D83D30">
        <w:t xml:space="preserve"> achieve</w:t>
      </w:r>
      <w:r w:rsidR="00B81D03">
        <w:t>d</w:t>
      </w:r>
      <w:r w:rsidR="00D83D30">
        <w:t xml:space="preserve"> </w:t>
      </w:r>
      <w:r w:rsidR="000249A5">
        <w:t xml:space="preserve">is set out </w:t>
      </w:r>
      <w:r w:rsidR="000249A5" w:rsidRPr="00045355">
        <w:t xml:space="preserve">below in </w:t>
      </w:r>
      <w:r w:rsidR="008E45C3" w:rsidRPr="00045355">
        <w:t xml:space="preserve">Diagram </w:t>
      </w:r>
      <w:r w:rsidR="000249A5" w:rsidRPr="00045355">
        <w:t>1</w:t>
      </w:r>
      <w:r w:rsidR="000249A5">
        <w:t>.</w:t>
      </w:r>
    </w:p>
    <w:p w14:paraId="746B356F" w14:textId="77777777" w:rsidR="00205574" w:rsidRDefault="00205574" w:rsidP="002A0C5D">
      <w:pPr>
        <w:spacing w:after="0" w:line="22" w:lineRule="atLeast"/>
        <w:sectPr w:rsidR="00205574" w:rsidSect="006A4EB2">
          <w:headerReference w:type="default" r:id="rId11"/>
          <w:footerReference w:type="default" r:id="rId12"/>
          <w:pgSz w:w="11906" w:h="16838"/>
          <w:pgMar w:top="1134" w:right="1077" w:bottom="1134" w:left="1077" w:header="227" w:footer="454" w:gutter="0"/>
          <w:cols w:space="720"/>
          <w:docGrid w:linePitch="326"/>
        </w:sectPr>
      </w:pPr>
    </w:p>
    <w:p w14:paraId="745B7B2B" w14:textId="657FCD69" w:rsidR="009F3490" w:rsidRPr="003B3294" w:rsidRDefault="00E96A00" w:rsidP="009F3490">
      <w:pPr>
        <w:pStyle w:val="Heading2"/>
        <w:rPr>
          <w:b w:val="0"/>
          <w:sz w:val="24"/>
          <w:szCs w:val="24"/>
          <w:lang w:val="en-US" w:eastAsia="en-US"/>
        </w:rPr>
      </w:pPr>
      <w:r w:rsidRPr="003B3294">
        <w:rPr>
          <w:sz w:val="28"/>
          <w:szCs w:val="28"/>
          <w:lang w:val="en-US" w:eastAsia="en-US"/>
        </w:rPr>
        <w:lastRenderedPageBreak/>
        <w:t xml:space="preserve">Diagram </w:t>
      </w:r>
      <w:r w:rsidR="00CA6472" w:rsidRPr="003B3294">
        <w:rPr>
          <w:sz w:val="28"/>
          <w:szCs w:val="28"/>
          <w:lang w:val="en-US" w:eastAsia="en-US"/>
        </w:rPr>
        <w:t>1</w:t>
      </w:r>
      <w:r w:rsidR="009F3490" w:rsidRPr="003B3294">
        <w:rPr>
          <w:sz w:val="28"/>
          <w:szCs w:val="28"/>
          <w:lang w:val="en-US" w:eastAsia="en-US"/>
        </w:rPr>
        <w:t>: Theory of Change map for proposed changes to HSE`s Major Hazard regulation</w:t>
      </w:r>
      <w:r w:rsidR="009F3490" w:rsidRPr="4989AE3F">
        <w:rPr>
          <w:b w:val="0"/>
          <w:sz w:val="24"/>
          <w:szCs w:val="24"/>
          <w:lang w:val="en-US" w:eastAsia="en-US"/>
        </w:rPr>
        <w:t xml:space="preserve"> </w:t>
      </w:r>
    </w:p>
    <w:p w14:paraId="6274CF69" w14:textId="1F647D3D" w:rsidR="009F3490" w:rsidRPr="009F3490" w:rsidRDefault="009F3490" w:rsidP="009F3490">
      <w:pPr>
        <w:rPr>
          <w:lang w:val="en-US" w:eastAsia="en-US"/>
        </w:rPr>
      </w:pPr>
    </w:p>
    <w:tbl>
      <w:tblPr>
        <w:tblStyle w:val="LightShading-Accent1"/>
        <w:tblW w:w="16050" w:type="dxa"/>
        <w:tblLook w:val="0660" w:firstRow="1" w:lastRow="1" w:firstColumn="0" w:lastColumn="0" w:noHBand="1" w:noVBand="1"/>
      </w:tblPr>
      <w:tblGrid>
        <w:gridCol w:w="3870"/>
        <w:gridCol w:w="4110"/>
        <w:gridCol w:w="3750"/>
        <w:gridCol w:w="4320"/>
      </w:tblGrid>
      <w:tr w:rsidR="00993EB4" w:rsidRPr="00116B4F" w14:paraId="4C8C4DE8" w14:textId="77777777" w:rsidTr="2A9CDC43">
        <w:trPr>
          <w:cnfStyle w:val="100000000000" w:firstRow="1" w:lastRow="0" w:firstColumn="0" w:lastColumn="0" w:oddVBand="0" w:evenVBand="0" w:oddHBand="0" w:evenHBand="0" w:firstRowFirstColumn="0" w:firstRowLastColumn="0" w:lastRowFirstColumn="0" w:lastRowLastColumn="0"/>
        </w:trPr>
        <w:tc>
          <w:tcPr>
            <w:tcW w:w="3870" w:type="dxa"/>
            <w:noWrap/>
          </w:tcPr>
          <w:p w14:paraId="405BA355" w14:textId="77777777" w:rsidR="00993EB4" w:rsidRPr="00116B4F" w:rsidRDefault="00993EB4" w:rsidP="00E7598A">
            <w:r w:rsidRPr="00116B4F">
              <w:t>INPUTS</w:t>
            </w:r>
          </w:p>
        </w:tc>
        <w:tc>
          <w:tcPr>
            <w:tcW w:w="4110" w:type="dxa"/>
          </w:tcPr>
          <w:p w14:paraId="1695BB23" w14:textId="62F11C55" w:rsidR="00993EB4" w:rsidRPr="00116B4F" w:rsidRDefault="00993EB4" w:rsidP="00E7598A">
            <w:r w:rsidRPr="00116B4F">
              <w:t xml:space="preserve">            OUTPUTS</w:t>
            </w:r>
          </w:p>
        </w:tc>
        <w:tc>
          <w:tcPr>
            <w:tcW w:w="3750" w:type="dxa"/>
          </w:tcPr>
          <w:p w14:paraId="0938FD98" w14:textId="3FC1E445" w:rsidR="00993EB4" w:rsidRPr="00116B4F" w:rsidRDefault="00993EB4" w:rsidP="00E7598A">
            <w:r w:rsidRPr="00116B4F">
              <w:t xml:space="preserve">           OUTCOMES</w:t>
            </w:r>
          </w:p>
        </w:tc>
        <w:tc>
          <w:tcPr>
            <w:tcW w:w="4320" w:type="dxa"/>
          </w:tcPr>
          <w:p w14:paraId="6A655575" w14:textId="77777777" w:rsidR="00993EB4" w:rsidRPr="00116B4F" w:rsidRDefault="00993EB4" w:rsidP="00E7598A">
            <w:r w:rsidRPr="00116B4F">
              <w:t xml:space="preserve">             IMPACT</w:t>
            </w:r>
          </w:p>
        </w:tc>
      </w:tr>
      <w:tr w:rsidR="00993EB4" w:rsidRPr="00116B4F" w14:paraId="3ACDC748" w14:textId="77777777" w:rsidTr="2A9CDC43">
        <w:tc>
          <w:tcPr>
            <w:tcW w:w="3870" w:type="dxa"/>
            <w:noWrap/>
          </w:tcPr>
          <w:p w14:paraId="3D95A668" w14:textId="77777777" w:rsidR="00993EB4" w:rsidRPr="00116B4F" w:rsidRDefault="00993EB4" w:rsidP="00E7598A"/>
        </w:tc>
        <w:tc>
          <w:tcPr>
            <w:tcW w:w="4110" w:type="dxa"/>
          </w:tcPr>
          <w:p w14:paraId="311DB78D" w14:textId="0EACD66D" w:rsidR="00993EB4" w:rsidRPr="00116B4F" w:rsidRDefault="00993EB4" w:rsidP="00E7598A">
            <w:pPr>
              <w:rPr>
                <w:i/>
                <w:iCs/>
              </w:rPr>
            </w:pPr>
            <w:r w:rsidRPr="00116B4F">
              <w:rPr>
                <w:i/>
                <w:iCs/>
              </w:rPr>
              <w:t xml:space="preserve">                                               </w:t>
            </w:r>
          </w:p>
        </w:tc>
        <w:tc>
          <w:tcPr>
            <w:tcW w:w="3750" w:type="dxa"/>
          </w:tcPr>
          <w:p w14:paraId="5C1778E8" w14:textId="28808139" w:rsidR="00993EB4" w:rsidRPr="00116B4F" w:rsidRDefault="00993EB4" w:rsidP="00E7598A"/>
        </w:tc>
        <w:tc>
          <w:tcPr>
            <w:tcW w:w="4320" w:type="dxa"/>
          </w:tcPr>
          <w:p w14:paraId="0B865093" w14:textId="77777777" w:rsidR="00993EB4" w:rsidRPr="00116B4F" w:rsidRDefault="00993EB4" w:rsidP="00E7598A"/>
        </w:tc>
      </w:tr>
      <w:tr w:rsidR="00993EB4" w:rsidRPr="00116B4F" w14:paraId="619F77CB" w14:textId="77777777" w:rsidTr="2A9CDC43">
        <w:tc>
          <w:tcPr>
            <w:tcW w:w="3870" w:type="dxa"/>
            <w:noWrap/>
          </w:tcPr>
          <w:p w14:paraId="0362F19F" w14:textId="77777777" w:rsidR="00993EB4" w:rsidRPr="00116B4F" w:rsidRDefault="00993EB4" w:rsidP="00E7598A"/>
        </w:tc>
        <w:tc>
          <w:tcPr>
            <w:tcW w:w="4110" w:type="dxa"/>
          </w:tcPr>
          <w:p w14:paraId="05DC19C9"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110</w:t>
            </w:r>
          </w:p>
        </w:tc>
        <w:tc>
          <w:tcPr>
            <w:tcW w:w="3750" w:type="dxa"/>
          </w:tcPr>
          <w:p w14:paraId="67D5F043"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 xml:space="preserve">                            </w:t>
            </w:r>
          </w:p>
        </w:tc>
        <w:tc>
          <w:tcPr>
            <w:tcW w:w="4320" w:type="dxa"/>
          </w:tcPr>
          <w:p w14:paraId="156F15AE" w14:textId="77777777" w:rsidR="00993EB4" w:rsidRPr="00116B4F" w:rsidRDefault="00993EB4" w:rsidP="00E7598A">
            <w:pPr>
              <w:tabs>
                <w:tab w:val="decimal" w:pos="360"/>
              </w:tabs>
              <w:spacing w:after="200" w:line="276" w:lineRule="auto"/>
              <w:rPr>
                <w:rFonts w:asciiTheme="minorHAnsi" w:hAnsiTheme="minorHAnsi" w:cs="Times New Roman"/>
                <w:sz w:val="22"/>
              </w:rPr>
            </w:pPr>
          </w:p>
        </w:tc>
      </w:tr>
      <w:tr w:rsidR="00993EB4" w:rsidRPr="00116B4F" w14:paraId="459663D4" w14:textId="77777777" w:rsidTr="2A9CDC43">
        <w:tc>
          <w:tcPr>
            <w:tcW w:w="3870" w:type="dxa"/>
            <w:noWrap/>
          </w:tcPr>
          <w:p w14:paraId="3DC3A0CE" w14:textId="77777777" w:rsidR="00993EB4" w:rsidRPr="00116B4F" w:rsidRDefault="00993EB4" w:rsidP="00E7598A"/>
        </w:tc>
        <w:tc>
          <w:tcPr>
            <w:tcW w:w="4110" w:type="dxa"/>
          </w:tcPr>
          <w:p w14:paraId="14FCD48F"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223</w:t>
            </w:r>
          </w:p>
        </w:tc>
        <w:tc>
          <w:tcPr>
            <w:tcW w:w="3750" w:type="dxa"/>
          </w:tcPr>
          <w:p w14:paraId="42731DA2" w14:textId="7CC4ABE9" w:rsidR="00993EB4" w:rsidRPr="00116B4F" w:rsidRDefault="00993EB4" w:rsidP="00E7598A">
            <w:pPr>
              <w:tabs>
                <w:tab w:val="decimal" w:pos="360"/>
              </w:tabs>
              <w:spacing w:after="200" w:line="276" w:lineRule="auto"/>
              <w:rPr>
                <w:rFonts w:asciiTheme="minorHAnsi" w:hAnsiTheme="minorHAnsi" w:cs="Times New Roman"/>
                <w:sz w:val="22"/>
              </w:rPr>
            </w:pPr>
          </w:p>
        </w:tc>
        <w:tc>
          <w:tcPr>
            <w:tcW w:w="4320" w:type="dxa"/>
          </w:tcPr>
          <w:p w14:paraId="5544A5B8" w14:textId="2F6763C2" w:rsidR="00993EB4" w:rsidRPr="00116B4F" w:rsidRDefault="00993EB4" w:rsidP="00E7598A">
            <w:pPr>
              <w:tabs>
                <w:tab w:val="decimal" w:pos="360"/>
              </w:tabs>
              <w:spacing w:after="200" w:line="276" w:lineRule="auto"/>
              <w:rPr>
                <w:rFonts w:asciiTheme="minorHAnsi" w:hAnsiTheme="minorHAnsi" w:cs="Times New Roman"/>
                <w:sz w:val="22"/>
              </w:rPr>
            </w:pPr>
          </w:p>
        </w:tc>
      </w:tr>
      <w:tr w:rsidR="00993EB4" w:rsidRPr="00116B4F" w14:paraId="0310A259" w14:textId="77777777" w:rsidTr="2A9CDC43">
        <w:tc>
          <w:tcPr>
            <w:tcW w:w="3870" w:type="dxa"/>
            <w:noWrap/>
          </w:tcPr>
          <w:p w14:paraId="358089A4" w14:textId="77777777" w:rsidR="00993EB4" w:rsidRPr="00116B4F" w:rsidRDefault="00993EB4" w:rsidP="00E7598A"/>
        </w:tc>
        <w:tc>
          <w:tcPr>
            <w:tcW w:w="4110" w:type="dxa"/>
          </w:tcPr>
          <w:p w14:paraId="1F2D3950"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197</w:t>
            </w:r>
          </w:p>
        </w:tc>
        <w:tc>
          <w:tcPr>
            <w:tcW w:w="3750" w:type="dxa"/>
          </w:tcPr>
          <w:p w14:paraId="24FC78A6" w14:textId="1B5DF5F6"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 xml:space="preserve">                                           </w:t>
            </w:r>
          </w:p>
        </w:tc>
        <w:tc>
          <w:tcPr>
            <w:tcW w:w="4320" w:type="dxa"/>
          </w:tcPr>
          <w:p w14:paraId="04AD2FD5" w14:textId="065BCDDA" w:rsidR="00993EB4" w:rsidRPr="00116B4F" w:rsidRDefault="00993EB4" w:rsidP="00E7598A">
            <w:pPr>
              <w:tabs>
                <w:tab w:val="decimal" w:pos="360"/>
              </w:tabs>
              <w:spacing w:after="200" w:line="276" w:lineRule="auto"/>
              <w:rPr>
                <w:rFonts w:asciiTheme="minorHAnsi" w:hAnsiTheme="minorHAnsi" w:cs="Times New Roman"/>
                <w:sz w:val="22"/>
              </w:rPr>
            </w:pPr>
          </w:p>
        </w:tc>
      </w:tr>
      <w:tr w:rsidR="00993EB4" w:rsidRPr="00116B4F" w14:paraId="2808538E" w14:textId="77777777" w:rsidTr="2A9CDC43">
        <w:tc>
          <w:tcPr>
            <w:tcW w:w="3870" w:type="dxa"/>
            <w:noWrap/>
          </w:tcPr>
          <w:p w14:paraId="3030EB01" w14:textId="77777777" w:rsidR="00993EB4" w:rsidRPr="00116B4F" w:rsidRDefault="00993EB4" w:rsidP="00E7598A">
            <w:r w:rsidRPr="00116B4F">
              <w:rPr>
                <w:noProof/>
              </w:rPr>
              <mc:AlternateContent>
                <mc:Choice Requires="wps">
                  <w:drawing>
                    <wp:anchor distT="0" distB="0" distL="114300" distR="114300" simplePos="0" relativeHeight="251658252" behindDoc="0" locked="0" layoutInCell="1" allowOverlap="1" wp14:anchorId="66507202" wp14:editId="37329B95">
                      <wp:simplePos x="0" y="0"/>
                      <wp:positionH relativeFrom="column">
                        <wp:posOffset>-26670</wp:posOffset>
                      </wp:positionH>
                      <wp:positionV relativeFrom="paragraph">
                        <wp:posOffset>153035</wp:posOffset>
                      </wp:positionV>
                      <wp:extent cx="2183130" cy="891540"/>
                      <wp:effectExtent l="57150" t="38100" r="83820" b="99060"/>
                      <wp:wrapNone/>
                      <wp:docPr id="162711827" name="Rectangle 162711827"/>
                      <wp:cNvGraphicFramePr/>
                      <a:graphic xmlns:a="http://schemas.openxmlformats.org/drawingml/2006/main">
                        <a:graphicData uri="http://schemas.microsoft.com/office/word/2010/wordprocessingShape">
                          <wps:wsp>
                            <wps:cNvSpPr/>
                            <wps:spPr>
                              <a:xfrm>
                                <a:off x="0" y="0"/>
                                <a:ext cx="2183130" cy="89154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264A007" w14:textId="218C560C" w:rsidR="00993EB4" w:rsidRPr="003D47D6" w:rsidRDefault="00993EB4" w:rsidP="00993EB4">
                                  <w:pPr>
                                    <w:jc w:val="center"/>
                                    <w:rPr>
                                      <w:sz w:val="20"/>
                                      <w:szCs w:val="20"/>
                                    </w:rPr>
                                  </w:pPr>
                                  <w:r w:rsidRPr="003D47D6">
                                    <w:rPr>
                                      <w:sz w:val="20"/>
                                      <w:szCs w:val="20"/>
                                    </w:rPr>
                                    <w:t xml:space="preserve">Extend Major Hazard Regulations to include CCUS </w:t>
                                  </w:r>
                                  <w:r w:rsidR="00F03E00">
                                    <w:rPr>
                                      <w:sz w:val="20"/>
                                      <w:szCs w:val="20"/>
                                    </w:rPr>
                                    <w:t>f</w:t>
                                  </w:r>
                                  <w:r w:rsidRPr="003D47D6">
                                    <w:rPr>
                                      <w:sz w:val="20"/>
                                      <w:szCs w:val="20"/>
                                    </w:rPr>
                                    <w:t xml:space="preserve">acilities and </w:t>
                                  </w:r>
                                  <w:r w:rsidR="00D040A8">
                                    <w:rPr>
                                      <w:sz w:val="20"/>
                                      <w:szCs w:val="20"/>
                                    </w:rPr>
                                    <w:t>offshore h</w:t>
                                  </w:r>
                                  <w:r w:rsidRPr="003D47D6">
                                    <w:rPr>
                                      <w:sz w:val="20"/>
                                      <w:szCs w:val="20"/>
                                    </w:rPr>
                                    <w:t xml:space="preserve">ydrogen </w:t>
                                  </w:r>
                                  <w:r w:rsidR="00D040A8">
                                    <w:rPr>
                                      <w:sz w:val="20"/>
                                      <w:szCs w:val="20"/>
                                    </w:rPr>
                                    <w:t>p</w:t>
                                  </w:r>
                                  <w:r w:rsidRPr="003D47D6">
                                    <w:rPr>
                                      <w:sz w:val="20"/>
                                      <w:szCs w:val="20"/>
                                    </w:rPr>
                                    <w: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07202" id="Rectangle 162711827" o:spid="_x0000_s1033" style="position:absolute;margin-left:-2.1pt;margin-top:12.05pt;width:171.9pt;height:70.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" fillcolor="#9eeaff" strokecolor="#46aac5">
                      <v:fill color2="#e4f9ff" rotate="t" angle="180" colors="0 #9eeaff;22938f #bbefff;1 #e4f9ff" focus="100%" type="gradient"/>
                      <v:shadow on="t" color="black" opacity="24903f" origin=",.5" offset="0,.55556mm"/>
                      <v:textbox>
                        <w:txbxContent>
                          <w:p w14:paraId="1264A007" w14:textId="218C560C" w:rsidR="00993EB4" w:rsidRPr="003D47D6" w:rsidRDefault="00993EB4" w:rsidP="00993EB4">
                            <w:pPr>
                              <w:jc w:val="center"/>
                              <w:rPr>
                                <w:sz w:val="20"/>
                                <w:szCs w:val="20"/>
                              </w:rPr>
                            </w:pPr>
                            <w:r w:rsidRPr="003D47D6">
                              <w:rPr>
                                <w:sz w:val="20"/>
                                <w:szCs w:val="20"/>
                              </w:rPr>
                              <w:t xml:space="preserve">Extend Major Hazard Regulations to include CCUS </w:t>
                            </w:r>
                            <w:r w:rsidR="00F03E00">
                              <w:rPr>
                                <w:sz w:val="20"/>
                                <w:szCs w:val="20"/>
                              </w:rPr>
                              <w:t>f</w:t>
                            </w:r>
                            <w:r w:rsidRPr="003D47D6">
                              <w:rPr>
                                <w:sz w:val="20"/>
                                <w:szCs w:val="20"/>
                              </w:rPr>
                              <w:t xml:space="preserve">acilities and </w:t>
                            </w:r>
                            <w:r w:rsidR="00D040A8">
                              <w:rPr>
                                <w:sz w:val="20"/>
                                <w:szCs w:val="20"/>
                              </w:rPr>
                              <w:t>offshore h</w:t>
                            </w:r>
                            <w:r w:rsidRPr="003D47D6">
                              <w:rPr>
                                <w:sz w:val="20"/>
                                <w:szCs w:val="20"/>
                              </w:rPr>
                              <w:t xml:space="preserve">ydrogen </w:t>
                            </w:r>
                            <w:r w:rsidR="00D040A8">
                              <w:rPr>
                                <w:sz w:val="20"/>
                                <w:szCs w:val="20"/>
                              </w:rPr>
                              <w:t>p</w:t>
                            </w:r>
                            <w:r w:rsidRPr="003D47D6">
                              <w:rPr>
                                <w:sz w:val="20"/>
                                <w:szCs w:val="20"/>
                              </w:rPr>
                              <w:t>roduction.</w:t>
                            </w:r>
                          </w:p>
                        </w:txbxContent>
                      </v:textbox>
                    </v:rect>
                  </w:pict>
                </mc:Fallback>
              </mc:AlternateContent>
            </w:r>
          </w:p>
        </w:tc>
        <w:tc>
          <w:tcPr>
            <w:tcW w:w="4110" w:type="dxa"/>
          </w:tcPr>
          <w:p w14:paraId="5FB44175"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134</w:t>
            </w:r>
          </w:p>
        </w:tc>
        <w:tc>
          <w:tcPr>
            <w:tcW w:w="3750" w:type="dxa"/>
          </w:tcPr>
          <w:p w14:paraId="214009E9" w14:textId="13B890B9" w:rsidR="00993EB4" w:rsidRPr="00116B4F" w:rsidRDefault="002738A7"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61" behindDoc="0" locked="0" layoutInCell="1" allowOverlap="1" wp14:anchorId="736CF56E" wp14:editId="3AA9FA2B">
                      <wp:simplePos x="0" y="0"/>
                      <wp:positionH relativeFrom="column">
                        <wp:posOffset>-209517</wp:posOffset>
                      </wp:positionH>
                      <wp:positionV relativeFrom="paragraph">
                        <wp:posOffset>-1126490</wp:posOffset>
                      </wp:positionV>
                      <wp:extent cx="2116677" cy="1367790"/>
                      <wp:effectExtent l="57150" t="38100" r="74295" b="99060"/>
                      <wp:wrapNone/>
                      <wp:docPr id="151899867" name="Flowchart: Connector 151899867"/>
                      <wp:cNvGraphicFramePr/>
                      <a:graphic xmlns:a="http://schemas.openxmlformats.org/drawingml/2006/main">
                        <a:graphicData uri="http://schemas.microsoft.com/office/word/2010/wordprocessingShape">
                          <wps:wsp>
                            <wps:cNvSpPr/>
                            <wps:spPr>
                              <a:xfrm>
                                <a:off x="0" y="0"/>
                                <a:ext cx="2116677" cy="1367790"/>
                              </a:xfrm>
                              <a:prstGeom prst="flowChartConnector">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EFD5EB2" w14:textId="77777777" w:rsidR="00993EB4" w:rsidRPr="00AA6237" w:rsidRDefault="00993EB4" w:rsidP="00993EB4">
                                  <w:pPr>
                                    <w:jc w:val="center"/>
                                    <w:rPr>
                                      <w:b/>
                                      <w:bCs/>
                                      <w:sz w:val="20"/>
                                      <w:szCs w:val="20"/>
                                    </w:rPr>
                                  </w:pPr>
                                  <w:r w:rsidRPr="00AA6237">
                                    <w:rPr>
                                      <w:b/>
                                      <w:bCs/>
                                      <w:sz w:val="20"/>
                                      <w:szCs w:val="20"/>
                                    </w:rPr>
                                    <w:t xml:space="preserve">Hypothesis: </w:t>
                                  </w:r>
                                </w:p>
                                <w:p w14:paraId="7926A41C" w14:textId="4B2C08B2" w:rsidR="00993EB4" w:rsidRPr="00EA6CFB" w:rsidRDefault="00993EB4" w:rsidP="00993EB4">
                                  <w:pPr>
                                    <w:jc w:val="center"/>
                                    <w:rPr>
                                      <w:sz w:val="20"/>
                                      <w:szCs w:val="20"/>
                                    </w:rPr>
                                  </w:pPr>
                                  <w:r>
                                    <w:rPr>
                                      <w:sz w:val="20"/>
                                      <w:szCs w:val="20"/>
                                    </w:rPr>
                                    <w:t xml:space="preserve">Safety considerations </w:t>
                                  </w:r>
                                  <w:r w:rsidR="00E62EA5">
                                    <w:rPr>
                                      <w:sz w:val="20"/>
                                      <w:szCs w:val="20"/>
                                    </w:rPr>
                                    <w:t>c</w:t>
                                  </w:r>
                                  <w:r>
                                    <w:rPr>
                                      <w:sz w:val="20"/>
                                      <w:szCs w:val="20"/>
                                    </w:rPr>
                                    <w:t xml:space="preserve">ould help attain </w:t>
                                  </w:r>
                                  <w:r w:rsidRPr="00EA6CFB">
                                    <w:rPr>
                                      <w:sz w:val="20"/>
                                      <w:szCs w:val="20"/>
                                    </w:rPr>
                                    <w:t xml:space="preserve">the social license </w:t>
                                  </w:r>
                                  <w:r>
                                    <w:rPr>
                                      <w:sz w:val="20"/>
                                      <w:szCs w:val="20"/>
                                    </w:rPr>
                                    <w:t xml:space="preserve">for untested technologies.  </w:t>
                                  </w:r>
                                  <w:r w:rsidRPr="00EA6CF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CF56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1899867" o:spid="_x0000_s1034" type="#_x0000_t120" style="position:absolute;margin-left:-16.5pt;margin-top:-88.7pt;width:166.65pt;height:107.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" fillcolor="#ffbe86" strokecolor="#f69240">
                      <v:fill color2="#ffebdb" rotate="t" angle="180" colors="0 #ffbe86;22938f #ffd0aa;1 #ffebdb" focus="100%" type="gradient"/>
                      <v:shadow on="t" color="black" opacity="24903f" origin=",.5" offset="0,.55556mm"/>
                      <v:textbox>
                        <w:txbxContent>
                          <w:p w14:paraId="1EFD5EB2" w14:textId="77777777" w:rsidR="00993EB4" w:rsidRPr="00AA6237" w:rsidRDefault="00993EB4" w:rsidP="00993EB4">
                            <w:pPr>
                              <w:jc w:val="center"/>
                              <w:rPr>
                                <w:b/>
                                <w:bCs/>
                                <w:sz w:val="20"/>
                                <w:szCs w:val="20"/>
                              </w:rPr>
                            </w:pPr>
                            <w:r w:rsidRPr="00AA6237">
                              <w:rPr>
                                <w:b/>
                                <w:bCs/>
                                <w:sz w:val="20"/>
                                <w:szCs w:val="20"/>
                              </w:rPr>
                              <w:t xml:space="preserve">Hypothesis: </w:t>
                            </w:r>
                          </w:p>
                          <w:p w14:paraId="7926A41C" w14:textId="4B2C08B2" w:rsidR="00993EB4" w:rsidRPr="00EA6CFB" w:rsidRDefault="00993EB4" w:rsidP="00993EB4">
                            <w:pPr>
                              <w:jc w:val="center"/>
                              <w:rPr>
                                <w:sz w:val="20"/>
                                <w:szCs w:val="20"/>
                              </w:rPr>
                            </w:pPr>
                            <w:r>
                              <w:rPr>
                                <w:sz w:val="20"/>
                                <w:szCs w:val="20"/>
                              </w:rPr>
                              <w:t xml:space="preserve">Safety considerations </w:t>
                            </w:r>
                            <w:r w:rsidR="00E62EA5">
                              <w:rPr>
                                <w:sz w:val="20"/>
                                <w:szCs w:val="20"/>
                              </w:rPr>
                              <w:t>c</w:t>
                            </w:r>
                            <w:r>
                              <w:rPr>
                                <w:sz w:val="20"/>
                                <w:szCs w:val="20"/>
                              </w:rPr>
                              <w:t xml:space="preserve">ould help attain </w:t>
                            </w:r>
                            <w:r w:rsidRPr="00EA6CFB">
                              <w:rPr>
                                <w:sz w:val="20"/>
                                <w:szCs w:val="20"/>
                              </w:rPr>
                              <w:t xml:space="preserve">the social license </w:t>
                            </w:r>
                            <w:r>
                              <w:rPr>
                                <w:sz w:val="20"/>
                                <w:szCs w:val="20"/>
                              </w:rPr>
                              <w:t xml:space="preserve">for untested technologies.  </w:t>
                            </w:r>
                            <w:r w:rsidRPr="00EA6CFB">
                              <w:rPr>
                                <w:sz w:val="20"/>
                                <w:szCs w:val="20"/>
                              </w:rPr>
                              <w:t xml:space="preserve"> </w:t>
                            </w:r>
                          </w:p>
                        </w:txbxContent>
                      </v:textbox>
                    </v:shape>
                  </w:pict>
                </mc:Fallback>
              </mc:AlternateContent>
            </w:r>
            <w:r w:rsidR="00993EB4" w:rsidRPr="00116B4F">
              <w:rPr>
                <w:rFonts w:asciiTheme="minorHAnsi" w:hAnsiTheme="minorHAnsi" w:cs="Times New Roman"/>
                <w:sz w:val="22"/>
              </w:rPr>
              <w:t xml:space="preserve">                         </w:t>
            </w:r>
          </w:p>
        </w:tc>
        <w:tc>
          <w:tcPr>
            <w:tcW w:w="4320" w:type="dxa"/>
          </w:tcPr>
          <w:p w14:paraId="30C8F268" w14:textId="0AF4E264" w:rsidR="00993EB4" w:rsidRPr="00116B4F" w:rsidRDefault="002738A7"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60" behindDoc="0" locked="0" layoutInCell="1" allowOverlap="1" wp14:anchorId="2B876957" wp14:editId="0B0E360B">
                      <wp:simplePos x="0" y="0"/>
                      <wp:positionH relativeFrom="column">
                        <wp:posOffset>-330571</wp:posOffset>
                      </wp:positionH>
                      <wp:positionV relativeFrom="paragraph">
                        <wp:posOffset>-1066734</wp:posOffset>
                      </wp:positionV>
                      <wp:extent cx="2306039" cy="1355915"/>
                      <wp:effectExtent l="57150" t="38100" r="75565" b="92075"/>
                      <wp:wrapNone/>
                      <wp:docPr id="1751336350" name="Oval 1751336350"/>
                      <wp:cNvGraphicFramePr/>
                      <a:graphic xmlns:a="http://schemas.openxmlformats.org/drawingml/2006/main">
                        <a:graphicData uri="http://schemas.microsoft.com/office/word/2010/wordprocessingShape">
                          <wps:wsp>
                            <wps:cNvSpPr/>
                            <wps:spPr>
                              <a:xfrm>
                                <a:off x="0" y="0"/>
                                <a:ext cx="2306039" cy="135591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95BF7B2" w14:textId="77777777" w:rsidR="00993EB4" w:rsidRPr="00045D74" w:rsidRDefault="00993EB4" w:rsidP="00993EB4">
                                  <w:pPr>
                                    <w:rPr>
                                      <w:sz w:val="20"/>
                                      <w:szCs w:val="20"/>
                                    </w:rPr>
                                  </w:pPr>
                                  <w:r w:rsidRPr="00045D74">
                                    <w:rPr>
                                      <w:b/>
                                      <w:bCs/>
                                      <w:sz w:val="20"/>
                                      <w:szCs w:val="20"/>
                                    </w:rPr>
                                    <w:t>Hypothesis:</w:t>
                                  </w:r>
                                </w:p>
                                <w:p w14:paraId="183A48A0" w14:textId="001C7F32" w:rsidR="00993EB4" w:rsidRPr="00F407FA" w:rsidRDefault="00993EB4" w:rsidP="00993EB4">
                                  <w:pPr>
                                    <w:rPr>
                                      <w:sz w:val="20"/>
                                      <w:szCs w:val="20"/>
                                    </w:rPr>
                                  </w:pPr>
                                  <w:r w:rsidRPr="00045D74">
                                    <w:rPr>
                                      <w:sz w:val="20"/>
                                      <w:szCs w:val="20"/>
                                    </w:rPr>
                                    <w:t>Qualit</w:t>
                                  </w:r>
                                  <w:r>
                                    <w:rPr>
                                      <w:sz w:val="20"/>
                                      <w:szCs w:val="20"/>
                                    </w:rPr>
                                    <w:t>ative</w:t>
                                  </w:r>
                                  <w:r w:rsidRPr="00045D74">
                                    <w:rPr>
                                      <w:sz w:val="20"/>
                                      <w:szCs w:val="20"/>
                                    </w:rPr>
                                    <w:t xml:space="preserve"> improvements in Health and Safety </w:t>
                                  </w:r>
                                  <w:r w:rsidR="00CA46CF">
                                    <w:rPr>
                                      <w:sz w:val="20"/>
                                      <w:szCs w:val="20"/>
                                    </w:rPr>
                                    <w:t xml:space="preserve">standards </w:t>
                                  </w:r>
                                  <w:r w:rsidRPr="00045D74">
                                    <w:rPr>
                                      <w:sz w:val="20"/>
                                      <w:szCs w:val="20"/>
                                    </w:rPr>
                                    <w:t>attract</w:t>
                                  </w:r>
                                  <w:r w:rsidRPr="00F407FA">
                                    <w:rPr>
                                      <w:sz w:val="20"/>
                                      <w:szCs w:val="20"/>
                                    </w:rPr>
                                    <w:t xml:space="preserve"> more</w:t>
                                  </w:r>
                                  <w:r>
                                    <w:rPr>
                                      <w:sz w:val="20"/>
                                      <w:szCs w:val="20"/>
                                    </w:rPr>
                                    <w:t xml:space="preserve"> </w:t>
                                  </w:r>
                                  <w:r w:rsidRPr="00F407FA">
                                    <w:rPr>
                                      <w:sz w:val="20"/>
                                      <w:szCs w:val="20"/>
                                    </w:rPr>
                                    <w:t>investment</w:t>
                                  </w:r>
                                  <w:r>
                                    <w:rPr>
                                      <w:sz w:val="20"/>
                                      <w:szCs w:val="20"/>
                                    </w:rPr>
                                    <w:t xml:space="preser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76957" id="Oval 1751336350" o:spid="_x0000_s1035" style="position:absolute;margin-left:-26.05pt;margin-top:-84pt;width:181.6pt;height:106.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" fillcolor="#ffbe86" strokecolor="#f69240">
                      <v:fill color2="#ffebdb" rotate="t" angle="180" colors="0 #ffbe86;22938f #ffd0aa;1 #ffebdb" focus="100%" type="gradient"/>
                      <v:shadow on="t" color="black" opacity="24903f" origin=",.5" offset="0,.55556mm"/>
                      <v:textbox>
                        <w:txbxContent>
                          <w:p w14:paraId="395BF7B2" w14:textId="77777777" w:rsidR="00993EB4" w:rsidRPr="00045D74" w:rsidRDefault="00993EB4" w:rsidP="00993EB4">
                            <w:pPr>
                              <w:rPr>
                                <w:sz w:val="20"/>
                                <w:szCs w:val="20"/>
                              </w:rPr>
                            </w:pPr>
                            <w:r w:rsidRPr="00045D74">
                              <w:rPr>
                                <w:b/>
                                <w:bCs/>
                                <w:sz w:val="20"/>
                                <w:szCs w:val="20"/>
                              </w:rPr>
                              <w:t>Hypothesis:</w:t>
                            </w:r>
                          </w:p>
                          <w:p w14:paraId="183A48A0" w14:textId="001C7F32" w:rsidR="00993EB4" w:rsidRPr="00F407FA" w:rsidRDefault="00993EB4" w:rsidP="00993EB4">
                            <w:pPr>
                              <w:rPr>
                                <w:sz w:val="20"/>
                                <w:szCs w:val="20"/>
                              </w:rPr>
                            </w:pPr>
                            <w:r w:rsidRPr="00045D74">
                              <w:rPr>
                                <w:sz w:val="20"/>
                                <w:szCs w:val="20"/>
                              </w:rPr>
                              <w:t>Qualit</w:t>
                            </w:r>
                            <w:r>
                              <w:rPr>
                                <w:sz w:val="20"/>
                                <w:szCs w:val="20"/>
                              </w:rPr>
                              <w:t>ative</w:t>
                            </w:r>
                            <w:r w:rsidRPr="00045D74">
                              <w:rPr>
                                <w:sz w:val="20"/>
                                <w:szCs w:val="20"/>
                              </w:rPr>
                              <w:t xml:space="preserve"> improvements in Health and Safety </w:t>
                            </w:r>
                            <w:r w:rsidR="00CA46CF">
                              <w:rPr>
                                <w:sz w:val="20"/>
                                <w:szCs w:val="20"/>
                              </w:rPr>
                              <w:t xml:space="preserve">standards </w:t>
                            </w:r>
                            <w:r w:rsidRPr="00045D74">
                              <w:rPr>
                                <w:sz w:val="20"/>
                                <w:szCs w:val="20"/>
                              </w:rPr>
                              <w:t>attract</w:t>
                            </w:r>
                            <w:r w:rsidRPr="00F407FA">
                              <w:rPr>
                                <w:sz w:val="20"/>
                                <w:szCs w:val="20"/>
                              </w:rPr>
                              <w:t xml:space="preserve"> more</w:t>
                            </w:r>
                            <w:r>
                              <w:rPr>
                                <w:sz w:val="20"/>
                                <w:szCs w:val="20"/>
                              </w:rPr>
                              <w:t xml:space="preserve"> </w:t>
                            </w:r>
                            <w:r w:rsidRPr="00F407FA">
                              <w:rPr>
                                <w:sz w:val="20"/>
                                <w:szCs w:val="20"/>
                              </w:rPr>
                              <w:t>investment</w:t>
                            </w:r>
                            <w:r>
                              <w:rPr>
                                <w:sz w:val="20"/>
                                <w:szCs w:val="20"/>
                              </w:rPr>
                              <w:t xml:space="preserve">s. </w:t>
                            </w:r>
                          </w:p>
                        </w:txbxContent>
                      </v:textbox>
                    </v:oval>
                  </w:pict>
                </mc:Fallback>
              </mc:AlternateContent>
            </w:r>
          </w:p>
        </w:tc>
      </w:tr>
      <w:tr w:rsidR="00993EB4" w:rsidRPr="00116B4F" w14:paraId="6F9E9CDC" w14:textId="77777777" w:rsidTr="2A9CDC43">
        <w:tc>
          <w:tcPr>
            <w:tcW w:w="3870" w:type="dxa"/>
            <w:noWrap/>
          </w:tcPr>
          <w:p w14:paraId="627A24E8" w14:textId="77777777" w:rsidR="00993EB4" w:rsidRPr="00116B4F" w:rsidRDefault="00993EB4" w:rsidP="00E7598A">
            <w:r w:rsidRPr="00116B4F">
              <w:t>Oak Institute</w:t>
            </w:r>
          </w:p>
        </w:tc>
        <w:tc>
          <w:tcPr>
            <w:tcW w:w="4110" w:type="dxa"/>
          </w:tcPr>
          <w:p w14:paraId="02E6CC93"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202</w:t>
            </w:r>
          </w:p>
        </w:tc>
        <w:tc>
          <w:tcPr>
            <w:tcW w:w="3750" w:type="dxa"/>
          </w:tcPr>
          <w:p w14:paraId="6B42D347" w14:textId="24EEC887" w:rsidR="00993EB4" w:rsidRPr="00116B4F" w:rsidRDefault="00993EB4" w:rsidP="00E7598A">
            <w:pPr>
              <w:tabs>
                <w:tab w:val="decimal" w:pos="360"/>
              </w:tabs>
              <w:spacing w:after="200" w:line="276" w:lineRule="auto"/>
              <w:rPr>
                <w:rFonts w:asciiTheme="minorHAnsi" w:hAnsiTheme="minorHAnsi" w:cs="Times New Roman"/>
                <w:sz w:val="22"/>
              </w:rPr>
            </w:pPr>
          </w:p>
        </w:tc>
        <w:tc>
          <w:tcPr>
            <w:tcW w:w="4320" w:type="dxa"/>
          </w:tcPr>
          <w:p w14:paraId="7DB04D9E" w14:textId="455F483C"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 xml:space="preserve">                 </w:t>
            </w:r>
          </w:p>
        </w:tc>
      </w:tr>
      <w:tr w:rsidR="00993EB4" w:rsidRPr="00116B4F" w14:paraId="5240774F" w14:textId="77777777" w:rsidTr="2A9CDC43">
        <w:tc>
          <w:tcPr>
            <w:tcW w:w="3870" w:type="dxa"/>
            <w:noWrap/>
          </w:tcPr>
          <w:p w14:paraId="32F48481" w14:textId="77777777" w:rsidR="00993EB4" w:rsidRPr="00116B4F" w:rsidRDefault="00993EB4" w:rsidP="00E7598A"/>
        </w:tc>
        <w:tc>
          <w:tcPr>
            <w:tcW w:w="4110" w:type="dxa"/>
          </w:tcPr>
          <w:p w14:paraId="698C27F2" w14:textId="77777777" w:rsidR="00993EB4" w:rsidRPr="00116B4F" w:rsidRDefault="00993EB4" w:rsidP="00E7598A">
            <w:pPr>
              <w:rPr>
                <w:i/>
                <w:iCs/>
              </w:rPr>
            </w:pPr>
            <w:r w:rsidRPr="00116B4F">
              <w:rPr>
                <w:i/>
                <w:iCs/>
              </w:rPr>
              <w:t>Graduate</w:t>
            </w:r>
          </w:p>
        </w:tc>
        <w:tc>
          <w:tcPr>
            <w:tcW w:w="3750" w:type="dxa"/>
          </w:tcPr>
          <w:p w14:paraId="40E55C03" w14:textId="650B86F1" w:rsidR="00993EB4" w:rsidRPr="00116B4F" w:rsidRDefault="00155B7F" w:rsidP="00E7598A">
            <w:r w:rsidRPr="00116B4F">
              <w:rPr>
                <w:rFonts w:asciiTheme="minorHAnsi" w:hAnsiTheme="minorHAnsi" w:cs="Times New Roman"/>
                <w:noProof/>
                <w:sz w:val="22"/>
              </w:rPr>
              <mc:AlternateContent>
                <mc:Choice Requires="wps">
                  <w:drawing>
                    <wp:anchor distT="0" distB="0" distL="114300" distR="114300" simplePos="0" relativeHeight="251658258" behindDoc="0" locked="0" layoutInCell="1" allowOverlap="1" wp14:anchorId="32D42D26" wp14:editId="1AB7F914">
                      <wp:simplePos x="0" y="0"/>
                      <wp:positionH relativeFrom="column">
                        <wp:posOffset>1672590</wp:posOffset>
                      </wp:positionH>
                      <wp:positionV relativeFrom="paragraph">
                        <wp:posOffset>110808</wp:posOffset>
                      </wp:positionV>
                      <wp:extent cx="636270" cy="484632"/>
                      <wp:effectExtent l="57150" t="38100" r="68580" b="86995"/>
                      <wp:wrapNone/>
                      <wp:docPr id="955864682" name="Arrow: Right 955864682"/>
                      <wp:cNvGraphicFramePr/>
                      <a:graphic xmlns:a="http://schemas.openxmlformats.org/drawingml/2006/main">
                        <a:graphicData uri="http://schemas.microsoft.com/office/word/2010/wordprocessingShape">
                          <wps:wsp>
                            <wps:cNvSpPr/>
                            <wps:spPr>
                              <a:xfrm>
                                <a:off x="0" y="0"/>
                                <a:ext cx="636270" cy="484632"/>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9EC7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55864682" o:spid="_x0000_s1026" type="#_x0000_t13" style="position:absolute;margin-left:131.7pt;margin-top:8.75pt;width:50.1pt;height:38.1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" adj="13374" fillcolor="#3f80cd" strokecolor="#4a7ebb">
                      <v:fill color2="#9bc1ff" rotate="t" angle="180" focus="100%" type="gradient">
                        <o:fill v:ext="view" type="gradientUnscaled"/>
                      </v:fill>
                      <v:shadow on="t" color="black" opacity="22937f" origin=",.5" offset="0,.63889mm"/>
                    </v:shape>
                  </w:pict>
                </mc:Fallback>
              </mc:AlternateContent>
            </w:r>
          </w:p>
        </w:tc>
        <w:tc>
          <w:tcPr>
            <w:tcW w:w="4320" w:type="dxa"/>
          </w:tcPr>
          <w:p w14:paraId="3A07A48D" w14:textId="745716FC" w:rsidR="00993EB4" w:rsidRPr="00116B4F" w:rsidRDefault="00993EB4" w:rsidP="00E7598A"/>
        </w:tc>
      </w:tr>
      <w:tr w:rsidR="00993EB4" w:rsidRPr="00116B4F" w14:paraId="126F4DA1" w14:textId="77777777" w:rsidTr="2A9CDC43">
        <w:tc>
          <w:tcPr>
            <w:tcW w:w="3870" w:type="dxa"/>
            <w:noWrap/>
          </w:tcPr>
          <w:p w14:paraId="0E2DF37C" w14:textId="77777777" w:rsidR="00993EB4" w:rsidRPr="00116B4F" w:rsidRDefault="00993EB4" w:rsidP="00E7598A">
            <w:r w:rsidRPr="00116B4F">
              <w:t>Cedar University</w:t>
            </w:r>
          </w:p>
        </w:tc>
        <w:tc>
          <w:tcPr>
            <w:tcW w:w="4110" w:type="dxa"/>
          </w:tcPr>
          <w:p w14:paraId="13E29119" w14:textId="00753A76"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24</w:t>
            </w:r>
          </w:p>
        </w:tc>
        <w:tc>
          <w:tcPr>
            <w:tcW w:w="3750" w:type="dxa"/>
          </w:tcPr>
          <w:p w14:paraId="75E536A2" w14:textId="450BF7CC" w:rsidR="00993EB4" w:rsidRPr="00116B4F" w:rsidRDefault="00E20EB8"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54" behindDoc="0" locked="0" layoutInCell="1" allowOverlap="1" wp14:anchorId="17331400" wp14:editId="5002D119">
                      <wp:simplePos x="0" y="0"/>
                      <wp:positionH relativeFrom="column">
                        <wp:posOffset>-203835</wp:posOffset>
                      </wp:positionH>
                      <wp:positionV relativeFrom="paragraph">
                        <wp:posOffset>-399415</wp:posOffset>
                      </wp:positionV>
                      <wp:extent cx="598170" cy="484505"/>
                      <wp:effectExtent l="57150" t="38100" r="68580" b="86995"/>
                      <wp:wrapNone/>
                      <wp:docPr id="54845050" name="Arrow: Right 54845050"/>
                      <wp:cNvGraphicFramePr/>
                      <a:graphic xmlns:a="http://schemas.openxmlformats.org/drawingml/2006/main">
                        <a:graphicData uri="http://schemas.microsoft.com/office/word/2010/wordprocessingShape">
                          <wps:wsp>
                            <wps:cNvSpPr/>
                            <wps:spPr>
                              <a:xfrm>
                                <a:off x="0" y="0"/>
                                <a:ext cx="598170" cy="484505"/>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937696" id="Arrow: Right 54845050" o:spid="_x0000_s1026" type="#_x0000_t13" style="position:absolute;margin-left:-16.05pt;margin-top:-31.45pt;width:47.1pt;height:38.1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" adj="12852" fillcolor="#3f80cd" strokecolor="#4a7ebb">
                      <v:fill color2="#9bc1ff" rotate="t" angle="180" focus="100%" type="gradient">
                        <o:fill v:ext="view" type="gradientUnscaled"/>
                      </v:fill>
                      <v:shadow on="t" color="black" opacity="22937f" origin=",.5" offset="0,.63889mm"/>
                    </v:shape>
                  </w:pict>
                </mc:Fallback>
              </mc:AlternateContent>
            </w:r>
          </w:p>
        </w:tc>
        <w:tc>
          <w:tcPr>
            <w:tcW w:w="4320" w:type="dxa"/>
          </w:tcPr>
          <w:p w14:paraId="756DDAC9" w14:textId="736300AF" w:rsidR="00993EB4" w:rsidRPr="00116B4F" w:rsidRDefault="00641EBA"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59" behindDoc="0" locked="0" layoutInCell="1" allowOverlap="1" wp14:anchorId="3F9CB27D" wp14:editId="4CFAD144">
                      <wp:simplePos x="0" y="0"/>
                      <wp:positionH relativeFrom="column">
                        <wp:posOffset>23812</wp:posOffset>
                      </wp:positionH>
                      <wp:positionV relativeFrom="paragraph">
                        <wp:posOffset>-468947</wp:posOffset>
                      </wp:positionV>
                      <wp:extent cx="1203960" cy="1356360"/>
                      <wp:effectExtent l="76200" t="57150" r="72390" b="110490"/>
                      <wp:wrapNone/>
                      <wp:docPr id="631057737" name="Rectangle: Rounded Corners 631057737"/>
                      <wp:cNvGraphicFramePr/>
                      <a:graphic xmlns:a="http://schemas.openxmlformats.org/drawingml/2006/main">
                        <a:graphicData uri="http://schemas.microsoft.com/office/word/2010/wordprocessingShape">
                          <wps:wsp>
                            <wps:cNvSpPr/>
                            <wps:spPr>
                              <a:xfrm>
                                <a:off x="0" y="0"/>
                                <a:ext cx="1203960" cy="1356360"/>
                              </a:xfrm>
                              <a:prstGeom prst="roundRect">
                                <a:avLst/>
                              </a:prstGeom>
                              <a:gradFill rotWithShape="1">
                                <a:gsLst>
                                  <a:gs pos="0">
                                    <a:srgbClr val="C0504D">
                                      <a:tint val="100000"/>
                                      <a:shade val="100000"/>
                                      <a:satMod val="130000"/>
                                    </a:srgbClr>
                                  </a:gs>
                                  <a:gs pos="100000">
                                    <a:srgbClr val="C0504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5220E63" w14:textId="607AABE7" w:rsidR="00993EB4" w:rsidRPr="005B3155" w:rsidRDefault="00993EB4" w:rsidP="00993EB4">
                                  <w:pPr>
                                    <w:jc w:val="center"/>
                                    <w:rPr>
                                      <w:sz w:val="20"/>
                                      <w:szCs w:val="20"/>
                                    </w:rPr>
                                  </w:pPr>
                                  <w:r w:rsidRPr="005B3155">
                                    <w:rPr>
                                      <w:sz w:val="20"/>
                                      <w:szCs w:val="20"/>
                                    </w:rPr>
                                    <w:t xml:space="preserve">Improved </w:t>
                                  </w:r>
                                  <w:r w:rsidR="00582678">
                                    <w:rPr>
                                      <w:sz w:val="20"/>
                                      <w:szCs w:val="20"/>
                                    </w:rPr>
                                    <w:t>h</w:t>
                                  </w:r>
                                  <w:r w:rsidRPr="005B3155">
                                    <w:rPr>
                                      <w:sz w:val="20"/>
                                      <w:szCs w:val="20"/>
                                    </w:rPr>
                                    <w:t xml:space="preserve">ealth and </w:t>
                                  </w:r>
                                  <w:r w:rsidR="00582678">
                                    <w:rPr>
                                      <w:sz w:val="20"/>
                                      <w:szCs w:val="20"/>
                                    </w:rPr>
                                    <w:t>s</w:t>
                                  </w:r>
                                  <w:r w:rsidRPr="005B3155">
                                    <w:rPr>
                                      <w:sz w:val="20"/>
                                      <w:szCs w:val="20"/>
                                    </w:rPr>
                                    <w:t xml:space="preserve">afety for </w:t>
                                  </w:r>
                                  <w:r w:rsidR="00582678">
                                    <w:rPr>
                                      <w:sz w:val="20"/>
                                      <w:szCs w:val="20"/>
                                    </w:rPr>
                                    <w:t>e</w:t>
                                  </w:r>
                                  <w:r w:rsidRPr="005B3155">
                                    <w:rPr>
                                      <w:sz w:val="20"/>
                                      <w:szCs w:val="20"/>
                                    </w:rPr>
                                    <w:t xml:space="preserve">mployees and their workplaces.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CB27D" id="Rectangle: Rounded Corners 631057737" o:spid="_x0000_s1036" style="position:absolute;margin-left:1.85pt;margin-top:-36.9pt;width:94.8pt;height:106.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" fillcolor="#d1403c" stroked="f">
                      <v:fill color2="#ff9a99" rotate="t" angle="180" focus="100%" type="gradient">
                        <o:fill v:ext="view" type="gradientUnscaled"/>
                      </v:fill>
                      <v:shadow on="t" color="black" opacity="22937f" origin=",.5" offset="0,.63889mm"/>
                      <v:textbox>
                        <w:txbxContent>
                          <w:p w14:paraId="15220E63" w14:textId="607AABE7" w:rsidR="00993EB4" w:rsidRPr="005B3155" w:rsidRDefault="00993EB4" w:rsidP="00993EB4">
                            <w:pPr>
                              <w:jc w:val="center"/>
                              <w:rPr>
                                <w:sz w:val="20"/>
                                <w:szCs w:val="20"/>
                              </w:rPr>
                            </w:pPr>
                            <w:r w:rsidRPr="005B3155">
                              <w:rPr>
                                <w:sz w:val="20"/>
                                <w:szCs w:val="20"/>
                              </w:rPr>
                              <w:t xml:space="preserve">Improved </w:t>
                            </w:r>
                            <w:r w:rsidR="00582678">
                              <w:rPr>
                                <w:sz w:val="20"/>
                                <w:szCs w:val="20"/>
                              </w:rPr>
                              <w:t>h</w:t>
                            </w:r>
                            <w:r w:rsidRPr="005B3155">
                              <w:rPr>
                                <w:sz w:val="20"/>
                                <w:szCs w:val="20"/>
                              </w:rPr>
                              <w:t xml:space="preserve">ealth and </w:t>
                            </w:r>
                            <w:r w:rsidR="00582678">
                              <w:rPr>
                                <w:sz w:val="20"/>
                                <w:szCs w:val="20"/>
                              </w:rPr>
                              <w:t>s</w:t>
                            </w:r>
                            <w:r w:rsidRPr="005B3155">
                              <w:rPr>
                                <w:sz w:val="20"/>
                                <w:szCs w:val="20"/>
                              </w:rPr>
                              <w:t xml:space="preserve">afety for </w:t>
                            </w:r>
                            <w:r w:rsidR="00582678">
                              <w:rPr>
                                <w:sz w:val="20"/>
                                <w:szCs w:val="20"/>
                              </w:rPr>
                              <w:t>e</w:t>
                            </w:r>
                            <w:r w:rsidRPr="005B3155">
                              <w:rPr>
                                <w:sz w:val="20"/>
                                <w:szCs w:val="20"/>
                              </w:rPr>
                              <w:t xml:space="preserve">mployees and their workplaces. </w:t>
                            </w:r>
                          </w:p>
                        </w:txbxContent>
                      </v:textbox>
                    </v:roundrect>
                  </w:pict>
                </mc:Fallback>
              </mc:AlternateContent>
            </w:r>
          </w:p>
        </w:tc>
      </w:tr>
      <w:tr w:rsidR="00993EB4" w:rsidRPr="00116B4F" w14:paraId="4F424EA2" w14:textId="77777777" w:rsidTr="2A9CDC43">
        <w:tc>
          <w:tcPr>
            <w:tcW w:w="3870" w:type="dxa"/>
            <w:noWrap/>
          </w:tcPr>
          <w:p w14:paraId="5301CFA9" w14:textId="77777777" w:rsidR="00993EB4" w:rsidRPr="00116B4F" w:rsidRDefault="00993EB4" w:rsidP="00E7598A"/>
        </w:tc>
        <w:tc>
          <w:tcPr>
            <w:tcW w:w="4110" w:type="dxa"/>
          </w:tcPr>
          <w:p w14:paraId="07886CC0"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43</w:t>
            </w:r>
          </w:p>
        </w:tc>
        <w:tc>
          <w:tcPr>
            <w:tcW w:w="3750" w:type="dxa"/>
          </w:tcPr>
          <w:p w14:paraId="17C0B9E0" w14:textId="772E36C1" w:rsidR="00993EB4" w:rsidRPr="00116B4F" w:rsidRDefault="00E20EB8"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55" behindDoc="0" locked="0" layoutInCell="1" allowOverlap="1" wp14:anchorId="2AD94D3C" wp14:editId="62070C9C">
                      <wp:simplePos x="0" y="0"/>
                      <wp:positionH relativeFrom="column">
                        <wp:posOffset>-184785</wp:posOffset>
                      </wp:positionH>
                      <wp:positionV relativeFrom="paragraph">
                        <wp:posOffset>-199456</wp:posOffset>
                      </wp:positionV>
                      <wp:extent cx="579120" cy="484505"/>
                      <wp:effectExtent l="57150" t="38100" r="68580" b="86995"/>
                      <wp:wrapNone/>
                      <wp:docPr id="257976729" name="Arrow: Right 257976729"/>
                      <wp:cNvGraphicFramePr/>
                      <a:graphic xmlns:a="http://schemas.openxmlformats.org/drawingml/2006/main">
                        <a:graphicData uri="http://schemas.microsoft.com/office/word/2010/wordprocessingShape">
                          <wps:wsp>
                            <wps:cNvSpPr/>
                            <wps:spPr>
                              <a:xfrm>
                                <a:off x="0" y="0"/>
                                <a:ext cx="579120" cy="484505"/>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9C5FB" id="Arrow: Right 257976729" o:spid="_x0000_s1026" type="#_x0000_t13" style="position:absolute;margin-left:-14.55pt;margin-top:-15.7pt;width:45.6pt;height:38.1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" adj="12564" fillcolor="#3f80cd" strokecolor="#4a7ebb">
                      <v:fill color2="#9bc1ff" rotate="t" angle="180" focus="100%" type="gradient">
                        <o:fill v:ext="view" type="gradientUnscaled"/>
                      </v:fill>
                      <v:shadow on="t" color="black" opacity="22937f" origin=",.5" offset="0,.63889mm"/>
                    </v:shape>
                  </w:pict>
                </mc:Fallback>
              </mc:AlternateContent>
            </w:r>
          </w:p>
        </w:tc>
        <w:tc>
          <w:tcPr>
            <w:tcW w:w="4320" w:type="dxa"/>
          </w:tcPr>
          <w:p w14:paraId="57A77BB9" w14:textId="3CB24660" w:rsidR="00993EB4" w:rsidRPr="00116B4F" w:rsidRDefault="00993EB4" w:rsidP="00E7598A">
            <w:pPr>
              <w:tabs>
                <w:tab w:val="decimal" w:pos="360"/>
              </w:tabs>
              <w:spacing w:after="200" w:line="276" w:lineRule="auto"/>
              <w:rPr>
                <w:rFonts w:asciiTheme="minorHAnsi" w:hAnsiTheme="minorHAnsi" w:cs="Times New Roman"/>
                <w:sz w:val="22"/>
              </w:rPr>
            </w:pPr>
          </w:p>
        </w:tc>
      </w:tr>
      <w:tr w:rsidR="00993EB4" w:rsidRPr="00116B4F" w14:paraId="5977D265" w14:textId="77777777" w:rsidTr="2A9CDC43">
        <w:tc>
          <w:tcPr>
            <w:tcW w:w="3870" w:type="dxa"/>
            <w:noWrap/>
          </w:tcPr>
          <w:p w14:paraId="3DCF824E" w14:textId="77777777" w:rsidR="00993EB4" w:rsidRPr="00116B4F" w:rsidRDefault="00993EB4" w:rsidP="00E7598A"/>
        </w:tc>
        <w:tc>
          <w:tcPr>
            <w:tcW w:w="4110" w:type="dxa"/>
          </w:tcPr>
          <w:p w14:paraId="5CC6C1ED" w14:textId="77777777" w:rsidR="00993EB4" w:rsidRPr="00116B4F" w:rsidRDefault="00993EB4"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sz w:val="22"/>
              </w:rPr>
              <w:t>3</w:t>
            </w:r>
          </w:p>
        </w:tc>
        <w:tc>
          <w:tcPr>
            <w:tcW w:w="3750" w:type="dxa"/>
          </w:tcPr>
          <w:p w14:paraId="500A87E6" w14:textId="02A61E55" w:rsidR="00993EB4" w:rsidRPr="00116B4F" w:rsidRDefault="005E66EC"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56" behindDoc="0" locked="0" layoutInCell="1" allowOverlap="1" wp14:anchorId="530C5756" wp14:editId="152C3A94">
                      <wp:simplePos x="0" y="0"/>
                      <wp:positionH relativeFrom="column">
                        <wp:posOffset>-203456</wp:posOffset>
                      </wp:positionH>
                      <wp:positionV relativeFrom="paragraph">
                        <wp:posOffset>19685</wp:posOffset>
                      </wp:positionV>
                      <wp:extent cx="643890" cy="484632"/>
                      <wp:effectExtent l="57150" t="38100" r="80010" b="86995"/>
                      <wp:wrapNone/>
                      <wp:docPr id="1457281671" name="Arrow: Right 1457281671"/>
                      <wp:cNvGraphicFramePr/>
                      <a:graphic xmlns:a="http://schemas.openxmlformats.org/drawingml/2006/main">
                        <a:graphicData uri="http://schemas.microsoft.com/office/word/2010/wordprocessingShape">
                          <wps:wsp>
                            <wps:cNvSpPr/>
                            <wps:spPr>
                              <a:xfrm>
                                <a:off x="0" y="0"/>
                                <a:ext cx="643890" cy="484632"/>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184E37" id="Arrow: Right 1457281671" o:spid="_x0000_s1026" type="#_x0000_t13" style="position:absolute;margin-left:-16pt;margin-top:1.55pt;width:50.7pt;height:38.15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" adj="13471" fillcolor="#3f80cd" strokecolor="#4a7ebb">
                      <v:fill color2="#9bc1ff" rotate="t" angle="180" focus="100%" type="gradient">
                        <o:fill v:ext="view" type="gradientUnscaled"/>
                      </v:fill>
                      <v:shadow on="t" color="black" opacity="22937f" origin=",.5" offset="0,.63889mm"/>
                    </v:shape>
                  </w:pict>
                </mc:Fallback>
              </mc:AlternateContent>
            </w:r>
          </w:p>
        </w:tc>
        <w:tc>
          <w:tcPr>
            <w:tcW w:w="4320" w:type="dxa"/>
          </w:tcPr>
          <w:p w14:paraId="3F0C647D" w14:textId="77777777" w:rsidR="00993EB4" w:rsidRPr="00116B4F" w:rsidRDefault="00993EB4" w:rsidP="00E7598A">
            <w:pPr>
              <w:tabs>
                <w:tab w:val="decimal" w:pos="360"/>
              </w:tabs>
              <w:spacing w:after="200" w:line="276" w:lineRule="auto"/>
              <w:rPr>
                <w:rFonts w:asciiTheme="minorHAnsi" w:hAnsiTheme="minorHAnsi" w:cs="Times New Roman"/>
                <w:sz w:val="22"/>
              </w:rPr>
            </w:pPr>
          </w:p>
        </w:tc>
      </w:tr>
      <w:tr w:rsidR="00993EB4" w:rsidRPr="00116B4F" w14:paraId="48543A4B" w14:textId="77777777" w:rsidTr="2A9CDC43">
        <w:tc>
          <w:tcPr>
            <w:tcW w:w="3870" w:type="dxa"/>
            <w:noWrap/>
          </w:tcPr>
          <w:p w14:paraId="64CF555D" w14:textId="77777777" w:rsidR="00993EB4" w:rsidRPr="00116B4F" w:rsidRDefault="00993EB4" w:rsidP="00E7598A"/>
        </w:tc>
        <w:tc>
          <w:tcPr>
            <w:tcW w:w="4110" w:type="dxa"/>
          </w:tcPr>
          <w:p w14:paraId="010AC77A" w14:textId="77777777" w:rsidR="00993EB4" w:rsidRPr="00116B4F" w:rsidRDefault="00993EB4" w:rsidP="00E7598A">
            <w:pPr>
              <w:tabs>
                <w:tab w:val="decimal" w:pos="360"/>
              </w:tabs>
              <w:spacing w:after="200" w:line="276" w:lineRule="auto"/>
              <w:rPr>
                <w:rFonts w:asciiTheme="minorHAnsi" w:hAnsiTheme="minorHAnsi" w:cs="Times New Roman"/>
                <w:sz w:val="22"/>
              </w:rPr>
            </w:pPr>
          </w:p>
        </w:tc>
        <w:tc>
          <w:tcPr>
            <w:tcW w:w="3750" w:type="dxa"/>
          </w:tcPr>
          <w:p w14:paraId="15933C02" w14:textId="70BFA191" w:rsidR="00993EB4" w:rsidRPr="00116B4F" w:rsidRDefault="00E20EB8" w:rsidP="00E7598A">
            <w:pPr>
              <w:tabs>
                <w:tab w:val="decimal" w:pos="360"/>
              </w:tabs>
              <w:spacing w:after="200" w:line="276" w:lineRule="auto"/>
              <w:rPr>
                <w:rFonts w:asciiTheme="minorHAnsi" w:hAnsiTheme="minorHAnsi" w:cs="Times New Roman"/>
                <w:sz w:val="22"/>
              </w:rPr>
            </w:pPr>
            <w:r w:rsidRPr="00116B4F">
              <w:rPr>
                <w:rFonts w:asciiTheme="minorHAnsi" w:hAnsiTheme="minorHAnsi" w:cs="Times New Roman"/>
                <w:noProof/>
                <w:sz w:val="22"/>
              </w:rPr>
              <mc:AlternateContent>
                <mc:Choice Requires="wps">
                  <w:drawing>
                    <wp:anchor distT="0" distB="0" distL="114300" distR="114300" simplePos="0" relativeHeight="251658257" behindDoc="0" locked="0" layoutInCell="1" allowOverlap="1" wp14:anchorId="4370643D" wp14:editId="2465898E">
                      <wp:simplePos x="0" y="0"/>
                      <wp:positionH relativeFrom="column">
                        <wp:posOffset>534241</wp:posOffset>
                      </wp:positionH>
                      <wp:positionV relativeFrom="paragraph">
                        <wp:posOffset>-1438391</wp:posOffset>
                      </wp:positionV>
                      <wp:extent cx="1104900" cy="1920240"/>
                      <wp:effectExtent l="0" t="0" r="0" b="3810"/>
                      <wp:wrapNone/>
                      <wp:docPr id="315688838" name="Rectangle: Rounded Corners 315688838"/>
                      <wp:cNvGraphicFramePr/>
                      <a:graphic xmlns:a="http://schemas.openxmlformats.org/drawingml/2006/main">
                        <a:graphicData uri="http://schemas.microsoft.com/office/word/2010/wordprocessingShape">
                          <wps:wsp>
                            <wps:cNvSpPr/>
                            <wps:spPr>
                              <a:xfrm>
                                <a:off x="0" y="0"/>
                                <a:ext cx="1104900" cy="1920240"/>
                              </a:xfrm>
                              <a:prstGeom prst="roundRect">
                                <a:avLst/>
                              </a:prstGeom>
                              <a:solidFill>
                                <a:srgbClr val="9BBB59"/>
                              </a:solidFill>
                              <a:ln>
                                <a:noFill/>
                              </a:ln>
                              <a:effectLst/>
                            </wps:spPr>
                            <wps:txbx>
                              <w:txbxContent>
                                <w:p w14:paraId="0F00D741" w14:textId="77777777" w:rsidR="00993EB4" w:rsidRDefault="00993EB4" w:rsidP="00993EB4">
                                  <w:pPr>
                                    <w:jc w:val="center"/>
                                    <w:rPr>
                                      <w:sz w:val="20"/>
                                      <w:szCs w:val="20"/>
                                    </w:rPr>
                                  </w:pPr>
                                </w:p>
                                <w:p w14:paraId="2E4E83C6" w14:textId="77777777" w:rsidR="00993EB4" w:rsidRPr="004E072F" w:rsidRDefault="00993EB4" w:rsidP="00993EB4">
                                  <w:pPr>
                                    <w:jc w:val="center"/>
                                    <w:rPr>
                                      <w:sz w:val="20"/>
                                      <w:szCs w:val="20"/>
                                    </w:rPr>
                                  </w:pPr>
                                  <w:r w:rsidRPr="004E072F">
                                    <w:rPr>
                                      <w:sz w:val="20"/>
                                      <w:szCs w:val="20"/>
                                    </w:rPr>
                                    <w:t xml:space="preserve">Duty-holders </w:t>
                                  </w:r>
                                  <w:r>
                                    <w:rPr>
                                      <w:sz w:val="20"/>
                                      <w:szCs w:val="20"/>
                                    </w:rPr>
                                    <w:t xml:space="preserve">benefit from </w:t>
                                  </w:r>
                                  <w:r w:rsidRPr="004E072F">
                                    <w:rPr>
                                      <w:sz w:val="20"/>
                                      <w:szCs w:val="20"/>
                                    </w:rPr>
                                    <w:t xml:space="preserve">guidance and feedback from </w:t>
                                  </w:r>
                                  <w:r>
                                    <w:rPr>
                                      <w:sz w:val="20"/>
                                      <w:szCs w:val="20"/>
                                    </w:rPr>
                                    <w:t>HSE</w:t>
                                  </w:r>
                                  <w:r w:rsidRPr="004E072F">
                                    <w:rPr>
                                      <w:sz w:val="20"/>
                                      <w:szCs w:val="20"/>
                                    </w:rPr>
                                    <w:t xml:space="preserve"> to improve safety risk</w:t>
                                  </w:r>
                                  <w:r>
                                    <w:rPr>
                                      <w:sz w:val="20"/>
                                      <w:szCs w:val="20"/>
                                    </w:rPr>
                                    <w:t xml:space="preserve"> </w:t>
                                  </w:r>
                                  <w:r w:rsidRPr="004E072F">
                                    <w:rPr>
                                      <w:sz w:val="20"/>
                                      <w:szCs w:val="20"/>
                                    </w:rPr>
                                    <w:t xml:space="preserve">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0643D" id="Rectangle: Rounded Corners 315688838" o:spid="_x0000_s1037" style="position:absolute;margin-left:42.05pt;margin-top:-113.25pt;width:87pt;height:15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" fillcolor="#9bbb59" stroked="f">
                      <v:textbox>
                        <w:txbxContent>
                          <w:p w14:paraId="0F00D741" w14:textId="77777777" w:rsidR="00993EB4" w:rsidRDefault="00993EB4" w:rsidP="00993EB4">
                            <w:pPr>
                              <w:jc w:val="center"/>
                              <w:rPr>
                                <w:sz w:val="20"/>
                                <w:szCs w:val="20"/>
                              </w:rPr>
                            </w:pPr>
                          </w:p>
                          <w:p w14:paraId="2E4E83C6" w14:textId="77777777" w:rsidR="00993EB4" w:rsidRPr="004E072F" w:rsidRDefault="00993EB4" w:rsidP="00993EB4">
                            <w:pPr>
                              <w:jc w:val="center"/>
                              <w:rPr>
                                <w:sz w:val="20"/>
                                <w:szCs w:val="20"/>
                              </w:rPr>
                            </w:pPr>
                            <w:r w:rsidRPr="004E072F">
                              <w:rPr>
                                <w:sz w:val="20"/>
                                <w:szCs w:val="20"/>
                              </w:rPr>
                              <w:t xml:space="preserve">Duty-holders </w:t>
                            </w:r>
                            <w:r>
                              <w:rPr>
                                <w:sz w:val="20"/>
                                <w:szCs w:val="20"/>
                              </w:rPr>
                              <w:t xml:space="preserve">benefit from </w:t>
                            </w:r>
                            <w:r w:rsidRPr="004E072F">
                              <w:rPr>
                                <w:sz w:val="20"/>
                                <w:szCs w:val="20"/>
                              </w:rPr>
                              <w:t xml:space="preserve">guidance and feedback from </w:t>
                            </w:r>
                            <w:r>
                              <w:rPr>
                                <w:sz w:val="20"/>
                                <w:szCs w:val="20"/>
                              </w:rPr>
                              <w:t>HSE</w:t>
                            </w:r>
                            <w:r w:rsidRPr="004E072F">
                              <w:rPr>
                                <w:sz w:val="20"/>
                                <w:szCs w:val="20"/>
                              </w:rPr>
                              <w:t xml:space="preserve"> to improve safety risk</w:t>
                            </w:r>
                            <w:r>
                              <w:rPr>
                                <w:sz w:val="20"/>
                                <w:szCs w:val="20"/>
                              </w:rPr>
                              <w:t xml:space="preserve"> </w:t>
                            </w:r>
                            <w:r w:rsidRPr="004E072F">
                              <w:rPr>
                                <w:sz w:val="20"/>
                                <w:szCs w:val="20"/>
                              </w:rPr>
                              <w:t xml:space="preserve">management. </w:t>
                            </w:r>
                          </w:p>
                        </w:txbxContent>
                      </v:textbox>
                    </v:roundrect>
                  </w:pict>
                </mc:Fallback>
              </mc:AlternateContent>
            </w:r>
          </w:p>
        </w:tc>
        <w:tc>
          <w:tcPr>
            <w:tcW w:w="4320" w:type="dxa"/>
          </w:tcPr>
          <w:p w14:paraId="4C71E468" w14:textId="7C43B423" w:rsidR="00993EB4" w:rsidRPr="00116B4F" w:rsidRDefault="00DA6EA5" w:rsidP="00E7598A">
            <w:pPr>
              <w:tabs>
                <w:tab w:val="decimal" w:pos="360"/>
              </w:tabs>
              <w:spacing w:after="200" w:line="276" w:lineRule="auto"/>
            </w:pPr>
            <w:r>
              <w:rPr>
                <w:noProof/>
              </w:rPr>
              <mc:AlternateContent>
                <mc:Choice Requires="wps">
                  <w:drawing>
                    <wp:anchor distT="0" distB="0" distL="114300" distR="114300" simplePos="0" relativeHeight="251658263" behindDoc="1" locked="0" layoutInCell="1" allowOverlap="1" wp14:anchorId="017990D9" wp14:editId="18C4C812">
                      <wp:simplePos x="0" y="0"/>
                      <wp:positionH relativeFrom="column">
                        <wp:posOffset>250825</wp:posOffset>
                      </wp:positionH>
                      <wp:positionV relativeFrom="paragraph">
                        <wp:posOffset>257175</wp:posOffset>
                      </wp:positionV>
                      <wp:extent cx="2004060" cy="1374775"/>
                      <wp:effectExtent l="57150" t="38100" r="72390" b="92075"/>
                      <wp:wrapTight wrapText="bothSides">
                        <wp:wrapPolygon edited="0">
                          <wp:start x="8213" y="-599"/>
                          <wp:lineTo x="1232" y="0"/>
                          <wp:lineTo x="1232" y="4789"/>
                          <wp:lineTo x="-616" y="4789"/>
                          <wp:lineTo x="-616" y="14367"/>
                          <wp:lineTo x="-205" y="15564"/>
                          <wp:lineTo x="2464" y="19156"/>
                          <wp:lineTo x="2464" y="19754"/>
                          <wp:lineTo x="8829" y="22448"/>
                          <wp:lineTo x="9856" y="22747"/>
                          <wp:lineTo x="11703" y="22747"/>
                          <wp:lineTo x="11909" y="22448"/>
                          <wp:lineTo x="19095" y="19156"/>
                          <wp:lineTo x="19300" y="19156"/>
                          <wp:lineTo x="21764" y="14666"/>
                          <wp:lineTo x="22175" y="9578"/>
                          <wp:lineTo x="20532" y="5088"/>
                          <wp:lineTo x="20327" y="3592"/>
                          <wp:lineTo x="14989" y="0"/>
                          <wp:lineTo x="13346" y="-599"/>
                          <wp:lineTo x="8213" y="-599"/>
                        </wp:wrapPolygon>
                      </wp:wrapTight>
                      <wp:docPr id="2093826123" name="Oval 1582722532"/>
                      <wp:cNvGraphicFramePr/>
                      <a:graphic xmlns:a="http://schemas.openxmlformats.org/drawingml/2006/main">
                        <a:graphicData uri="http://schemas.microsoft.com/office/word/2010/wordprocessingShape">
                          <wps:wsp>
                            <wps:cNvSpPr/>
                            <wps:spPr>
                              <a:xfrm>
                                <a:off x="0" y="0"/>
                                <a:ext cx="2004060" cy="137477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5CD7FD7" w14:textId="77777777" w:rsidR="00993EB4" w:rsidRPr="00045D74" w:rsidRDefault="00993EB4" w:rsidP="00993EB4">
                                  <w:pPr>
                                    <w:jc w:val="center"/>
                                    <w:rPr>
                                      <w:sz w:val="20"/>
                                      <w:szCs w:val="20"/>
                                    </w:rPr>
                                  </w:pPr>
                                  <w:r w:rsidRPr="00045D74">
                                    <w:rPr>
                                      <w:b/>
                                      <w:bCs/>
                                      <w:sz w:val="20"/>
                                      <w:szCs w:val="20"/>
                                    </w:rPr>
                                    <w:t>Hypothesis:</w:t>
                                  </w:r>
                                </w:p>
                                <w:p w14:paraId="37AE2177" w14:textId="77777777" w:rsidR="00993EB4" w:rsidRPr="00045D74" w:rsidRDefault="00993EB4" w:rsidP="00993EB4">
                                  <w:pPr>
                                    <w:jc w:val="center"/>
                                    <w:rPr>
                                      <w:sz w:val="20"/>
                                      <w:szCs w:val="20"/>
                                    </w:rPr>
                                  </w:pPr>
                                  <w:r w:rsidRPr="00361A25">
                                    <w:rPr>
                                      <w:sz w:val="20"/>
                                      <w:szCs w:val="20"/>
                                    </w:rPr>
                                    <w:t>Better safety management attracts and retains a skilled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990D9" id="Oval 1582722532" o:spid="_x0000_s1038" style="position:absolute;margin-left:19.75pt;margin-top:20.25pt;width:157.8pt;height:108.2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" fillcolor="#ffbe86" strokecolor="#f69240">
                      <v:fill color2="#ffebdb" rotate="t" angle="180" colors="0 #ffbe86;22938f #ffd0aa;1 #ffebdb" focus="100%" type="gradient"/>
                      <v:shadow on="t" color="black" opacity="24903f" origin=",.5" offset="0,.55556mm"/>
                      <v:textbox>
                        <w:txbxContent>
                          <w:p w14:paraId="05CD7FD7" w14:textId="77777777" w:rsidR="00993EB4" w:rsidRPr="00045D74" w:rsidRDefault="00993EB4" w:rsidP="00993EB4">
                            <w:pPr>
                              <w:jc w:val="center"/>
                              <w:rPr>
                                <w:sz w:val="20"/>
                                <w:szCs w:val="20"/>
                              </w:rPr>
                            </w:pPr>
                            <w:r w:rsidRPr="00045D74">
                              <w:rPr>
                                <w:b/>
                                <w:bCs/>
                                <w:sz w:val="20"/>
                                <w:szCs w:val="20"/>
                              </w:rPr>
                              <w:t>Hypothesis:</w:t>
                            </w:r>
                          </w:p>
                          <w:p w14:paraId="37AE2177" w14:textId="77777777" w:rsidR="00993EB4" w:rsidRPr="00045D74" w:rsidRDefault="00993EB4" w:rsidP="00993EB4">
                            <w:pPr>
                              <w:jc w:val="center"/>
                              <w:rPr>
                                <w:sz w:val="20"/>
                                <w:szCs w:val="20"/>
                              </w:rPr>
                            </w:pPr>
                            <w:r w:rsidRPr="00361A25">
                              <w:rPr>
                                <w:sz w:val="20"/>
                                <w:szCs w:val="20"/>
                              </w:rPr>
                              <w:t>Better safety management attracts and retains a skilled workforce.</w:t>
                            </w:r>
                          </w:p>
                        </w:txbxContent>
                      </v:textbox>
                      <w10:wrap type="tight"/>
                    </v:oval>
                  </w:pict>
                </mc:Fallback>
              </mc:AlternateContent>
            </w:r>
          </w:p>
        </w:tc>
      </w:tr>
      <w:tr w:rsidR="00993EB4" w:rsidRPr="00116B4F" w14:paraId="57AE3509" w14:textId="77777777" w:rsidTr="2A9CDC43">
        <w:trPr>
          <w:cnfStyle w:val="010000000000" w:firstRow="0" w:lastRow="1" w:firstColumn="0" w:lastColumn="0" w:oddVBand="0" w:evenVBand="0" w:oddHBand="0" w:evenHBand="0" w:firstRowFirstColumn="0" w:firstRowLastColumn="0" w:lastRowFirstColumn="0" w:lastRowLastColumn="0"/>
        </w:trPr>
        <w:tc>
          <w:tcPr>
            <w:tcW w:w="3870" w:type="dxa"/>
            <w:noWrap/>
          </w:tcPr>
          <w:p w14:paraId="624D1C92" w14:textId="77777777" w:rsidR="00993EB4" w:rsidRPr="00116B4F" w:rsidRDefault="00993EB4" w:rsidP="00E7598A"/>
        </w:tc>
        <w:tc>
          <w:tcPr>
            <w:tcW w:w="4110" w:type="dxa"/>
          </w:tcPr>
          <w:p w14:paraId="434DF843" w14:textId="17AAC115" w:rsidR="00993EB4" w:rsidRPr="00116B4F" w:rsidRDefault="008D689B" w:rsidP="00E7598A">
            <w:pPr>
              <w:tabs>
                <w:tab w:val="decimal" w:pos="360"/>
              </w:tabs>
              <w:spacing w:after="200" w:line="276" w:lineRule="auto"/>
              <w:rPr>
                <w:rFonts w:asciiTheme="minorHAnsi" w:hAnsiTheme="minorHAnsi" w:cs="Times New Roman"/>
                <w:sz w:val="22"/>
              </w:rPr>
            </w:pPr>
            <w:r w:rsidRPr="00116B4F">
              <w:rPr>
                <w:noProof/>
              </w:rPr>
              <mc:AlternateContent>
                <mc:Choice Requires="wps">
                  <w:drawing>
                    <wp:anchor distT="0" distB="0" distL="114300" distR="114300" simplePos="0" relativeHeight="251658253" behindDoc="0" locked="0" layoutInCell="1" allowOverlap="1" wp14:anchorId="78D9F6D5" wp14:editId="177D8894">
                      <wp:simplePos x="0" y="0"/>
                      <wp:positionH relativeFrom="column">
                        <wp:posOffset>-129540</wp:posOffset>
                      </wp:positionH>
                      <wp:positionV relativeFrom="paragraph">
                        <wp:posOffset>-4849495</wp:posOffset>
                      </wp:positionV>
                      <wp:extent cx="2339340" cy="5063490"/>
                      <wp:effectExtent l="57150" t="19050" r="80010" b="99060"/>
                      <wp:wrapNone/>
                      <wp:docPr id="1914866826" name="Rectangle: Rounded Corners 1914866826"/>
                      <wp:cNvGraphicFramePr/>
                      <a:graphic xmlns:a="http://schemas.openxmlformats.org/drawingml/2006/main">
                        <a:graphicData uri="http://schemas.microsoft.com/office/word/2010/wordprocessingShape">
                          <wps:wsp>
                            <wps:cNvSpPr/>
                            <wps:spPr>
                              <a:xfrm>
                                <a:off x="0" y="0"/>
                                <a:ext cx="2339340" cy="506349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0F7C3C50" w14:textId="77777777" w:rsidR="00993EB4" w:rsidRPr="009A1196" w:rsidRDefault="00993EB4" w:rsidP="00993EB4">
                                  <w:pPr>
                                    <w:jc w:val="center"/>
                                    <w:rPr>
                                      <w:sz w:val="20"/>
                                      <w:szCs w:val="20"/>
                                    </w:rPr>
                                  </w:pPr>
                                  <w:r w:rsidRPr="009A1196">
                                    <w:rPr>
                                      <w:sz w:val="20"/>
                                      <w:szCs w:val="20"/>
                                    </w:rPr>
                                    <w:t>Include CCUS facilities and hydrogen production into the scope of onshore and offshore major hazard regulations.</w:t>
                                  </w:r>
                                </w:p>
                                <w:p w14:paraId="2C227FB0" w14:textId="1857AF7D" w:rsidR="00993EB4" w:rsidRPr="009A1196" w:rsidRDefault="00993EB4" w:rsidP="00993EB4">
                                  <w:pPr>
                                    <w:jc w:val="center"/>
                                    <w:rPr>
                                      <w:sz w:val="20"/>
                                      <w:szCs w:val="20"/>
                                    </w:rPr>
                                  </w:pPr>
                                  <w:r w:rsidRPr="009A1196">
                                    <w:rPr>
                                      <w:sz w:val="20"/>
                                      <w:szCs w:val="20"/>
                                    </w:rPr>
                                    <w:t xml:space="preserve">Enable HSE`s </w:t>
                                  </w:r>
                                  <w:r>
                                    <w:rPr>
                                      <w:sz w:val="20"/>
                                      <w:szCs w:val="20"/>
                                    </w:rPr>
                                    <w:t>interventions</w:t>
                                  </w:r>
                                  <w:r w:rsidRPr="009A1196">
                                    <w:rPr>
                                      <w:sz w:val="20"/>
                                      <w:szCs w:val="20"/>
                                    </w:rPr>
                                    <w:t xml:space="preserve"> </w:t>
                                  </w:r>
                                  <w:r w:rsidR="00E52A71">
                                    <w:rPr>
                                      <w:sz w:val="20"/>
                                      <w:szCs w:val="20"/>
                                    </w:rPr>
                                    <w:t>for</w:t>
                                  </w:r>
                                  <w:r w:rsidR="00E52A71" w:rsidRPr="009A1196">
                                    <w:rPr>
                                      <w:sz w:val="20"/>
                                      <w:szCs w:val="20"/>
                                    </w:rPr>
                                    <w:t xml:space="preserve"> </w:t>
                                  </w:r>
                                  <w:r w:rsidRPr="009A1196">
                                    <w:rPr>
                                      <w:sz w:val="20"/>
                                      <w:szCs w:val="20"/>
                                    </w:rPr>
                                    <w:t xml:space="preserve">safety risk management. </w:t>
                                  </w:r>
                                </w:p>
                                <w:p w14:paraId="42894660" w14:textId="77777777" w:rsidR="00993EB4" w:rsidRPr="009A1196" w:rsidRDefault="00993EB4" w:rsidP="00993EB4">
                                  <w:pPr>
                                    <w:jc w:val="center"/>
                                    <w:rPr>
                                      <w:sz w:val="20"/>
                                      <w:szCs w:val="20"/>
                                    </w:rPr>
                                  </w:pPr>
                                  <w:r w:rsidRPr="009A1196">
                                    <w:rPr>
                                      <w:sz w:val="20"/>
                                      <w:szCs w:val="20"/>
                                    </w:rPr>
                                    <w:t>Include all types of offshore installations within the scope of offshore regulations.</w:t>
                                  </w:r>
                                </w:p>
                                <w:p w14:paraId="275D96A3" w14:textId="77777777" w:rsidR="00993EB4" w:rsidRPr="009A1196" w:rsidRDefault="00993EB4" w:rsidP="00993EB4">
                                  <w:pPr>
                                    <w:jc w:val="center"/>
                                    <w:rPr>
                                      <w:sz w:val="20"/>
                                      <w:szCs w:val="20"/>
                                    </w:rPr>
                                  </w:pPr>
                                  <w:r w:rsidRPr="009A1196">
                                    <w:rPr>
                                      <w:sz w:val="20"/>
                                      <w:szCs w:val="20"/>
                                    </w:rPr>
                                    <w:t>Bring projects that will use direct injection into the scope of offshore installations.</w:t>
                                  </w:r>
                                </w:p>
                                <w:p w14:paraId="4C68A2D0" w14:textId="77777777" w:rsidR="00993EB4" w:rsidRPr="009A1196" w:rsidRDefault="00993EB4" w:rsidP="00993EB4">
                                  <w:pPr>
                                    <w:jc w:val="center"/>
                                    <w:rPr>
                                      <w:sz w:val="20"/>
                                      <w:szCs w:val="20"/>
                                    </w:rPr>
                                  </w:pPr>
                                  <w:r w:rsidRPr="009A1196">
                                    <w:rPr>
                                      <w:sz w:val="20"/>
                                      <w:szCs w:val="20"/>
                                    </w:rPr>
                                    <w:t>Apply land-use planning to inform separation distances between pipelines and communities.</w:t>
                                  </w:r>
                                </w:p>
                                <w:p w14:paraId="1D5192D6" w14:textId="4FA72FC2" w:rsidR="00993EB4" w:rsidRPr="009A1196" w:rsidRDefault="00DE6BE2" w:rsidP="00993EB4">
                                  <w:pPr>
                                    <w:jc w:val="center"/>
                                    <w:rPr>
                                      <w:sz w:val="20"/>
                                      <w:szCs w:val="20"/>
                                    </w:rPr>
                                  </w:pPr>
                                  <w:r>
                                    <w:rPr>
                                      <w:sz w:val="20"/>
                                      <w:szCs w:val="20"/>
                                    </w:rPr>
                                    <w:t>Potentially u</w:t>
                                  </w:r>
                                  <w:r w:rsidRPr="009A1196">
                                    <w:rPr>
                                      <w:sz w:val="20"/>
                                      <w:szCs w:val="20"/>
                                    </w:rPr>
                                    <w:t>pdate</w:t>
                                  </w:r>
                                  <w:r w:rsidR="00993EB4" w:rsidRPr="009A1196">
                                    <w:rPr>
                                      <w:sz w:val="20"/>
                                      <w:szCs w:val="20"/>
                                    </w:rPr>
                                    <w:t xml:space="preserve"> the definitions of </w:t>
                                  </w:r>
                                  <w:r w:rsidR="00E1301E">
                                    <w:rPr>
                                      <w:sz w:val="20"/>
                                      <w:szCs w:val="20"/>
                                    </w:rPr>
                                    <w:t>d</w:t>
                                  </w:r>
                                  <w:r w:rsidR="00993EB4" w:rsidRPr="009A1196">
                                    <w:rPr>
                                      <w:sz w:val="20"/>
                                      <w:szCs w:val="20"/>
                                    </w:rPr>
                                    <w:t xml:space="preserve">angerous </w:t>
                                  </w:r>
                                  <w:r w:rsidR="00E564D2">
                                    <w:rPr>
                                      <w:sz w:val="20"/>
                                      <w:szCs w:val="20"/>
                                    </w:rPr>
                                    <w:t>f</w:t>
                                  </w:r>
                                  <w:r w:rsidR="007A6792">
                                    <w:rPr>
                                      <w:sz w:val="20"/>
                                      <w:szCs w:val="20"/>
                                    </w:rPr>
                                    <w:t>luids</w:t>
                                  </w:r>
                                  <w:r w:rsidR="00993EB4" w:rsidRPr="009A1196">
                                    <w:rPr>
                                      <w:sz w:val="20"/>
                                      <w:szCs w:val="20"/>
                                    </w:rPr>
                                    <w:t xml:space="preserve"> </w:t>
                                  </w:r>
                                  <w:r w:rsidR="00E65219">
                                    <w:rPr>
                                      <w:sz w:val="20"/>
                                      <w:szCs w:val="20"/>
                                    </w:rPr>
                                    <w:t>in</w:t>
                                  </w:r>
                                  <w:r w:rsidR="00993EB4" w:rsidRPr="009A1196">
                                    <w:rPr>
                                      <w:sz w:val="20"/>
                                      <w:szCs w:val="20"/>
                                    </w:rPr>
                                    <w:t xml:space="preserve"> PSR</w:t>
                                  </w:r>
                                  <w:r w:rsidR="00C04015">
                                    <w:rPr>
                                      <w:sz w:val="20"/>
                                      <w:szCs w:val="20"/>
                                    </w:rPr>
                                    <w:t>96</w:t>
                                  </w:r>
                                  <w:r w:rsidR="00993EB4" w:rsidRPr="009A1196">
                                    <w:rPr>
                                      <w:sz w:val="20"/>
                                      <w:szCs w:val="20"/>
                                    </w:rPr>
                                    <w:t xml:space="preserve"> and inform </w:t>
                                  </w:r>
                                  <w:r w:rsidR="00993EB4" w:rsidRPr="00674DD5">
                                    <w:rPr>
                                      <w:rFonts w:cs="Arial"/>
                                      <w:sz w:val="20"/>
                                      <w:szCs w:val="20"/>
                                    </w:rPr>
                                    <w:t>CO</w:t>
                                  </w:r>
                                  <w:r w:rsidR="00993EB4" w:rsidRPr="00674DD5">
                                    <w:rPr>
                                      <w:rFonts w:ascii="Cambria Math" w:hAnsi="Cambria Math" w:cs="Cambria Math"/>
                                      <w:sz w:val="20"/>
                                      <w:szCs w:val="20"/>
                                    </w:rPr>
                                    <w:t>₂</w:t>
                                  </w:r>
                                  <w:r w:rsidR="00993EB4">
                                    <w:rPr>
                                      <w:rFonts w:cs="Arial"/>
                                      <w:sz w:val="20"/>
                                      <w:szCs w:val="20"/>
                                    </w:rPr>
                                    <w:t xml:space="preserve"> </w:t>
                                  </w:r>
                                  <w:r w:rsidR="00993EB4" w:rsidRPr="009A1196">
                                    <w:rPr>
                                      <w:sz w:val="20"/>
                                      <w:szCs w:val="20"/>
                                    </w:rPr>
                                    <w:t>product specifications</w:t>
                                  </w:r>
                                  <w:r w:rsidR="0039732A">
                                    <w:rPr>
                                      <w:sz w:val="20"/>
                                      <w:szCs w:val="20"/>
                                    </w:rPr>
                                    <w:t xml:space="preserve"> using </w:t>
                                  </w:r>
                                  <w:r w:rsidR="00BB345C">
                                    <w:rPr>
                                      <w:sz w:val="20"/>
                                      <w:szCs w:val="20"/>
                                    </w:rPr>
                                    <w:t>scien</w:t>
                                  </w:r>
                                  <w:r w:rsidR="00016624">
                                    <w:rPr>
                                      <w:sz w:val="20"/>
                                      <w:szCs w:val="20"/>
                                    </w:rPr>
                                    <w:t>tific evidence</w:t>
                                  </w:r>
                                  <w:r w:rsidR="00BB345C">
                                    <w:rPr>
                                      <w:sz w:val="20"/>
                                      <w:szCs w:val="20"/>
                                    </w:rPr>
                                    <w:t xml:space="preserve"> and resear</w:t>
                                  </w:r>
                                  <w:r w:rsidR="00016624">
                                    <w:rPr>
                                      <w:sz w:val="20"/>
                                      <w:szCs w:val="20"/>
                                    </w:rPr>
                                    <w:t>ch</w:t>
                                  </w:r>
                                  <w:r w:rsidR="00993EB4" w:rsidRPr="009A1196">
                                    <w:rPr>
                                      <w:sz w:val="20"/>
                                      <w:szCs w:val="20"/>
                                    </w:rPr>
                                    <w:t>.</w:t>
                                  </w:r>
                                </w:p>
                                <w:p w14:paraId="5D7AD835" w14:textId="747DDAF0" w:rsidR="00993EB4" w:rsidRPr="007D0223" w:rsidRDefault="00F8113A" w:rsidP="00993EB4">
                                  <w:pPr>
                                    <w:jc w:val="center"/>
                                    <w:rPr>
                                      <w:sz w:val="20"/>
                                      <w:szCs w:val="20"/>
                                    </w:rPr>
                                  </w:pPr>
                                  <w:r>
                                    <w:rPr>
                                      <w:sz w:val="20"/>
                                      <w:szCs w:val="20"/>
                                    </w:rPr>
                                    <w:t>Amend</w:t>
                                  </w:r>
                                  <w:r w:rsidRPr="009A1196">
                                    <w:rPr>
                                      <w:sz w:val="20"/>
                                      <w:szCs w:val="20"/>
                                    </w:rPr>
                                    <w:t xml:space="preserve"> </w:t>
                                  </w:r>
                                  <w:r w:rsidR="00993EB4" w:rsidRPr="009A1196">
                                    <w:rPr>
                                      <w:sz w:val="20"/>
                                      <w:szCs w:val="20"/>
                                    </w:rPr>
                                    <w:t>PSR to include all phases of</w:t>
                                  </w:r>
                                  <w:r w:rsidR="00993EB4" w:rsidRPr="00041DC1">
                                    <w:rPr>
                                      <w:rFonts w:cs="Arial"/>
                                      <w:sz w:val="20"/>
                                      <w:szCs w:val="20"/>
                                    </w:rPr>
                                    <w:t xml:space="preserve"> </w:t>
                                  </w:r>
                                  <w:r w:rsidR="00993EB4" w:rsidRPr="00674DD5">
                                    <w:rPr>
                                      <w:rFonts w:cs="Arial"/>
                                      <w:sz w:val="20"/>
                                      <w:szCs w:val="20"/>
                                    </w:rPr>
                                    <w:t>CO</w:t>
                                  </w:r>
                                  <w:r w:rsidR="00993EB4" w:rsidRPr="00674DD5">
                                    <w:rPr>
                                      <w:rFonts w:ascii="Cambria Math" w:hAnsi="Cambria Math" w:cs="Cambria Math"/>
                                      <w:sz w:val="20"/>
                                      <w:szCs w:val="20"/>
                                    </w:rPr>
                                    <w:t>₂</w:t>
                                  </w:r>
                                  <w:r w:rsidR="00993EB4" w:rsidRPr="009A1196">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9F6D5" id="Rectangle: Rounded Corners 1914866826" o:spid="_x0000_s1039" style="position:absolute;margin-left:-10.2pt;margin-top:-381.85pt;width:184.2pt;height:398.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" fillcolor="#3f80cd" strokecolor="#4a7ebb">
                      <v:fill color2="#9bc1ff" rotate="t" angle="180" focus="100%" type="gradient">
                        <o:fill v:ext="view" type="gradientUnscaled"/>
                      </v:fill>
                      <v:shadow on="t" color="black" opacity="22937f" origin=",.5" offset="0,.63889mm"/>
                      <v:textbox>
                        <w:txbxContent>
                          <w:p w14:paraId="0F7C3C50" w14:textId="77777777" w:rsidR="00993EB4" w:rsidRPr="009A1196" w:rsidRDefault="00993EB4" w:rsidP="00993EB4">
                            <w:pPr>
                              <w:jc w:val="center"/>
                              <w:rPr>
                                <w:sz w:val="20"/>
                                <w:szCs w:val="20"/>
                              </w:rPr>
                            </w:pPr>
                            <w:r w:rsidRPr="009A1196">
                              <w:rPr>
                                <w:sz w:val="20"/>
                                <w:szCs w:val="20"/>
                              </w:rPr>
                              <w:t>Include CCUS facilities and hydrogen production into the scope of onshore and offshore major hazard regulations.</w:t>
                            </w:r>
                          </w:p>
                          <w:p w14:paraId="2C227FB0" w14:textId="1857AF7D" w:rsidR="00993EB4" w:rsidRPr="009A1196" w:rsidRDefault="00993EB4" w:rsidP="00993EB4">
                            <w:pPr>
                              <w:jc w:val="center"/>
                              <w:rPr>
                                <w:sz w:val="20"/>
                                <w:szCs w:val="20"/>
                              </w:rPr>
                            </w:pPr>
                            <w:r w:rsidRPr="009A1196">
                              <w:rPr>
                                <w:sz w:val="20"/>
                                <w:szCs w:val="20"/>
                              </w:rPr>
                              <w:t xml:space="preserve">Enable HSE`s </w:t>
                            </w:r>
                            <w:r>
                              <w:rPr>
                                <w:sz w:val="20"/>
                                <w:szCs w:val="20"/>
                              </w:rPr>
                              <w:t>interventions</w:t>
                            </w:r>
                            <w:r w:rsidRPr="009A1196">
                              <w:rPr>
                                <w:sz w:val="20"/>
                                <w:szCs w:val="20"/>
                              </w:rPr>
                              <w:t xml:space="preserve"> </w:t>
                            </w:r>
                            <w:r w:rsidR="00E52A71">
                              <w:rPr>
                                <w:sz w:val="20"/>
                                <w:szCs w:val="20"/>
                              </w:rPr>
                              <w:t>for</w:t>
                            </w:r>
                            <w:r w:rsidR="00E52A71" w:rsidRPr="009A1196">
                              <w:rPr>
                                <w:sz w:val="20"/>
                                <w:szCs w:val="20"/>
                              </w:rPr>
                              <w:t xml:space="preserve"> </w:t>
                            </w:r>
                            <w:r w:rsidRPr="009A1196">
                              <w:rPr>
                                <w:sz w:val="20"/>
                                <w:szCs w:val="20"/>
                              </w:rPr>
                              <w:t xml:space="preserve">safety risk management. </w:t>
                            </w:r>
                          </w:p>
                          <w:p w14:paraId="42894660" w14:textId="77777777" w:rsidR="00993EB4" w:rsidRPr="009A1196" w:rsidRDefault="00993EB4" w:rsidP="00993EB4">
                            <w:pPr>
                              <w:jc w:val="center"/>
                              <w:rPr>
                                <w:sz w:val="20"/>
                                <w:szCs w:val="20"/>
                              </w:rPr>
                            </w:pPr>
                            <w:r w:rsidRPr="009A1196">
                              <w:rPr>
                                <w:sz w:val="20"/>
                                <w:szCs w:val="20"/>
                              </w:rPr>
                              <w:t>Include all types of offshore installations within the scope of offshore regulations.</w:t>
                            </w:r>
                          </w:p>
                          <w:p w14:paraId="275D96A3" w14:textId="77777777" w:rsidR="00993EB4" w:rsidRPr="009A1196" w:rsidRDefault="00993EB4" w:rsidP="00993EB4">
                            <w:pPr>
                              <w:jc w:val="center"/>
                              <w:rPr>
                                <w:sz w:val="20"/>
                                <w:szCs w:val="20"/>
                              </w:rPr>
                            </w:pPr>
                            <w:r w:rsidRPr="009A1196">
                              <w:rPr>
                                <w:sz w:val="20"/>
                                <w:szCs w:val="20"/>
                              </w:rPr>
                              <w:t>Bring projects that will use direct injection into the scope of offshore installations.</w:t>
                            </w:r>
                          </w:p>
                          <w:p w14:paraId="4C68A2D0" w14:textId="77777777" w:rsidR="00993EB4" w:rsidRPr="009A1196" w:rsidRDefault="00993EB4" w:rsidP="00993EB4">
                            <w:pPr>
                              <w:jc w:val="center"/>
                              <w:rPr>
                                <w:sz w:val="20"/>
                                <w:szCs w:val="20"/>
                              </w:rPr>
                            </w:pPr>
                            <w:r w:rsidRPr="009A1196">
                              <w:rPr>
                                <w:sz w:val="20"/>
                                <w:szCs w:val="20"/>
                              </w:rPr>
                              <w:t>Apply land-use planning to inform separation distances between pipelines and communities.</w:t>
                            </w:r>
                          </w:p>
                          <w:p w14:paraId="1D5192D6" w14:textId="4FA72FC2" w:rsidR="00993EB4" w:rsidRPr="009A1196" w:rsidRDefault="00DE6BE2" w:rsidP="00993EB4">
                            <w:pPr>
                              <w:jc w:val="center"/>
                              <w:rPr>
                                <w:sz w:val="20"/>
                                <w:szCs w:val="20"/>
                              </w:rPr>
                            </w:pPr>
                            <w:r>
                              <w:rPr>
                                <w:sz w:val="20"/>
                                <w:szCs w:val="20"/>
                              </w:rPr>
                              <w:t>Potentially u</w:t>
                            </w:r>
                            <w:r w:rsidRPr="009A1196">
                              <w:rPr>
                                <w:sz w:val="20"/>
                                <w:szCs w:val="20"/>
                              </w:rPr>
                              <w:t>pdate</w:t>
                            </w:r>
                            <w:r w:rsidR="00993EB4" w:rsidRPr="009A1196">
                              <w:rPr>
                                <w:sz w:val="20"/>
                                <w:szCs w:val="20"/>
                              </w:rPr>
                              <w:t xml:space="preserve"> the definitions of </w:t>
                            </w:r>
                            <w:r w:rsidR="00E1301E">
                              <w:rPr>
                                <w:sz w:val="20"/>
                                <w:szCs w:val="20"/>
                              </w:rPr>
                              <w:t>d</w:t>
                            </w:r>
                            <w:r w:rsidR="00993EB4" w:rsidRPr="009A1196">
                              <w:rPr>
                                <w:sz w:val="20"/>
                                <w:szCs w:val="20"/>
                              </w:rPr>
                              <w:t xml:space="preserve">angerous </w:t>
                            </w:r>
                            <w:r w:rsidR="00E564D2">
                              <w:rPr>
                                <w:sz w:val="20"/>
                                <w:szCs w:val="20"/>
                              </w:rPr>
                              <w:t>f</w:t>
                            </w:r>
                            <w:r w:rsidR="007A6792">
                              <w:rPr>
                                <w:sz w:val="20"/>
                                <w:szCs w:val="20"/>
                              </w:rPr>
                              <w:t>luids</w:t>
                            </w:r>
                            <w:r w:rsidR="00993EB4" w:rsidRPr="009A1196">
                              <w:rPr>
                                <w:sz w:val="20"/>
                                <w:szCs w:val="20"/>
                              </w:rPr>
                              <w:t xml:space="preserve"> </w:t>
                            </w:r>
                            <w:r w:rsidR="00E65219">
                              <w:rPr>
                                <w:sz w:val="20"/>
                                <w:szCs w:val="20"/>
                              </w:rPr>
                              <w:t>in</w:t>
                            </w:r>
                            <w:r w:rsidR="00993EB4" w:rsidRPr="009A1196">
                              <w:rPr>
                                <w:sz w:val="20"/>
                                <w:szCs w:val="20"/>
                              </w:rPr>
                              <w:t xml:space="preserve"> PSR</w:t>
                            </w:r>
                            <w:r w:rsidR="00C04015">
                              <w:rPr>
                                <w:sz w:val="20"/>
                                <w:szCs w:val="20"/>
                              </w:rPr>
                              <w:t>96</w:t>
                            </w:r>
                            <w:r w:rsidR="00993EB4" w:rsidRPr="009A1196">
                              <w:rPr>
                                <w:sz w:val="20"/>
                                <w:szCs w:val="20"/>
                              </w:rPr>
                              <w:t xml:space="preserve"> and inform </w:t>
                            </w:r>
                            <w:r w:rsidR="00993EB4" w:rsidRPr="00674DD5">
                              <w:rPr>
                                <w:rFonts w:cs="Arial"/>
                                <w:sz w:val="20"/>
                                <w:szCs w:val="20"/>
                              </w:rPr>
                              <w:t>CO</w:t>
                            </w:r>
                            <w:r w:rsidR="00993EB4" w:rsidRPr="00674DD5">
                              <w:rPr>
                                <w:rFonts w:ascii="Cambria Math" w:hAnsi="Cambria Math" w:cs="Cambria Math"/>
                                <w:sz w:val="20"/>
                                <w:szCs w:val="20"/>
                              </w:rPr>
                              <w:t>₂</w:t>
                            </w:r>
                            <w:r w:rsidR="00993EB4">
                              <w:rPr>
                                <w:rFonts w:cs="Arial"/>
                                <w:sz w:val="20"/>
                                <w:szCs w:val="20"/>
                              </w:rPr>
                              <w:t xml:space="preserve"> </w:t>
                            </w:r>
                            <w:r w:rsidR="00993EB4" w:rsidRPr="009A1196">
                              <w:rPr>
                                <w:sz w:val="20"/>
                                <w:szCs w:val="20"/>
                              </w:rPr>
                              <w:t>product specifications</w:t>
                            </w:r>
                            <w:r w:rsidR="0039732A">
                              <w:rPr>
                                <w:sz w:val="20"/>
                                <w:szCs w:val="20"/>
                              </w:rPr>
                              <w:t xml:space="preserve"> using </w:t>
                            </w:r>
                            <w:r w:rsidR="00BB345C">
                              <w:rPr>
                                <w:sz w:val="20"/>
                                <w:szCs w:val="20"/>
                              </w:rPr>
                              <w:t>scien</w:t>
                            </w:r>
                            <w:r w:rsidR="00016624">
                              <w:rPr>
                                <w:sz w:val="20"/>
                                <w:szCs w:val="20"/>
                              </w:rPr>
                              <w:t>tific evidence</w:t>
                            </w:r>
                            <w:r w:rsidR="00BB345C">
                              <w:rPr>
                                <w:sz w:val="20"/>
                                <w:szCs w:val="20"/>
                              </w:rPr>
                              <w:t xml:space="preserve"> and resear</w:t>
                            </w:r>
                            <w:r w:rsidR="00016624">
                              <w:rPr>
                                <w:sz w:val="20"/>
                                <w:szCs w:val="20"/>
                              </w:rPr>
                              <w:t>ch</w:t>
                            </w:r>
                            <w:r w:rsidR="00993EB4" w:rsidRPr="009A1196">
                              <w:rPr>
                                <w:sz w:val="20"/>
                                <w:szCs w:val="20"/>
                              </w:rPr>
                              <w:t>.</w:t>
                            </w:r>
                          </w:p>
                          <w:p w14:paraId="5D7AD835" w14:textId="747DDAF0" w:rsidR="00993EB4" w:rsidRPr="007D0223" w:rsidRDefault="00F8113A" w:rsidP="00993EB4">
                            <w:pPr>
                              <w:jc w:val="center"/>
                              <w:rPr>
                                <w:sz w:val="20"/>
                                <w:szCs w:val="20"/>
                              </w:rPr>
                            </w:pPr>
                            <w:r>
                              <w:rPr>
                                <w:sz w:val="20"/>
                                <w:szCs w:val="20"/>
                              </w:rPr>
                              <w:t>Amend</w:t>
                            </w:r>
                            <w:r w:rsidRPr="009A1196">
                              <w:rPr>
                                <w:sz w:val="20"/>
                                <w:szCs w:val="20"/>
                              </w:rPr>
                              <w:t xml:space="preserve"> </w:t>
                            </w:r>
                            <w:r w:rsidR="00993EB4" w:rsidRPr="009A1196">
                              <w:rPr>
                                <w:sz w:val="20"/>
                                <w:szCs w:val="20"/>
                              </w:rPr>
                              <w:t>PSR to include all phases of</w:t>
                            </w:r>
                            <w:r w:rsidR="00993EB4" w:rsidRPr="00041DC1">
                              <w:rPr>
                                <w:rFonts w:cs="Arial"/>
                                <w:sz w:val="20"/>
                                <w:szCs w:val="20"/>
                              </w:rPr>
                              <w:t xml:space="preserve"> </w:t>
                            </w:r>
                            <w:r w:rsidR="00993EB4" w:rsidRPr="00674DD5">
                              <w:rPr>
                                <w:rFonts w:cs="Arial"/>
                                <w:sz w:val="20"/>
                                <w:szCs w:val="20"/>
                              </w:rPr>
                              <w:t>CO</w:t>
                            </w:r>
                            <w:r w:rsidR="00993EB4" w:rsidRPr="00674DD5">
                              <w:rPr>
                                <w:rFonts w:ascii="Cambria Math" w:hAnsi="Cambria Math" w:cs="Cambria Math"/>
                                <w:sz w:val="20"/>
                                <w:szCs w:val="20"/>
                              </w:rPr>
                              <w:t>₂</w:t>
                            </w:r>
                            <w:r w:rsidR="00993EB4" w:rsidRPr="009A1196">
                              <w:rPr>
                                <w:sz w:val="20"/>
                                <w:szCs w:val="20"/>
                              </w:rPr>
                              <w:t>.</w:t>
                            </w:r>
                          </w:p>
                        </w:txbxContent>
                      </v:textbox>
                    </v:roundrect>
                  </w:pict>
                </mc:Fallback>
              </mc:AlternateContent>
            </w:r>
          </w:p>
        </w:tc>
        <w:tc>
          <w:tcPr>
            <w:tcW w:w="3750" w:type="dxa"/>
          </w:tcPr>
          <w:p w14:paraId="2139F969" w14:textId="3279CB3D" w:rsidR="00993EB4" w:rsidRPr="00116B4F" w:rsidRDefault="002738A7" w:rsidP="00E7598A">
            <w:pPr>
              <w:tabs>
                <w:tab w:val="decimal" w:pos="360"/>
              </w:tabs>
              <w:spacing w:after="200" w:line="276" w:lineRule="auto"/>
            </w:pPr>
            <w:r w:rsidRPr="00116B4F">
              <w:rPr>
                <w:rFonts w:asciiTheme="minorHAnsi" w:hAnsiTheme="minorHAnsi" w:cs="Times New Roman"/>
                <w:noProof/>
                <w:sz w:val="22"/>
              </w:rPr>
              <mc:AlternateContent>
                <mc:Choice Requires="wps">
                  <w:drawing>
                    <wp:anchor distT="0" distB="0" distL="114300" distR="114300" simplePos="0" relativeHeight="251658262" behindDoc="0" locked="0" layoutInCell="1" allowOverlap="1" wp14:anchorId="7FC4B7DC" wp14:editId="462D1C44">
                      <wp:simplePos x="0" y="0"/>
                      <wp:positionH relativeFrom="column">
                        <wp:posOffset>281346</wp:posOffset>
                      </wp:positionH>
                      <wp:positionV relativeFrom="paragraph">
                        <wp:posOffset>-1378807</wp:posOffset>
                      </wp:positionV>
                      <wp:extent cx="2282289" cy="1375064"/>
                      <wp:effectExtent l="57150" t="38100" r="80010" b="92075"/>
                      <wp:wrapNone/>
                      <wp:docPr id="11" name="Oval 11"/>
                      <wp:cNvGraphicFramePr/>
                      <a:graphic xmlns:a="http://schemas.openxmlformats.org/drawingml/2006/main">
                        <a:graphicData uri="http://schemas.microsoft.com/office/word/2010/wordprocessingShape">
                          <wps:wsp>
                            <wps:cNvSpPr/>
                            <wps:spPr>
                              <a:xfrm>
                                <a:off x="0" y="0"/>
                                <a:ext cx="2282289" cy="1375064"/>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EF551FC" w14:textId="77777777" w:rsidR="00DA6EA5" w:rsidRPr="00045D74" w:rsidRDefault="00DA6EA5" w:rsidP="00DA6EA5">
                                  <w:pPr>
                                    <w:jc w:val="center"/>
                                    <w:rPr>
                                      <w:sz w:val="20"/>
                                      <w:szCs w:val="20"/>
                                    </w:rPr>
                                  </w:pPr>
                                  <w:r w:rsidRPr="00045D74">
                                    <w:rPr>
                                      <w:b/>
                                      <w:bCs/>
                                      <w:sz w:val="20"/>
                                      <w:szCs w:val="20"/>
                                    </w:rPr>
                                    <w:t>Hypothesis:</w:t>
                                  </w:r>
                                </w:p>
                                <w:p w14:paraId="4456FDDF" w14:textId="2F33364F" w:rsidR="00DA6EA5" w:rsidRPr="00045D74" w:rsidRDefault="00DA6EA5" w:rsidP="00DA6EA5">
                                  <w:pPr>
                                    <w:jc w:val="center"/>
                                    <w:rPr>
                                      <w:sz w:val="20"/>
                                      <w:szCs w:val="20"/>
                                    </w:rPr>
                                  </w:pPr>
                                  <w:r>
                                    <w:rPr>
                                      <w:sz w:val="20"/>
                                      <w:szCs w:val="20"/>
                                    </w:rPr>
                                    <w:t>Changed legislation</w:t>
                                  </w:r>
                                  <w:r w:rsidRPr="00045D74">
                                    <w:rPr>
                                      <w:sz w:val="20"/>
                                      <w:szCs w:val="20"/>
                                    </w:rPr>
                                    <w:t xml:space="preserve"> could positively impact the Net Zero </w:t>
                                  </w:r>
                                  <w:r w:rsidR="00092DBE">
                                    <w:rPr>
                                      <w:sz w:val="20"/>
                                      <w:szCs w:val="20"/>
                                    </w:rPr>
                                    <w:t>ambitions</w:t>
                                  </w:r>
                                  <w:r w:rsidRPr="00045D74">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4B7DC" id="Oval 11" o:spid="_x0000_s1040" style="position:absolute;margin-left:22.15pt;margin-top:-108.55pt;width:179.7pt;height:108.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" fillcolor="#ffbe86" strokecolor="#f69240">
                      <v:fill color2="#ffebdb" rotate="t" angle="180" colors="0 #ffbe86;22938f #ffd0aa;1 #ffebdb" focus="100%" type="gradient"/>
                      <v:shadow on="t" color="black" opacity="24903f" origin=",.5" offset="0,.55556mm"/>
                      <v:textbox>
                        <w:txbxContent>
                          <w:p w14:paraId="1EF551FC" w14:textId="77777777" w:rsidR="00DA6EA5" w:rsidRPr="00045D74" w:rsidRDefault="00DA6EA5" w:rsidP="00DA6EA5">
                            <w:pPr>
                              <w:jc w:val="center"/>
                              <w:rPr>
                                <w:sz w:val="20"/>
                                <w:szCs w:val="20"/>
                              </w:rPr>
                            </w:pPr>
                            <w:r w:rsidRPr="00045D74">
                              <w:rPr>
                                <w:b/>
                                <w:bCs/>
                                <w:sz w:val="20"/>
                                <w:szCs w:val="20"/>
                              </w:rPr>
                              <w:t>Hypothesis:</w:t>
                            </w:r>
                          </w:p>
                          <w:p w14:paraId="4456FDDF" w14:textId="2F33364F" w:rsidR="00DA6EA5" w:rsidRPr="00045D74" w:rsidRDefault="00DA6EA5" w:rsidP="00DA6EA5">
                            <w:pPr>
                              <w:jc w:val="center"/>
                              <w:rPr>
                                <w:sz w:val="20"/>
                                <w:szCs w:val="20"/>
                              </w:rPr>
                            </w:pPr>
                            <w:r>
                              <w:rPr>
                                <w:sz w:val="20"/>
                                <w:szCs w:val="20"/>
                              </w:rPr>
                              <w:t>Changed legislation</w:t>
                            </w:r>
                            <w:r w:rsidRPr="00045D74">
                              <w:rPr>
                                <w:sz w:val="20"/>
                                <w:szCs w:val="20"/>
                              </w:rPr>
                              <w:t xml:space="preserve"> could positively impact the Net Zero </w:t>
                            </w:r>
                            <w:r w:rsidR="00092DBE">
                              <w:rPr>
                                <w:sz w:val="20"/>
                                <w:szCs w:val="20"/>
                              </w:rPr>
                              <w:t>ambitions</w:t>
                            </w:r>
                            <w:r w:rsidRPr="00045D74">
                              <w:rPr>
                                <w:sz w:val="20"/>
                                <w:szCs w:val="20"/>
                              </w:rPr>
                              <w:t xml:space="preserve">. </w:t>
                            </w:r>
                          </w:p>
                        </w:txbxContent>
                      </v:textbox>
                    </v:oval>
                  </w:pict>
                </mc:Fallback>
              </mc:AlternateContent>
            </w:r>
          </w:p>
        </w:tc>
        <w:tc>
          <w:tcPr>
            <w:tcW w:w="4320" w:type="dxa"/>
          </w:tcPr>
          <w:p w14:paraId="4821E72B" w14:textId="36E42887" w:rsidR="00993EB4" w:rsidRPr="00116B4F" w:rsidRDefault="00993EB4" w:rsidP="00E7598A">
            <w:pPr>
              <w:tabs>
                <w:tab w:val="decimal" w:pos="360"/>
              </w:tabs>
              <w:spacing w:after="200" w:line="276" w:lineRule="auto"/>
              <w:rPr>
                <w:rFonts w:asciiTheme="minorHAnsi" w:hAnsiTheme="minorHAnsi" w:cs="Times New Roman"/>
                <w:sz w:val="22"/>
              </w:rPr>
            </w:pPr>
          </w:p>
        </w:tc>
      </w:tr>
    </w:tbl>
    <w:p w14:paraId="7EA62FEC" w14:textId="3A1857DC" w:rsidR="00357F8C" w:rsidRDefault="00357F8C">
      <w:pPr>
        <w:sectPr w:rsidR="00357F8C" w:rsidSect="00995575">
          <w:pgSz w:w="16838" w:h="11906" w:orient="landscape"/>
          <w:pgMar w:top="1077" w:right="1134" w:bottom="1077" w:left="1134" w:header="227" w:footer="454" w:gutter="0"/>
          <w:cols w:space="720"/>
          <w:docGrid w:linePitch="326"/>
        </w:sectPr>
      </w:pPr>
    </w:p>
    <w:p w14:paraId="5E03F84F" w14:textId="1B9036D7" w:rsidR="00D17F2A" w:rsidRPr="002A0C5D" w:rsidRDefault="00D17F2A" w:rsidP="002A0C5D">
      <w:pPr>
        <w:pStyle w:val="ListParagraph"/>
        <w:numPr>
          <w:ilvl w:val="0"/>
          <w:numId w:val="6"/>
        </w:numPr>
        <w:spacing w:before="160"/>
        <w:ind w:left="357" w:hanging="357"/>
        <w:rPr>
          <w:b/>
          <w:sz w:val="36"/>
          <w:szCs w:val="36"/>
        </w:rPr>
      </w:pPr>
      <w:r w:rsidRPr="002A0C5D">
        <w:rPr>
          <w:b/>
          <w:sz w:val="36"/>
          <w:szCs w:val="36"/>
        </w:rPr>
        <w:lastRenderedPageBreak/>
        <w:t xml:space="preserve">Summary of long-list and alternatives </w:t>
      </w:r>
    </w:p>
    <w:p w14:paraId="06F7B868" w14:textId="77777777" w:rsidR="00D17F2A" w:rsidRPr="00435502" w:rsidRDefault="00D17F2A" w:rsidP="00435502">
      <w:pPr>
        <w:pStyle w:val="ListParagraph"/>
        <w:keepNext/>
        <w:spacing w:after="0"/>
        <w:ind w:left="360"/>
        <w:rPr>
          <w:rFonts w:asciiTheme="minorBidi" w:hAnsiTheme="minorBidi" w:cstheme="minorBidi"/>
          <w:b/>
          <w:sz w:val="28"/>
          <w:szCs w:val="28"/>
        </w:rPr>
      </w:pPr>
    </w:p>
    <w:p w14:paraId="39D1C569" w14:textId="6F6B6B13" w:rsidR="00D17F2A" w:rsidRPr="00D0440A" w:rsidRDefault="00D17F2A" w:rsidP="00D0440A">
      <w:pPr>
        <w:pStyle w:val="ListParagraph"/>
        <w:keepNext/>
        <w:numPr>
          <w:ilvl w:val="1"/>
          <w:numId w:val="16"/>
        </w:numPr>
        <w:spacing w:after="0"/>
        <w:ind w:left="567" w:hanging="567"/>
        <w:rPr>
          <w:rFonts w:asciiTheme="minorBidi" w:hAnsiTheme="minorBidi" w:cstheme="minorBidi"/>
          <w:b/>
          <w:bCs/>
          <w:sz w:val="32"/>
          <w:szCs w:val="32"/>
        </w:rPr>
      </w:pPr>
      <w:r w:rsidRPr="00D0440A">
        <w:rPr>
          <w:b/>
          <w:sz w:val="32"/>
          <w:szCs w:val="32"/>
        </w:rPr>
        <w:t xml:space="preserve"> </w:t>
      </w:r>
      <w:r w:rsidRPr="00D0440A">
        <w:rPr>
          <w:rFonts w:asciiTheme="minorBidi" w:hAnsiTheme="minorBidi" w:cstheme="minorBidi"/>
          <w:b/>
          <w:bCs/>
          <w:sz w:val="32"/>
          <w:szCs w:val="32"/>
        </w:rPr>
        <w:t>Approach to generating a longlist</w:t>
      </w:r>
    </w:p>
    <w:p w14:paraId="302042B6" w14:textId="77777777" w:rsidR="00D17F2A" w:rsidRDefault="00D17F2A" w:rsidP="00D17F2A">
      <w:pPr>
        <w:pStyle w:val="ListParagraph"/>
        <w:keepNext/>
        <w:spacing w:after="0"/>
        <w:ind w:left="360"/>
        <w:rPr>
          <w:rFonts w:asciiTheme="minorBidi" w:hAnsiTheme="minorBidi" w:cstheme="minorBidi"/>
          <w:b/>
          <w:bCs/>
        </w:rPr>
      </w:pPr>
    </w:p>
    <w:p w14:paraId="39161D65" w14:textId="3D6248A6" w:rsidR="00D17F2A" w:rsidRPr="00D17F2A" w:rsidRDefault="00D17F2A" w:rsidP="00435502">
      <w:pPr>
        <w:pStyle w:val="ListParagraph"/>
        <w:keepNext/>
        <w:numPr>
          <w:ilvl w:val="2"/>
          <w:numId w:val="16"/>
        </w:numPr>
        <w:spacing w:after="0"/>
        <w:ind w:left="567" w:hanging="567"/>
        <w:jc w:val="both"/>
        <w:rPr>
          <w:rFonts w:asciiTheme="minorBidi" w:hAnsiTheme="minorBidi" w:cstheme="minorBidi"/>
          <w:b/>
          <w:bCs/>
        </w:rPr>
      </w:pPr>
      <w:r w:rsidRPr="00D17F2A">
        <w:rPr>
          <w:rFonts w:asciiTheme="minorBidi" w:hAnsiTheme="minorBidi" w:cstheme="minorBidi"/>
        </w:rPr>
        <w:t xml:space="preserve">To achieve a longlist of options HSE </w:t>
      </w:r>
      <w:r>
        <w:t xml:space="preserve">carried out informal engagement with a range of stakeholders, including the main operators in the proposed HyNet, East Coast and Acorn CCUS clusters at several workshops convened by HSE. HSE also consulted with internal expert teams including </w:t>
      </w:r>
      <w:r w:rsidRPr="00CB599F">
        <w:t>policy, operational policy</w:t>
      </w:r>
      <w:r>
        <w:t xml:space="preserve">, </w:t>
      </w:r>
      <w:r w:rsidRPr="00CB599F">
        <w:t xml:space="preserve">specialist teams </w:t>
      </w:r>
      <w:r>
        <w:t xml:space="preserve">and Science Division </w:t>
      </w:r>
      <w:r w:rsidRPr="00CB599F">
        <w:t xml:space="preserve">who have working knowledge and experience in </w:t>
      </w:r>
      <w:r>
        <w:t>regulation and risk management. HSE also has engaged with DESNZ</w:t>
      </w:r>
      <w:r w:rsidR="00E300A0">
        <w:t>,</w:t>
      </w:r>
      <w:r w:rsidR="00720CC2">
        <w:t xml:space="preserve"> NSTA</w:t>
      </w:r>
      <w:r w:rsidR="00031328">
        <w:t xml:space="preserve"> (</w:t>
      </w:r>
      <w:r w:rsidR="007D4D94">
        <w:t xml:space="preserve">The North Sea </w:t>
      </w:r>
      <w:r w:rsidR="00392409">
        <w:t>Transition Authority)</w:t>
      </w:r>
      <w:r w:rsidR="00E300A0">
        <w:t xml:space="preserve"> OPRED</w:t>
      </w:r>
      <w:r>
        <w:t xml:space="preserve"> </w:t>
      </w:r>
      <w:r w:rsidRPr="0064633B">
        <w:t xml:space="preserve">and the environmental regulators </w:t>
      </w:r>
      <w:r w:rsidR="001F3DC1" w:rsidRPr="0064633B">
        <w:t>(the Environment Agency in England, The Scottish Environment Protection Agency in Scotland, and Natural Resources Wales in Wales</w:t>
      </w:r>
      <w:r w:rsidR="00766369" w:rsidRPr="0064633B">
        <w:t>)</w:t>
      </w:r>
      <w:r w:rsidRPr="0064633B">
        <w:t>.</w:t>
      </w:r>
      <w:r>
        <w:t xml:space="preserve"> The informal engagement process focused on developing and exploring a range of potential regulatory options, with due consideration given to alternatives to regulation.</w:t>
      </w:r>
    </w:p>
    <w:p w14:paraId="117802F7" w14:textId="77777777" w:rsidR="00D17F2A" w:rsidRPr="00EF42C8" w:rsidRDefault="00D17F2A" w:rsidP="00D17F2A">
      <w:pPr>
        <w:pStyle w:val="ListParagraph"/>
        <w:keepNext/>
        <w:spacing w:after="0"/>
        <w:ind w:left="360"/>
        <w:rPr>
          <w:rFonts w:eastAsia="Arial" w:cs="Arial"/>
          <w:b/>
          <w:color w:val="000000" w:themeColor="text1"/>
          <w:szCs w:val="24"/>
        </w:rPr>
      </w:pPr>
    </w:p>
    <w:p w14:paraId="72045E3B" w14:textId="1A7D5E72" w:rsidR="00D17F2A" w:rsidRPr="00A3795A" w:rsidRDefault="00D17F2A" w:rsidP="00D0440A">
      <w:pPr>
        <w:pStyle w:val="ListParagraph"/>
        <w:keepNext/>
        <w:numPr>
          <w:ilvl w:val="1"/>
          <w:numId w:val="16"/>
        </w:numPr>
        <w:spacing w:after="0"/>
        <w:ind w:left="567" w:hanging="567"/>
        <w:rPr>
          <w:rFonts w:eastAsia="Arial" w:cs="Arial"/>
          <w:b/>
          <w:color w:val="000000" w:themeColor="text1"/>
          <w:sz w:val="28"/>
          <w:szCs w:val="28"/>
        </w:rPr>
      </w:pPr>
      <w:r w:rsidRPr="00EF42C8">
        <w:rPr>
          <w:rFonts w:asciiTheme="minorBidi" w:hAnsiTheme="minorBidi" w:cstheme="minorBidi"/>
          <w:b/>
          <w:bCs/>
          <w:szCs w:val="24"/>
        </w:rPr>
        <w:t xml:space="preserve"> </w:t>
      </w:r>
      <w:r w:rsidRPr="00D0440A">
        <w:rPr>
          <w:rFonts w:asciiTheme="minorBidi" w:hAnsiTheme="minorBidi" w:cstheme="minorBidi"/>
          <w:b/>
          <w:bCs/>
          <w:sz w:val="28"/>
          <w:szCs w:val="28"/>
        </w:rPr>
        <w:t>Rejected long-list options</w:t>
      </w:r>
    </w:p>
    <w:p w14:paraId="0B0724C6" w14:textId="77777777" w:rsidR="00D17F2A" w:rsidRDefault="00D17F2A" w:rsidP="00D17F2A">
      <w:pPr>
        <w:keepNext/>
        <w:spacing w:after="0"/>
        <w:rPr>
          <w:rFonts w:eastAsia="Arial" w:cs="Arial"/>
          <w:b/>
          <w:color w:val="000000" w:themeColor="text1"/>
          <w:sz w:val="20"/>
          <w:szCs w:val="20"/>
        </w:rPr>
      </w:pPr>
    </w:p>
    <w:p w14:paraId="02AB739D" w14:textId="067EEEC8" w:rsidR="00D17F2A" w:rsidRDefault="00D17F2A" w:rsidP="00435502">
      <w:pPr>
        <w:keepNext/>
        <w:rPr>
          <w:rFonts w:asciiTheme="minorBidi" w:hAnsiTheme="minorBidi" w:cstheme="minorBidi"/>
          <w:b/>
          <w:bCs/>
          <w:i/>
          <w:iCs/>
        </w:rPr>
      </w:pPr>
      <w:r w:rsidRPr="001078B8">
        <w:rPr>
          <w:rFonts w:asciiTheme="minorBidi" w:hAnsiTheme="minorBidi" w:cstheme="minorBidi"/>
          <w:b/>
          <w:bCs/>
          <w:i/>
          <w:iCs/>
        </w:rPr>
        <w:t>Option 1 - Leave as is (Do Nothing)</w:t>
      </w:r>
    </w:p>
    <w:p w14:paraId="3170EAEC" w14:textId="4203B65A" w:rsidR="00D17F2A" w:rsidRPr="00EF42C8" w:rsidRDefault="00D17F2A" w:rsidP="00435502">
      <w:pPr>
        <w:pStyle w:val="ListParagraph"/>
        <w:keepNext/>
        <w:numPr>
          <w:ilvl w:val="2"/>
          <w:numId w:val="16"/>
        </w:numPr>
        <w:spacing w:after="0"/>
        <w:ind w:left="567" w:hanging="567"/>
        <w:contextualSpacing w:val="0"/>
        <w:jc w:val="both"/>
        <w:rPr>
          <w:rFonts w:eastAsia="Arial" w:cs="Arial"/>
          <w:b/>
          <w:color w:val="000000" w:themeColor="text1"/>
          <w:sz w:val="20"/>
          <w:szCs w:val="20"/>
        </w:rPr>
      </w:pPr>
      <w:r w:rsidRPr="001078B8">
        <w:rPr>
          <w:rFonts w:asciiTheme="minorBidi" w:hAnsiTheme="minorBidi" w:cstheme="minorBidi"/>
        </w:rPr>
        <w:t xml:space="preserve">This option would see no regulatory changes made and leave CCUS and hydrogen production activities to be regulated under the existing duties in </w:t>
      </w:r>
      <w:r w:rsidRPr="00D17F2A">
        <w:rPr>
          <w:rFonts w:asciiTheme="minorBidi" w:hAnsiTheme="minorBidi" w:cstheme="minorBidi"/>
        </w:rPr>
        <w:t xml:space="preserve">the Health and Safety at Work </w:t>
      </w:r>
      <w:r w:rsidR="002951F8">
        <w:rPr>
          <w:rFonts w:asciiTheme="minorBidi" w:hAnsiTheme="minorBidi" w:cstheme="minorBidi"/>
        </w:rPr>
        <w:t xml:space="preserve">etc </w:t>
      </w:r>
      <w:r w:rsidRPr="00D17F2A">
        <w:rPr>
          <w:rFonts w:asciiTheme="minorBidi" w:hAnsiTheme="minorBidi" w:cstheme="minorBidi"/>
        </w:rPr>
        <w:t>Act 1974 and the Management of Health and Safety Regulations 1999</w:t>
      </w:r>
      <w:r w:rsidRPr="00D17F2A">
        <w:rPr>
          <w:rStyle w:val="FootnoteReference"/>
          <w:rFonts w:asciiTheme="minorBidi" w:hAnsiTheme="minorBidi" w:cstheme="minorBidi"/>
        </w:rPr>
        <w:footnoteReference w:id="16"/>
      </w:r>
      <w:r w:rsidRPr="00D17F2A">
        <w:rPr>
          <w:rFonts w:asciiTheme="minorBidi" w:hAnsiTheme="minorBidi" w:cstheme="minorBidi"/>
        </w:rPr>
        <w:t>,</w:t>
      </w:r>
      <w:r w:rsidRPr="00D17F2A">
        <w:t xml:space="preserve"> </w:t>
      </w:r>
      <w:r w:rsidRPr="00D17F2A">
        <w:rPr>
          <w:rFonts w:asciiTheme="minorBidi" w:hAnsiTheme="minorBidi" w:cstheme="minorBidi"/>
        </w:rPr>
        <w:t>supplemented only by HSE’s sector-specific guidance</w:t>
      </w:r>
      <w:r w:rsidRPr="001078B8">
        <w:rPr>
          <w:rFonts w:asciiTheme="minorBidi" w:hAnsiTheme="minorBidi" w:cstheme="minorBidi"/>
        </w:rPr>
        <w:t>. This would mean that these activities would not be regulated to the same standard as other work activities considered to be major hazards activities</w:t>
      </w:r>
      <w:r w:rsidR="002951F8" w:rsidRPr="002951F8">
        <w:rPr>
          <w:rFonts w:asciiTheme="minorBidi" w:hAnsiTheme="minorBidi" w:cstheme="minorBidi"/>
        </w:rPr>
        <w:t xml:space="preserve"> </w:t>
      </w:r>
      <w:r w:rsidR="002951F8">
        <w:rPr>
          <w:rFonts w:asciiTheme="minorBidi" w:hAnsiTheme="minorBidi" w:cstheme="minorBidi"/>
        </w:rPr>
        <w:t>e.g.</w:t>
      </w:r>
      <w:r w:rsidR="002951F8" w:rsidRPr="00D17F2A">
        <w:rPr>
          <w:rFonts w:asciiTheme="minorBidi" w:hAnsiTheme="minorBidi" w:cstheme="minorBidi"/>
        </w:rPr>
        <w:t xml:space="preserve"> there would be no requirement</w:t>
      </w:r>
      <w:r w:rsidR="002951F8" w:rsidRPr="001078B8">
        <w:rPr>
          <w:rFonts w:asciiTheme="minorBidi" w:hAnsiTheme="minorBidi" w:cstheme="minorBidi"/>
        </w:rPr>
        <w:t xml:space="preserve"> for notifications, safety cases etc</w:t>
      </w:r>
      <w:r w:rsidRPr="001078B8">
        <w:rPr>
          <w:rFonts w:asciiTheme="minorBidi" w:hAnsiTheme="minorBidi" w:cstheme="minorBidi"/>
        </w:rPr>
        <w:t>.</w:t>
      </w:r>
    </w:p>
    <w:p w14:paraId="2ACF85A8" w14:textId="77777777" w:rsidR="00EF42C8" w:rsidRPr="00D17F2A" w:rsidRDefault="00EF42C8" w:rsidP="00435502">
      <w:pPr>
        <w:pStyle w:val="ListParagraph"/>
        <w:keepNext/>
        <w:spacing w:after="0"/>
        <w:ind w:left="567" w:hanging="567"/>
        <w:contextualSpacing w:val="0"/>
        <w:jc w:val="both"/>
        <w:rPr>
          <w:rFonts w:eastAsia="Arial" w:cs="Arial"/>
          <w:b/>
          <w:color w:val="000000" w:themeColor="text1"/>
          <w:sz w:val="20"/>
          <w:szCs w:val="20"/>
        </w:rPr>
      </w:pPr>
    </w:p>
    <w:p w14:paraId="3563307B" w14:textId="3F0AC918" w:rsidR="00D17F2A" w:rsidRPr="00D17F2A" w:rsidRDefault="00D17F2A" w:rsidP="00435502">
      <w:pPr>
        <w:pStyle w:val="ListParagraph"/>
        <w:keepNext/>
        <w:numPr>
          <w:ilvl w:val="2"/>
          <w:numId w:val="16"/>
        </w:numPr>
        <w:spacing w:after="0"/>
        <w:ind w:left="567" w:hanging="567"/>
        <w:contextualSpacing w:val="0"/>
        <w:jc w:val="both"/>
        <w:rPr>
          <w:rFonts w:eastAsia="Arial" w:cs="Arial"/>
          <w:b/>
          <w:color w:val="000000" w:themeColor="text1"/>
          <w:sz w:val="20"/>
          <w:szCs w:val="20"/>
        </w:rPr>
      </w:pPr>
      <w:r w:rsidRPr="001078B8">
        <w:rPr>
          <w:rFonts w:asciiTheme="minorBidi" w:hAnsiTheme="minorBidi" w:cstheme="minorBidi"/>
        </w:rPr>
        <w:t xml:space="preserve">On this basis this option is not considered to meet the objectives outlined in Section 3 as it does not deliver a regulatory framework that regulates these activities in a way which is appropriate for the risks associated with hydrogen production and CCUS operations and results in inconsistency with the regulation of other major hazards activities.  It is therefore not considered a viable option and is </w:t>
      </w:r>
      <w:r w:rsidRPr="001078B8">
        <w:rPr>
          <w:rFonts w:asciiTheme="minorBidi" w:hAnsiTheme="minorBidi" w:cstheme="minorBidi"/>
          <w:b/>
          <w:bCs/>
        </w:rPr>
        <w:t>Discounted</w:t>
      </w:r>
      <w:r w:rsidRPr="001078B8">
        <w:rPr>
          <w:rFonts w:asciiTheme="minorBidi" w:hAnsiTheme="minorBidi" w:cstheme="minorBidi"/>
        </w:rPr>
        <w:t>.</w:t>
      </w:r>
    </w:p>
    <w:p w14:paraId="0777246A" w14:textId="77777777" w:rsidR="00D17F2A" w:rsidRDefault="00D17F2A" w:rsidP="00D17F2A">
      <w:pPr>
        <w:keepNext/>
        <w:spacing w:after="0"/>
        <w:ind w:left="142"/>
        <w:jc w:val="both"/>
        <w:rPr>
          <w:rFonts w:eastAsia="Arial" w:cs="Arial"/>
          <w:b/>
          <w:color w:val="000000" w:themeColor="text1"/>
          <w:sz w:val="20"/>
          <w:szCs w:val="20"/>
        </w:rPr>
      </w:pPr>
    </w:p>
    <w:p w14:paraId="7EB9425E" w14:textId="56973C30" w:rsidR="00D17F2A" w:rsidRDefault="00D17F2A" w:rsidP="00435502">
      <w:pPr>
        <w:keepNext/>
        <w:ind w:left="142"/>
        <w:jc w:val="both"/>
        <w:rPr>
          <w:rFonts w:asciiTheme="minorBidi" w:hAnsiTheme="minorBidi" w:cstheme="minorBidi"/>
          <w:b/>
          <w:bCs/>
          <w:i/>
          <w:iCs/>
        </w:rPr>
      </w:pPr>
      <w:r w:rsidRPr="001078B8">
        <w:rPr>
          <w:rFonts w:asciiTheme="minorBidi" w:hAnsiTheme="minorBidi" w:cstheme="minorBidi"/>
          <w:b/>
          <w:bCs/>
          <w:i/>
          <w:iCs/>
        </w:rPr>
        <w:t>Option 2 – Non-Regulatory Approaches / Guidance</w:t>
      </w:r>
    </w:p>
    <w:p w14:paraId="353DAB82" w14:textId="30B64759" w:rsidR="00D17F2A" w:rsidRPr="00D62CBF" w:rsidRDefault="00D17F2A"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EF42C8">
        <w:rPr>
          <w:rFonts w:asciiTheme="minorBidi" w:hAnsiTheme="minorBidi" w:cstheme="minorBidi"/>
        </w:rPr>
        <w:t xml:space="preserve">This option would see the existing application of health and safety regulation (as described in Option 1) supplemented by sector-specific guidance to support dutyholder compliance and clarify </w:t>
      </w:r>
      <w:r w:rsidRPr="00F337A4">
        <w:rPr>
          <w:rFonts w:asciiTheme="minorBidi" w:hAnsiTheme="minorBidi" w:cstheme="minorBidi"/>
        </w:rPr>
        <w:t>HSE’S expectations</w:t>
      </w:r>
      <w:r w:rsidRPr="00EF42C8">
        <w:rPr>
          <w:rFonts w:asciiTheme="minorBidi" w:hAnsiTheme="minorBidi" w:cstheme="minorBidi"/>
        </w:rPr>
        <w:t xml:space="preserve"> of operators</w:t>
      </w:r>
      <w:r w:rsidR="00EF42C8" w:rsidRPr="00EF42C8">
        <w:rPr>
          <w:rFonts w:asciiTheme="minorBidi" w:hAnsiTheme="minorBidi" w:cstheme="minorBidi"/>
        </w:rPr>
        <w:t>.</w:t>
      </w:r>
    </w:p>
    <w:p w14:paraId="5D8FD2E0" w14:textId="77777777" w:rsidR="00D62CBF" w:rsidRPr="00EF42C8" w:rsidRDefault="00D62CBF" w:rsidP="00435502">
      <w:pPr>
        <w:pStyle w:val="ListParagraph"/>
        <w:keepNext/>
        <w:spacing w:after="0"/>
        <w:ind w:left="567" w:hanging="567"/>
        <w:contextualSpacing w:val="0"/>
        <w:jc w:val="both"/>
        <w:rPr>
          <w:rFonts w:eastAsia="Arial" w:cs="Arial"/>
          <w:color w:val="000000" w:themeColor="text1"/>
          <w:szCs w:val="24"/>
        </w:rPr>
      </w:pPr>
    </w:p>
    <w:p w14:paraId="1AD337B8" w14:textId="6276B122" w:rsidR="00EF42C8" w:rsidRPr="00D62CBF"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 xml:space="preserve">HSE has a long history of using non-regulatory options to supplement HSWA with different approaches including influencing and achieving through others, reputation-based approaches, and collaborative efforts with industry stakeholders to enhance </w:t>
      </w:r>
      <w:r w:rsidRPr="001078B8">
        <w:rPr>
          <w:rFonts w:asciiTheme="minorBidi" w:hAnsiTheme="minorBidi" w:cstheme="minorBidi"/>
        </w:rPr>
        <w:lastRenderedPageBreak/>
        <w:t>compliance and promote development of a safety culture beyond the constraints of regulation.</w:t>
      </w:r>
    </w:p>
    <w:p w14:paraId="2BD62A65" w14:textId="77777777" w:rsidR="00D62CBF" w:rsidRPr="00D62CBF" w:rsidRDefault="00D62CBF" w:rsidP="00D62CBF">
      <w:pPr>
        <w:pStyle w:val="ListParagraph"/>
        <w:rPr>
          <w:rFonts w:eastAsia="Arial" w:cs="Arial"/>
          <w:color w:val="000000" w:themeColor="text1"/>
          <w:szCs w:val="24"/>
        </w:rPr>
      </w:pPr>
    </w:p>
    <w:p w14:paraId="1B7114CF" w14:textId="6FF09586" w:rsidR="00EF42C8" w:rsidRPr="00D62CBF"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These approaches have been deployed in a number of sectors which HSE is responsible for regulating, such as in the transport sector where HSE collaborated with other regulatory bodies and industry associations to promote best practice in the pallet industry and the waste and recycling sector where HSE has worked with industry bodies like the Waste Industry Safety and Health (WISH) Forum in developing and deploying sector-specific guidance.</w:t>
      </w:r>
    </w:p>
    <w:p w14:paraId="6610AADE" w14:textId="77777777" w:rsidR="00D62CBF" w:rsidRPr="00D62CBF" w:rsidRDefault="00D62CBF" w:rsidP="00435502">
      <w:pPr>
        <w:pStyle w:val="ListParagraph"/>
        <w:spacing w:after="0"/>
        <w:ind w:hanging="567"/>
        <w:contextualSpacing w:val="0"/>
        <w:rPr>
          <w:rFonts w:eastAsia="Arial" w:cs="Arial"/>
          <w:color w:val="000000" w:themeColor="text1"/>
          <w:szCs w:val="24"/>
        </w:rPr>
      </w:pPr>
    </w:p>
    <w:p w14:paraId="0784C54E" w14:textId="3142F524" w:rsidR="00EF42C8" w:rsidRPr="00D62CBF"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 xml:space="preserve">These examples have all led to measurable improvements and seen good feedback from those involved. However, they are sectors that HSE considers to be non-major hazard and whilst guidance can clarify good practice in complying with general requirements, it does not have the same legal enforceability as specific regulations.  Furthermore, this option would not resolve the regulatory inconsistency described in </w:t>
      </w:r>
      <w:r w:rsidRPr="00EF42C8">
        <w:rPr>
          <w:rFonts w:asciiTheme="minorBidi" w:hAnsiTheme="minorBidi" w:cstheme="minorBidi"/>
          <w:i/>
          <w:iCs/>
        </w:rPr>
        <w:t>Option 1</w:t>
      </w:r>
      <w:r w:rsidRPr="001078B8">
        <w:rPr>
          <w:rFonts w:asciiTheme="minorBidi" w:hAnsiTheme="minorBidi" w:cstheme="minorBidi"/>
        </w:rPr>
        <w:t>.</w:t>
      </w:r>
    </w:p>
    <w:p w14:paraId="512BBDB3" w14:textId="77777777" w:rsidR="00D62CBF" w:rsidRPr="00D62CBF" w:rsidRDefault="00D62CBF" w:rsidP="00435502">
      <w:pPr>
        <w:pStyle w:val="ListParagraph"/>
        <w:spacing w:after="0"/>
        <w:ind w:hanging="567"/>
        <w:contextualSpacing w:val="0"/>
        <w:rPr>
          <w:rFonts w:eastAsia="Arial" w:cs="Arial"/>
          <w:color w:val="000000" w:themeColor="text1"/>
          <w:szCs w:val="24"/>
        </w:rPr>
      </w:pPr>
    </w:p>
    <w:p w14:paraId="0A27F233" w14:textId="573DEC71"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 xml:space="preserve">On this basis this option does not meet the policy objectives outlined in Section 3, as it does not lead to a clear, consistent, and robust regulatory regime appropriate for activities that constitute a major accident hazard. It is not considered a viable option and is therefore </w:t>
      </w:r>
      <w:r w:rsidRPr="001078B8">
        <w:rPr>
          <w:rFonts w:asciiTheme="minorBidi" w:hAnsiTheme="minorBidi" w:cstheme="minorBidi"/>
          <w:b/>
          <w:bCs/>
        </w:rPr>
        <w:t>discounted</w:t>
      </w:r>
      <w:r w:rsidRPr="001078B8">
        <w:rPr>
          <w:rFonts w:asciiTheme="minorBidi" w:hAnsiTheme="minorBidi" w:cstheme="minorBidi"/>
        </w:rPr>
        <w:t>.</w:t>
      </w:r>
    </w:p>
    <w:p w14:paraId="2D177AAE" w14:textId="77777777" w:rsidR="00EF42C8" w:rsidRPr="00EF42C8" w:rsidRDefault="00EF42C8" w:rsidP="00EF42C8">
      <w:pPr>
        <w:keepNext/>
        <w:spacing w:after="0"/>
        <w:ind w:left="142"/>
        <w:jc w:val="both"/>
        <w:rPr>
          <w:rFonts w:asciiTheme="minorBidi" w:hAnsiTheme="minorBidi" w:cstheme="minorBidi"/>
        </w:rPr>
      </w:pPr>
    </w:p>
    <w:p w14:paraId="47C3398E" w14:textId="5317CE60" w:rsidR="00EF42C8" w:rsidRDefault="00EF42C8" w:rsidP="00435502">
      <w:pPr>
        <w:keepNext/>
        <w:jc w:val="both"/>
        <w:rPr>
          <w:rFonts w:asciiTheme="minorBidi" w:hAnsiTheme="minorBidi" w:cstheme="minorBidi"/>
          <w:b/>
          <w:bCs/>
          <w:i/>
          <w:iCs/>
        </w:rPr>
      </w:pPr>
      <w:r w:rsidRPr="00EF42C8">
        <w:rPr>
          <w:rFonts w:asciiTheme="minorBidi" w:hAnsiTheme="minorBidi" w:cstheme="minorBidi"/>
          <w:b/>
          <w:bCs/>
          <w:i/>
          <w:iCs/>
        </w:rPr>
        <w:t>Option 3 – Non-Regulatory Approaches / Communications</w:t>
      </w:r>
    </w:p>
    <w:p w14:paraId="2ACA592B" w14:textId="1C19A1AC"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This option would see the existing application of health and safety legislation (as described in Option 1) supplemented by targeted communications activity to clarify good practice in complying with general requirements.</w:t>
      </w:r>
    </w:p>
    <w:p w14:paraId="54AA6F8A" w14:textId="77777777" w:rsidR="00EF42C8" w:rsidRPr="00EF42C8" w:rsidRDefault="00EF42C8" w:rsidP="00435502">
      <w:pPr>
        <w:pStyle w:val="ListParagraph"/>
        <w:keepNext/>
        <w:spacing w:after="0"/>
        <w:ind w:left="567" w:hanging="567"/>
        <w:contextualSpacing w:val="0"/>
        <w:jc w:val="both"/>
        <w:rPr>
          <w:rFonts w:eastAsia="Arial" w:cs="Arial"/>
          <w:color w:val="000000" w:themeColor="text1"/>
          <w:szCs w:val="24"/>
        </w:rPr>
      </w:pPr>
    </w:p>
    <w:p w14:paraId="19AF936E" w14:textId="77777777"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rsidRPr="001078B8">
        <w:rPr>
          <w:rFonts w:asciiTheme="minorBidi" w:hAnsiTheme="minorBidi" w:cstheme="minorBidi"/>
        </w:rPr>
        <w:t>HSE has a long history of using non-regulatory options to supplement HSWA including communication campaigns planned to align with strategic priorities and areas of low compliance or poor incident history with the intention of enhancing compliance and promoting development of a safety culture beyond the constraints of regulation.</w:t>
      </w:r>
    </w:p>
    <w:p w14:paraId="5A53DC2C" w14:textId="77777777" w:rsidR="00EF42C8" w:rsidRPr="00EF42C8" w:rsidRDefault="00EF42C8" w:rsidP="00435502">
      <w:pPr>
        <w:pStyle w:val="ListParagraph"/>
        <w:keepNext/>
        <w:spacing w:after="0"/>
        <w:ind w:left="567" w:hanging="567"/>
        <w:contextualSpacing w:val="0"/>
        <w:jc w:val="both"/>
        <w:rPr>
          <w:rFonts w:eastAsia="Arial" w:cs="Arial"/>
          <w:color w:val="000000" w:themeColor="text1"/>
          <w:szCs w:val="24"/>
        </w:rPr>
      </w:pPr>
    </w:p>
    <w:p w14:paraId="2A24DCD2" w14:textId="3ED8AE9D" w:rsidR="00EF42C8" w:rsidRPr="00EF42C8" w:rsidRDefault="00EF42C8" w:rsidP="00435502">
      <w:pPr>
        <w:pStyle w:val="ListParagraph"/>
        <w:keepNext/>
        <w:numPr>
          <w:ilvl w:val="2"/>
          <w:numId w:val="16"/>
        </w:numPr>
        <w:tabs>
          <w:tab w:val="left" w:pos="993"/>
        </w:tabs>
        <w:spacing w:after="0"/>
        <w:ind w:left="567" w:hanging="567"/>
        <w:contextualSpacing w:val="0"/>
        <w:jc w:val="both"/>
        <w:rPr>
          <w:rFonts w:eastAsia="Arial" w:cs="Arial"/>
          <w:color w:val="000000" w:themeColor="text1"/>
          <w:szCs w:val="24"/>
        </w:rPr>
      </w:pPr>
      <w:r w:rsidRPr="00EF42C8">
        <w:rPr>
          <w:rFonts w:asciiTheme="minorBidi" w:hAnsiTheme="minorBidi" w:cstheme="minorBidi"/>
        </w:rPr>
        <w:t xml:space="preserve">Such campaigns have often addressed workplace health and safety issues not linked to specific regulations such </w:t>
      </w:r>
      <w:proofErr w:type="gramStart"/>
      <w:r w:rsidRPr="00EF42C8">
        <w:rPr>
          <w:rFonts w:asciiTheme="minorBidi" w:hAnsiTheme="minorBidi" w:cstheme="minorBidi"/>
        </w:rPr>
        <w:t>as;</w:t>
      </w:r>
      <w:proofErr w:type="gramEnd"/>
      <w:r w:rsidRPr="00EF42C8">
        <w:rPr>
          <w:rFonts w:asciiTheme="minorBidi" w:hAnsiTheme="minorBidi" w:cstheme="minorBidi"/>
        </w:rPr>
        <w:t xml:space="preserve"> ‘Dust Kills’ raising awareness on the risk of dust inhalation in construction and other industries, and ‘Working Minds’ focusing on work-related stress and mental health in the workplace. Campaigns usually involve traditional and social media outreach, partnerships with external organisations and the development and deployment of guides, toolkits and case studies.</w:t>
      </w:r>
    </w:p>
    <w:p w14:paraId="490DA040"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4EF2860E" w14:textId="4655C0C0" w:rsidR="00EF42C8" w:rsidRPr="00EF42C8" w:rsidRDefault="00EF42C8" w:rsidP="00435502">
      <w:pPr>
        <w:pStyle w:val="ListParagraph"/>
        <w:keepNext/>
        <w:numPr>
          <w:ilvl w:val="2"/>
          <w:numId w:val="16"/>
        </w:numPr>
        <w:tabs>
          <w:tab w:val="left" w:pos="993"/>
        </w:tabs>
        <w:spacing w:after="0"/>
        <w:ind w:left="567" w:hanging="567"/>
        <w:contextualSpacing w:val="0"/>
        <w:jc w:val="both"/>
        <w:rPr>
          <w:rFonts w:eastAsia="Arial" w:cs="Arial"/>
          <w:color w:val="000000" w:themeColor="text1"/>
          <w:szCs w:val="24"/>
        </w:rPr>
      </w:pPr>
      <w:r w:rsidRPr="001078B8">
        <w:rPr>
          <w:rFonts w:asciiTheme="minorBidi" w:hAnsiTheme="minorBidi" w:cstheme="minorBidi"/>
        </w:rPr>
        <w:t xml:space="preserve">These campaigns have received positive feedback from those involved and have led to measurable improvements, often across cross-cutting topics that may benefit from a broader approach. However, they </w:t>
      </w:r>
      <w:r>
        <w:t xml:space="preserve">all apply to topics or sectors considered to be non-major hazard and whilst communications activities </w:t>
      </w:r>
      <w:r w:rsidRPr="001078B8">
        <w:rPr>
          <w:rFonts w:asciiTheme="minorBidi" w:hAnsiTheme="minorBidi" w:cstheme="minorBidi"/>
        </w:rPr>
        <w:t xml:space="preserve">can clarify good practice in complying with general requirements, it does not have the same legal enforceability as specific regulations. Furthermore, this option would not resolve the regulatory inconsistency described in </w:t>
      </w:r>
      <w:r w:rsidRPr="00EF42C8">
        <w:rPr>
          <w:rFonts w:asciiTheme="minorBidi" w:hAnsiTheme="minorBidi" w:cstheme="minorBidi"/>
          <w:i/>
          <w:iCs/>
        </w:rPr>
        <w:t>Option 1</w:t>
      </w:r>
      <w:r w:rsidRPr="001078B8">
        <w:rPr>
          <w:rFonts w:asciiTheme="minorBidi" w:hAnsiTheme="minorBidi" w:cstheme="minorBidi"/>
        </w:rPr>
        <w:t>.</w:t>
      </w:r>
    </w:p>
    <w:p w14:paraId="12AFFF5A"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1AB32C46" w14:textId="73F32F6C" w:rsidR="00EF42C8" w:rsidRDefault="00EF42C8" w:rsidP="00435502">
      <w:pPr>
        <w:pStyle w:val="ListParagraph"/>
        <w:keepNext/>
        <w:numPr>
          <w:ilvl w:val="2"/>
          <w:numId w:val="16"/>
        </w:numPr>
        <w:tabs>
          <w:tab w:val="left" w:pos="993"/>
        </w:tabs>
        <w:spacing w:after="0"/>
        <w:ind w:left="567" w:hanging="567"/>
        <w:contextualSpacing w:val="0"/>
        <w:jc w:val="both"/>
        <w:rPr>
          <w:rFonts w:eastAsia="Arial" w:cs="Arial"/>
          <w:color w:val="000000" w:themeColor="text1"/>
          <w:szCs w:val="24"/>
        </w:rPr>
      </w:pPr>
      <w:r w:rsidRPr="001078B8">
        <w:rPr>
          <w:rFonts w:asciiTheme="minorBidi" w:hAnsiTheme="minorBidi" w:cstheme="minorBidi"/>
        </w:rPr>
        <w:lastRenderedPageBreak/>
        <w:t xml:space="preserve">On this basis this option does not meet the policy objectives </w:t>
      </w:r>
      <w:r w:rsidRPr="008C4CEE">
        <w:rPr>
          <w:rFonts w:asciiTheme="minorBidi" w:hAnsiTheme="minorBidi" w:cstheme="minorBidi"/>
        </w:rPr>
        <w:t>outlined in Section</w:t>
      </w:r>
      <w:r w:rsidRPr="001078B8">
        <w:rPr>
          <w:rFonts w:asciiTheme="minorBidi" w:hAnsiTheme="minorBidi" w:cstheme="minorBidi"/>
        </w:rPr>
        <w:t xml:space="preserve"> 3, as it does not lead to a clear, consistent, and robust regulatory regime appropriate for activities that constitute a major accident hazard. It is not considered a viable option and is therefore </w:t>
      </w:r>
      <w:r w:rsidRPr="001078B8">
        <w:rPr>
          <w:rFonts w:asciiTheme="minorBidi" w:hAnsiTheme="minorBidi" w:cstheme="minorBidi"/>
          <w:b/>
          <w:bCs/>
        </w:rPr>
        <w:t>discounted</w:t>
      </w:r>
      <w:r w:rsidRPr="001078B8">
        <w:rPr>
          <w:rFonts w:asciiTheme="minorBidi" w:hAnsiTheme="minorBidi" w:cstheme="minorBidi"/>
        </w:rPr>
        <w:t>.</w:t>
      </w:r>
    </w:p>
    <w:p w14:paraId="6CA847C7" w14:textId="77777777" w:rsidR="008C4CEE" w:rsidRPr="008C4CEE" w:rsidRDefault="008C4CEE" w:rsidP="008C4CEE">
      <w:pPr>
        <w:keepNext/>
        <w:tabs>
          <w:tab w:val="left" w:pos="993"/>
        </w:tabs>
        <w:spacing w:after="0"/>
        <w:jc w:val="both"/>
        <w:rPr>
          <w:rFonts w:eastAsia="Arial" w:cs="Arial"/>
          <w:color w:val="000000" w:themeColor="text1"/>
          <w:szCs w:val="24"/>
        </w:rPr>
      </w:pPr>
    </w:p>
    <w:p w14:paraId="53D0703D" w14:textId="5D075C09" w:rsidR="00EF42C8" w:rsidRPr="00EF42C8" w:rsidRDefault="00EF42C8" w:rsidP="00EF42C8">
      <w:pPr>
        <w:rPr>
          <w:rFonts w:eastAsia="Arial" w:cs="Arial"/>
          <w:color w:val="000000" w:themeColor="text1"/>
          <w:szCs w:val="24"/>
        </w:rPr>
      </w:pPr>
      <w:r w:rsidRPr="00AA3B05">
        <w:rPr>
          <w:b/>
          <w:bCs/>
        </w:rPr>
        <w:t xml:space="preserve">Option 4 – </w:t>
      </w:r>
      <w:r w:rsidRPr="00AA3B05">
        <w:rPr>
          <w:b/>
          <w:bCs/>
          <w:i/>
          <w:iCs/>
        </w:rPr>
        <w:t>New prescriptive regulation</w:t>
      </w:r>
    </w:p>
    <w:p w14:paraId="12A451E0" w14:textId="64BB3DFD"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t>This option would see new regulation developed to apply to these activities at a higher and more prescriptive level than current HSE major hazard regulation.</w:t>
      </w:r>
    </w:p>
    <w:p w14:paraId="18E21D19"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5E55B3DD" w14:textId="1D6D424C"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t>HSE does not, generally, stipulate wh</w:t>
      </w:r>
      <w:r w:rsidR="00934CD1">
        <w:t>at specific</w:t>
      </w:r>
      <w:r>
        <w:t xml:space="preserve"> measures </w:t>
      </w:r>
      <w:r w:rsidR="00934CD1">
        <w:t>must be taken to comply with duties</w:t>
      </w:r>
      <w:r>
        <w:t xml:space="preserve"> imposed by its major hazard regulation</w:t>
      </w:r>
      <w:r w:rsidR="00934CD1">
        <w:t>,</w:t>
      </w:r>
      <w:r>
        <w:t xml:space="preserve"> and the ultimate responsibility for managing the hazards created by the work activity remains with the dutyholder. Assurance that hazards are being appropriately managed is obtained through regulatory engagement e.g. inspection. Safety Case/ Reports must be revised or updated at regular intervals or when significant changes taken place; other than this, dutyholders may take actions they consider to be appropriate to manage the hazards created by their work.</w:t>
      </w:r>
    </w:p>
    <w:p w14:paraId="50F65FED"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4F7830D6" w14:textId="0117D49D"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t>Some areas of regulation are more prescriptive and place more stringent conditions on regulated entities, such as the licensing regime applied by the Office of Nuclear Regulation (ONR) to civil and defence nuclear sites. This requires ONR to grant permission to key activities</w:t>
      </w:r>
      <w:r w:rsidRPr="7C4FA1CF">
        <w:rPr>
          <w:vertAlign w:val="superscript"/>
        </w:rPr>
        <w:footnoteReference w:id="17"/>
      </w:r>
      <w:r>
        <w:t xml:space="preserve"> and that licensees abide by detailed and stringent licensing conditions</w:t>
      </w:r>
      <w:r w:rsidRPr="7C4FA1CF">
        <w:rPr>
          <w:vertAlign w:val="superscript"/>
        </w:rPr>
        <w:footnoteReference w:id="18"/>
      </w:r>
      <w:r>
        <w:t xml:space="preserve">. This is more prescriptive than regulations such as </w:t>
      </w:r>
      <w:r w:rsidR="00D62CBF">
        <w:rPr>
          <w:rFonts w:asciiTheme="minorBidi" w:eastAsia="Times New Roman" w:hAnsiTheme="minorBidi" w:cstheme="minorBidi"/>
        </w:rPr>
        <w:t>SCR15</w:t>
      </w:r>
      <w:r w:rsidRPr="00AA3B05">
        <w:rPr>
          <w:rFonts w:asciiTheme="minorBidi" w:eastAsia="Times New Roman" w:hAnsiTheme="minorBidi" w:cstheme="minorBidi"/>
        </w:rPr>
        <w:t xml:space="preserve"> or </w:t>
      </w:r>
      <w:r w:rsidR="00D62CBF">
        <w:rPr>
          <w:rFonts w:asciiTheme="minorBidi" w:eastAsia="Times New Roman" w:hAnsiTheme="minorBidi" w:cstheme="minorBidi"/>
        </w:rPr>
        <w:t>DCR96</w:t>
      </w:r>
      <w:r w:rsidRPr="00D17F2A">
        <w:rPr>
          <w:rFonts w:asciiTheme="minorBidi" w:eastAsia="Times New Roman" w:hAnsiTheme="minorBidi" w:cstheme="minorBidi"/>
        </w:rPr>
        <w:t xml:space="preserve"> </w:t>
      </w:r>
      <w:r w:rsidRPr="00D17F2A">
        <w:t>by specifying actions and measures and limiting the amount of deviation an operator can take from</w:t>
      </w:r>
      <w:r>
        <w:t xml:space="preserve"> the license conditions.</w:t>
      </w:r>
    </w:p>
    <w:p w14:paraId="294445F3"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3BFB0D91" w14:textId="6A4D1AA2"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t xml:space="preserve">This level of regulation </w:t>
      </w:r>
      <w:proofErr w:type="gramStart"/>
      <w:r>
        <w:t>is considered to be</w:t>
      </w:r>
      <w:proofErr w:type="gramEnd"/>
      <w:r>
        <w:t xml:space="preserve"> appropriate for nuclear sites given both the catastrophic and long-lasting accident potential and the levels of public assurance expected. However, it is not consistent with the level of regulatory scrutiny that HSE generally adopts for major hazards. It is therefore felt that a licensing type approach would be disproportionate compared to the approach taken for similar major hazard industries.</w:t>
      </w:r>
    </w:p>
    <w:p w14:paraId="6461B9BB" w14:textId="77777777" w:rsidR="00EF42C8" w:rsidRPr="00EF42C8" w:rsidRDefault="00EF42C8" w:rsidP="00435502">
      <w:pPr>
        <w:pStyle w:val="ListParagraph"/>
        <w:spacing w:after="0"/>
        <w:ind w:hanging="567"/>
        <w:contextualSpacing w:val="0"/>
        <w:rPr>
          <w:rFonts w:eastAsia="Arial" w:cs="Arial"/>
          <w:color w:val="000000" w:themeColor="text1"/>
          <w:szCs w:val="24"/>
        </w:rPr>
      </w:pPr>
    </w:p>
    <w:p w14:paraId="5304E993" w14:textId="38ABC6E5" w:rsidR="00EF42C8" w:rsidRPr="00EF42C8" w:rsidRDefault="00EF42C8" w:rsidP="00435502">
      <w:pPr>
        <w:pStyle w:val="ListParagraph"/>
        <w:keepNext/>
        <w:numPr>
          <w:ilvl w:val="2"/>
          <w:numId w:val="16"/>
        </w:numPr>
        <w:spacing w:after="0"/>
        <w:ind w:left="567" w:hanging="567"/>
        <w:contextualSpacing w:val="0"/>
        <w:jc w:val="both"/>
        <w:rPr>
          <w:rFonts w:eastAsia="Arial" w:cs="Arial"/>
          <w:color w:val="000000" w:themeColor="text1"/>
          <w:szCs w:val="24"/>
        </w:rPr>
      </w:pPr>
      <w:r>
        <w:t xml:space="preserve">On this basis this proposed intervention option does not meet the objectives in remaining proportionate to the hazards created. It is not considered to be a viable option and is therefore </w:t>
      </w:r>
      <w:r w:rsidRPr="00AA3B05">
        <w:rPr>
          <w:b/>
          <w:bCs/>
        </w:rPr>
        <w:t>discounted</w:t>
      </w:r>
      <w:r>
        <w:t>.</w:t>
      </w:r>
    </w:p>
    <w:p w14:paraId="0573FB86" w14:textId="77777777" w:rsidR="00EF42C8" w:rsidRDefault="00EF42C8" w:rsidP="00435502">
      <w:pPr>
        <w:keepNext/>
        <w:spacing w:after="0"/>
        <w:jc w:val="both"/>
        <w:rPr>
          <w:rFonts w:eastAsia="Arial" w:cs="Arial"/>
          <w:color w:val="000000" w:themeColor="text1"/>
          <w:szCs w:val="24"/>
        </w:rPr>
      </w:pPr>
    </w:p>
    <w:p w14:paraId="58159921" w14:textId="3327E36E" w:rsidR="00EF42C8" w:rsidRPr="00EF42C8" w:rsidRDefault="00EF42C8" w:rsidP="00EF42C8">
      <w:pPr>
        <w:rPr>
          <w:rFonts w:eastAsia="Arial" w:cs="Arial"/>
          <w:color w:val="000000" w:themeColor="text1"/>
          <w:szCs w:val="24"/>
        </w:rPr>
      </w:pPr>
      <w:r w:rsidRPr="00AA3B05">
        <w:rPr>
          <w:b/>
          <w:bCs/>
          <w:i/>
          <w:iCs/>
        </w:rPr>
        <w:t>Option 5 – Regulatory Option / Partially regulate as major hazard</w:t>
      </w:r>
    </w:p>
    <w:p w14:paraId="78E34610" w14:textId="6C240FDC" w:rsidR="00EF42C8" w:rsidRPr="00EF42C8" w:rsidRDefault="00EF42C8" w:rsidP="00435502">
      <w:pPr>
        <w:pStyle w:val="ListParagraph"/>
        <w:keepNext/>
        <w:numPr>
          <w:ilvl w:val="2"/>
          <w:numId w:val="16"/>
        </w:numPr>
        <w:tabs>
          <w:tab w:val="left" w:pos="993"/>
        </w:tabs>
        <w:spacing w:after="0"/>
        <w:ind w:left="567" w:hanging="567"/>
        <w:contextualSpacing w:val="0"/>
        <w:jc w:val="both"/>
        <w:rPr>
          <w:rFonts w:eastAsia="Arial" w:cs="Arial"/>
          <w:color w:val="000000" w:themeColor="text1"/>
          <w:szCs w:val="24"/>
        </w:rPr>
      </w:pPr>
      <w:r>
        <w:t xml:space="preserve">This option would involve some changes made to existing major hazard regulation to clarify their application but would not extend application to an activity that is clearly </w:t>
      </w:r>
      <w:r>
        <w:lastRenderedPageBreak/>
        <w:t xml:space="preserve">currently not in scope. This option has been </w:t>
      </w:r>
      <w:r w:rsidRPr="00AA3B05">
        <w:rPr>
          <w:b/>
          <w:bCs/>
        </w:rPr>
        <w:t>shortlisted</w:t>
      </w:r>
      <w:r>
        <w:t xml:space="preserve"> and will be discussed further in Section 6.</w:t>
      </w:r>
    </w:p>
    <w:p w14:paraId="60318A52" w14:textId="77777777" w:rsidR="00EF42C8" w:rsidRDefault="00EF42C8" w:rsidP="00EF42C8">
      <w:pPr>
        <w:keepNext/>
        <w:tabs>
          <w:tab w:val="left" w:pos="851"/>
        </w:tabs>
        <w:spacing w:after="0"/>
        <w:ind w:left="142"/>
        <w:jc w:val="both"/>
        <w:rPr>
          <w:rFonts w:eastAsia="Arial" w:cs="Arial"/>
          <w:color w:val="000000" w:themeColor="text1"/>
          <w:szCs w:val="24"/>
        </w:rPr>
      </w:pPr>
    </w:p>
    <w:p w14:paraId="747BE336" w14:textId="4FC88BF9" w:rsidR="00EF42C8" w:rsidRDefault="00EF42C8" w:rsidP="00435502">
      <w:pPr>
        <w:keepNext/>
        <w:tabs>
          <w:tab w:val="left" w:pos="851"/>
        </w:tabs>
        <w:jc w:val="both"/>
        <w:rPr>
          <w:rFonts w:eastAsia="Arial" w:cs="Arial"/>
          <w:color w:val="000000" w:themeColor="text1"/>
          <w:szCs w:val="24"/>
        </w:rPr>
      </w:pPr>
      <w:r w:rsidRPr="00AA3B05">
        <w:rPr>
          <w:b/>
          <w:bCs/>
          <w:i/>
          <w:iCs/>
        </w:rPr>
        <w:t>Option 6 – Regulatory Option /Fully Regulate as major hazard</w:t>
      </w:r>
    </w:p>
    <w:p w14:paraId="068735E9" w14:textId="2F7BB8A3" w:rsidR="00EF42C8" w:rsidRPr="00EF42C8" w:rsidRDefault="00EF42C8" w:rsidP="00435502">
      <w:pPr>
        <w:pStyle w:val="ListParagraph"/>
        <w:keepNext/>
        <w:numPr>
          <w:ilvl w:val="2"/>
          <w:numId w:val="16"/>
        </w:numPr>
        <w:tabs>
          <w:tab w:val="left" w:pos="993"/>
        </w:tabs>
        <w:spacing w:after="0"/>
        <w:ind w:left="567" w:hanging="567"/>
        <w:contextualSpacing w:val="0"/>
        <w:jc w:val="both"/>
        <w:rPr>
          <w:rFonts w:eastAsia="Arial" w:cs="Arial"/>
          <w:color w:val="000000" w:themeColor="text1"/>
          <w:szCs w:val="24"/>
        </w:rPr>
      </w:pPr>
      <w:r>
        <w:t xml:space="preserve">This option would see changes made to several pieces of major hazard regulation to either clarify </w:t>
      </w:r>
      <w:r w:rsidR="003E3BE6">
        <w:t>and</w:t>
      </w:r>
      <w:r>
        <w:t xml:space="preserve"> </w:t>
      </w:r>
      <w:r w:rsidRPr="00D17F2A">
        <w:t>extend the scope and application of those regulations to CCUS operations offshore and transport of CO</w:t>
      </w:r>
      <w:r w:rsidRPr="00D17F2A">
        <w:rPr>
          <w:vertAlign w:val="subscript"/>
        </w:rPr>
        <w:t>2</w:t>
      </w:r>
      <w:r w:rsidRPr="00D17F2A">
        <w:t xml:space="preserve"> by pipeline, and to the offshore production of hydrogen. This option has been </w:t>
      </w:r>
      <w:r w:rsidRPr="00D17F2A">
        <w:rPr>
          <w:b/>
          <w:bCs/>
        </w:rPr>
        <w:t>shortlisted</w:t>
      </w:r>
      <w:r w:rsidRPr="00D17F2A">
        <w:t xml:space="preserve"> and will be discussed further in Section 6.</w:t>
      </w:r>
    </w:p>
    <w:p w14:paraId="3904A295" w14:textId="77777777" w:rsidR="00EF42C8" w:rsidRDefault="00EF42C8" w:rsidP="00EF42C8">
      <w:pPr>
        <w:keepNext/>
        <w:tabs>
          <w:tab w:val="left" w:pos="851"/>
        </w:tabs>
        <w:spacing w:after="0"/>
        <w:ind w:left="142"/>
        <w:jc w:val="both"/>
        <w:rPr>
          <w:rFonts w:eastAsia="Arial" w:cs="Arial"/>
          <w:color w:val="000000" w:themeColor="text1"/>
          <w:szCs w:val="24"/>
        </w:rPr>
      </w:pPr>
    </w:p>
    <w:p w14:paraId="2E971BE4" w14:textId="491A9B4F" w:rsidR="00EF42C8" w:rsidRDefault="00EF42C8" w:rsidP="00D279BC">
      <w:pPr>
        <w:keepNext/>
        <w:tabs>
          <w:tab w:val="left" w:pos="851"/>
        </w:tabs>
        <w:ind w:left="142"/>
        <w:jc w:val="both"/>
        <w:rPr>
          <w:b/>
          <w:bCs/>
          <w:i/>
          <w:iCs/>
        </w:rPr>
      </w:pPr>
      <w:r w:rsidRPr="00D17F2A">
        <w:rPr>
          <w:b/>
          <w:bCs/>
          <w:i/>
          <w:iCs/>
        </w:rPr>
        <w:t>Option 7 – Non-Regulatory Approaches / Industry standards</w:t>
      </w:r>
    </w:p>
    <w:p w14:paraId="78DF57DD" w14:textId="3B51E26B" w:rsidR="00EF42C8" w:rsidRPr="00EF42C8" w:rsidRDefault="00EF42C8" w:rsidP="00435502">
      <w:pPr>
        <w:pStyle w:val="ListParagraph"/>
        <w:keepNext/>
        <w:numPr>
          <w:ilvl w:val="2"/>
          <w:numId w:val="16"/>
        </w:numPr>
        <w:tabs>
          <w:tab w:val="left" w:pos="993"/>
        </w:tabs>
        <w:spacing w:after="0"/>
        <w:ind w:left="567" w:hanging="425"/>
        <w:contextualSpacing w:val="0"/>
        <w:jc w:val="both"/>
        <w:rPr>
          <w:rFonts w:eastAsia="Arial" w:cs="Arial"/>
          <w:color w:val="000000" w:themeColor="text1"/>
          <w:szCs w:val="24"/>
        </w:rPr>
      </w:pPr>
      <w:r w:rsidRPr="00D17F2A">
        <w:t xml:space="preserve">This option would see the existing application of health and safety regulation (as described in Option 1) supplemented by industry standards to influence a change in behaviour towards improved levels of safety. This option has been </w:t>
      </w:r>
      <w:r w:rsidRPr="00D17F2A">
        <w:rPr>
          <w:b/>
          <w:bCs/>
        </w:rPr>
        <w:t>shortlisted</w:t>
      </w:r>
      <w:r w:rsidRPr="00D17F2A">
        <w:t xml:space="preserve"> and will be discussed further in Section 6.</w:t>
      </w:r>
    </w:p>
    <w:p w14:paraId="04D1A320" w14:textId="77777777" w:rsidR="00EF42C8" w:rsidRPr="00EF42C8" w:rsidRDefault="00EF42C8" w:rsidP="00435502">
      <w:pPr>
        <w:pStyle w:val="ListParagraph"/>
        <w:keepNext/>
        <w:tabs>
          <w:tab w:val="left" w:pos="851"/>
        </w:tabs>
        <w:spacing w:after="0"/>
        <w:ind w:left="567"/>
        <w:contextualSpacing w:val="0"/>
        <w:jc w:val="both"/>
        <w:rPr>
          <w:rFonts w:eastAsia="Arial" w:cs="Arial"/>
          <w:color w:val="000000" w:themeColor="text1"/>
          <w:szCs w:val="24"/>
        </w:rPr>
      </w:pPr>
    </w:p>
    <w:p w14:paraId="6D3D4954" w14:textId="77777777" w:rsidR="00FA7CE3" w:rsidRPr="003B3BB6" w:rsidRDefault="00FA7CE3" w:rsidP="00D0440A">
      <w:pPr>
        <w:pStyle w:val="ListParagraph"/>
        <w:keepNext/>
        <w:numPr>
          <w:ilvl w:val="1"/>
          <w:numId w:val="16"/>
        </w:numPr>
        <w:spacing w:after="0"/>
        <w:ind w:left="567" w:hanging="567"/>
        <w:contextualSpacing w:val="0"/>
        <w:jc w:val="both"/>
        <w:rPr>
          <w:rFonts w:eastAsia="Arial" w:cs="Arial"/>
          <w:color w:val="FF0000"/>
          <w:sz w:val="32"/>
          <w:szCs w:val="32"/>
        </w:rPr>
      </w:pPr>
      <w:bookmarkStart w:id="1" w:name="_Ref183608566"/>
      <w:r w:rsidRPr="003B3BB6">
        <w:rPr>
          <w:b/>
          <w:bCs/>
          <w:color w:val="FF0000"/>
          <w:sz w:val="32"/>
          <w:szCs w:val="32"/>
        </w:rPr>
        <w:t>Small and Micro Business Assessment (SaMBA) and impact on medium sized businesses</w:t>
      </w:r>
      <w:bookmarkEnd w:id="1"/>
    </w:p>
    <w:p w14:paraId="14ABD48B" w14:textId="77777777" w:rsidR="00EF42C8" w:rsidRPr="003B3BB6" w:rsidRDefault="00EF42C8" w:rsidP="00435502">
      <w:pPr>
        <w:pStyle w:val="ListParagraph"/>
        <w:keepNext/>
        <w:tabs>
          <w:tab w:val="left" w:pos="851"/>
        </w:tabs>
        <w:spacing w:after="0"/>
        <w:ind w:left="360"/>
        <w:contextualSpacing w:val="0"/>
        <w:jc w:val="both"/>
        <w:rPr>
          <w:rFonts w:eastAsia="Arial" w:cs="Arial"/>
          <w:color w:val="FF0000"/>
          <w:szCs w:val="24"/>
        </w:rPr>
      </w:pPr>
    </w:p>
    <w:p w14:paraId="63A08E4F" w14:textId="2C27BB77" w:rsidR="006F45C9" w:rsidRPr="003B3BB6" w:rsidRDefault="006F45C9" w:rsidP="00D0440A">
      <w:pPr>
        <w:pStyle w:val="ListParagraph"/>
        <w:numPr>
          <w:ilvl w:val="2"/>
          <w:numId w:val="16"/>
        </w:numPr>
        <w:ind w:left="567" w:hanging="567"/>
        <w:jc w:val="lowKashida"/>
        <w:rPr>
          <w:rFonts w:eastAsia="Arial" w:cs="Arial"/>
          <w:color w:val="FF0000"/>
          <w:szCs w:val="24"/>
        </w:rPr>
      </w:pPr>
      <w:r w:rsidRPr="003B3BB6">
        <w:rPr>
          <w:rFonts w:eastAsia="Arial" w:cs="Arial"/>
          <w:color w:val="FF0000"/>
          <w:szCs w:val="24"/>
        </w:rPr>
        <w:t>The Companies Act 2006 defines the size of a business based on its staff headcount, annual turnover, or balance sheet. Large companies are defined as those with over 250 staff, an annual turnover exceeding £36m, or a balance sheet total exceeding £18m</w:t>
      </w:r>
      <w:r w:rsidR="00B511DC" w:rsidRPr="003B3BB6">
        <w:rPr>
          <w:rStyle w:val="FootnoteReference"/>
          <w:rFonts w:eastAsia="Arial" w:cs="Arial"/>
          <w:color w:val="FF0000"/>
          <w:szCs w:val="24"/>
        </w:rPr>
        <w:footnoteReference w:id="19"/>
      </w:r>
      <w:r w:rsidRPr="003B3BB6">
        <w:rPr>
          <w:rFonts w:eastAsia="Arial" w:cs="Arial"/>
          <w:color w:val="FF0000"/>
          <w:szCs w:val="24"/>
        </w:rPr>
        <w:t>.</w:t>
      </w:r>
    </w:p>
    <w:p w14:paraId="2C421B5A" w14:textId="77777777" w:rsidR="007D24A3" w:rsidRPr="003B3BB6" w:rsidRDefault="007D24A3" w:rsidP="00D0440A">
      <w:pPr>
        <w:pStyle w:val="ListParagraph"/>
        <w:ind w:left="567" w:hanging="567"/>
        <w:jc w:val="lowKashida"/>
        <w:rPr>
          <w:rFonts w:eastAsia="Arial" w:cs="Arial"/>
          <w:color w:val="FF0000"/>
          <w:szCs w:val="24"/>
        </w:rPr>
      </w:pPr>
    </w:p>
    <w:p w14:paraId="7FAA7031" w14:textId="77777777" w:rsidR="007D24A3" w:rsidRPr="003B3BB6" w:rsidRDefault="007D24A3" w:rsidP="00D0440A">
      <w:pPr>
        <w:pStyle w:val="ListParagraph"/>
        <w:keepNext/>
        <w:numPr>
          <w:ilvl w:val="2"/>
          <w:numId w:val="16"/>
        </w:numPr>
        <w:spacing w:after="0"/>
        <w:ind w:left="567" w:hanging="567"/>
        <w:jc w:val="lowKashida"/>
        <w:rPr>
          <w:rFonts w:eastAsia="Arial" w:cs="Arial"/>
          <w:color w:val="FF0000"/>
        </w:rPr>
      </w:pPr>
      <w:r w:rsidRPr="003B3BB6">
        <w:rPr>
          <w:color w:val="FF0000"/>
        </w:rPr>
        <w:t>HSE’s regulatory approach seeks to be proportionate and appropriate to the risk that is being managed and for many areas including risk assessment and leadership</w:t>
      </w:r>
      <w:r w:rsidRPr="003B3BB6">
        <w:rPr>
          <w:rStyle w:val="FootnoteReference"/>
          <w:color w:val="FF0000"/>
        </w:rPr>
        <w:footnoteReference w:id="20"/>
      </w:r>
      <w:r w:rsidRPr="003B3BB6">
        <w:rPr>
          <w:color w:val="FF0000"/>
        </w:rPr>
        <w:t>, and chemical classification</w:t>
      </w:r>
      <w:r w:rsidRPr="003B3BB6">
        <w:rPr>
          <w:rStyle w:val="FootnoteReference"/>
          <w:color w:val="FF0000"/>
        </w:rPr>
        <w:footnoteReference w:id="21"/>
      </w:r>
      <w:r w:rsidRPr="003B3BB6">
        <w:rPr>
          <w:color w:val="FF0000"/>
        </w:rPr>
        <w:t xml:space="preserve"> this is supported by guidance specifically targeted at small and medium sized enterprises (SMEs).</w:t>
      </w:r>
    </w:p>
    <w:p w14:paraId="4BB39425" w14:textId="77777777" w:rsidR="00955D12" w:rsidRPr="003B3BB6" w:rsidRDefault="00955D12" w:rsidP="00D0440A">
      <w:pPr>
        <w:keepNext/>
        <w:spacing w:after="0"/>
        <w:ind w:left="567" w:hanging="567"/>
        <w:jc w:val="lowKashida"/>
        <w:rPr>
          <w:rFonts w:eastAsia="Arial" w:cs="Arial"/>
          <w:color w:val="FF0000"/>
        </w:rPr>
      </w:pPr>
    </w:p>
    <w:p w14:paraId="0039F21D" w14:textId="08829A9B" w:rsidR="00955D12" w:rsidRPr="003B3BB6" w:rsidRDefault="00955D12" w:rsidP="00D0440A">
      <w:pPr>
        <w:pStyle w:val="ListParagraph"/>
        <w:numPr>
          <w:ilvl w:val="2"/>
          <w:numId w:val="16"/>
        </w:numPr>
        <w:ind w:left="567" w:hanging="567"/>
        <w:jc w:val="lowKashida"/>
        <w:rPr>
          <w:rFonts w:eastAsia="Arial" w:cs="Arial"/>
          <w:color w:val="FF0000"/>
          <w:szCs w:val="24"/>
        </w:rPr>
      </w:pPr>
      <w:r w:rsidRPr="003B3BB6">
        <w:rPr>
          <w:rFonts w:eastAsia="Arial" w:cs="Arial"/>
          <w:color w:val="FF0000"/>
          <w:szCs w:val="24"/>
        </w:rPr>
        <w:t xml:space="preserve">For work activities considered to constitute a major accident hazard, such as those that are the subject of this Options Assessment, that proportionality is directly related to the level of risk rather than staff numbers, turnover, or balance sheet. It is a key principle of major hazard legislation since its inception several decades </w:t>
      </w:r>
      <w:proofErr w:type="gramStart"/>
      <w:r w:rsidRPr="003B3BB6">
        <w:rPr>
          <w:rFonts w:eastAsia="Arial" w:cs="Arial"/>
          <w:color w:val="FF0000"/>
          <w:szCs w:val="24"/>
        </w:rPr>
        <w:t>ago  that</w:t>
      </w:r>
      <w:proofErr w:type="gramEnd"/>
      <w:r w:rsidRPr="003B3BB6">
        <w:rPr>
          <w:rFonts w:eastAsia="Arial" w:cs="Arial"/>
          <w:color w:val="FF0000"/>
          <w:szCs w:val="24"/>
        </w:rPr>
        <w:t xml:space="preserve"> risks capable of causing serious harm to people and the environment need to be appropriately managed and the responsibility to do that lies with those who create the hazard. Doing so helps to address market failures around ‘moral hazard’ and addresses negative externalities from production.</w:t>
      </w:r>
    </w:p>
    <w:p w14:paraId="28263867" w14:textId="77777777" w:rsidR="00DB10D3" w:rsidRPr="003B3BB6" w:rsidRDefault="00DB10D3" w:rsidP="00D0440A">
      <w:pPr>
        <w:pStyle w:val="ListParagraph"/>
        <w:ind w:left="567" w:hanging="567"/>
        <w:jc w:val="lowKashida"/>
        <w:rPr>
          <w:rFonts w:eastAsia="Arial" w:cs="Arial"/>
          <w:color w:val="FF0000"/>
          <w:szCs w:val="24"/>
        </w:rPr>
      </w:pPr>
    </w:p>
    <w:p w14:paraId="1B31BA48" w14:textId="77777777" w:rsidR="00DB10D3" w:rsidRPr="003B3BB6" w:rsidRDefault="00DB10D3" w:rsidP="00D0440A">
      <w:pPr>
        <w:pStyle w:val="ListParagraph"/>
        <w:numPr>
          <w:ilvl w:val="2"/>
          <w:numId w:val="16"/>
        </w:numPr>
        <w:ind w:left="567" w:hanging="567"/>
        <w:jc w:val="lowKashida"/>
        <w:rPr>
          <w:rFonts w:eastAsia="Arial" w:cs="Arial"/>
          <w:color w:val="FF0000"/>
          <w:szCs w:val="24"/>
        </w:rPr>
      </w:pPr>
      <w:r w:rsidRPr="003B3BB6">
        <w:rPr>
          <w:rFonts w:eastAsia="Arial" w:cs="Arial"/>
          <w:color w:val="FF0000"/>
          <w:szCs w:val="24"/>
        </w:rPr>
        <w:t xml:space="preserve">The strategic case for intervention, and subsequent identification and consideration of options has been carried out based on the risks that the activities pose and the major accident hazard scenarios they </w:t>
      </w:r>
      <w:proofErr w:type="gramStart"/>
      <w:r w:rsidRPr="003B3BB6">
        <w:rPr>
          <w:rFonts w:eastAsia="Arial" w:cs="Arial"/>
          <w:color w:val="FF0000"/>
          <w:szCs w:val="24"/>
        </w:rPr>
        <w:t>are capable of creating</w:t>
      </w:r>
      <w:proofErr w:type="gramEnd"/>
      <w:r w:rsidRPr="003B3BB6">
        <w:rPr>
          <w:rFonts w:eastAsia="Arial" w:cs="Arial"/>
          <w:color w:val="FF0000"/>
          <w:szCs w:val="24"/>
        </w:rPr>
        <w:t>. This is deliberately and explicitly agnostic of the number of persons employed by a business engaged in the work activity. On this basis it is not considered appropriate to exempt small or micro businesses from any of the proposed regulatory changes.</w:t>
      </w:r>
    </w:p>
    <w:p w14:paraId="48B1544E" w14:textId="77777777" w:rsidR="005F0D34" w:rsidRPr="003B3BB6" w:rsidRDefault="005F0D34" w:rsidP="00D0440A">
      <w:pPr>
        <w:pStyle w:val="ListParagraph"/>
        <w:ind w:left="567" w:hanging="567"/>
        <w:jc w:val="lowKashida"/>
        <w:rPr>
          <w:rFonts w:eastAsia="Arial" w:cs="Arial"/>
          <w:color w:val="FF0000"/>
          <w:szCs w:val="24"/>
        </w:rPr>
      </w:pPr>
    </w:p>
    <w:p w14:paraId="52A4D5ED" w14:textId="1A7BBF10" w:rsidR="005F0D34" w:rsidRPr="003B3BB6" w:rsidRDefault="005F0D34" w:rsidP="00D0440A">
      <w:pPr>
        <w:pStyle w:val="ListParagraph"/>
        <w:numPr>
          <w:ilvl w:val="2"/>
          <w:numId w:val="16"/>
        </w:numPr>
        <w:ind w:left="567" w:hanging="567"/>
        <w:jc w:val="lowKashida"/>
        <w:rPr>
          <w:rFonts w:eastAsia="Arial" w:cs="Arial"/>
          <w:color w:val="FF0000"/>
          <w:szCs w:val="24"/>
        </w:rPr>
      </w:pPr>
      <w:r w:rsidRPr="003B3BB6">
        <w:rPr>
          <w:rFonts w:eastAsia="Arial" w:cs="Arial"/>
          <w:color w:val="FF0000"/>
          <w:szCs w:val="24"/>
        </w:rPr>
        <w:lastRenderedPageBreak/>
        <w:t>We have also considered potential mitigations based on the size of a business including extended transition periods, different requirements for different sizes of companies, tailored information and voluntary solutions.  Non-regulatory, including voluntary, solutions have been considered as part of Options 2, 3, and 7 and considered not to meet the objectives and therefore not considered appropriate.  For the same reasons described in 5.3.4, we consider that proportionality must be connected to the risk rather than the size of the business and therefore we consider mitigations based on business size are not appropriate. The preferred option would include transition periods to facilitate compliance and appropriate guidance which will be proportionate to the risks being created by these activities</w:t>
      </w:r>
      <w:r w:rsidR="00C70306" w:rsidRPr="003B3BB6">
        <w:rPr>
          <w:rFonts w:eastAsia="Arial" w:cs="Arial"/>
          <w:color w:val="FF0000"/>
          <w:szCs w:val="24"/>
        </w:rPr>
        <w:t>.</w:t>
      </w:r>
    </w:p>
    <w:p w14:paraId="59767B8D" w14:textId="77777777" w:rsidR="00C70306" w:rsidRPr="003B3BB6" w:rsidRDefault="00C70306" w:rsidP="00D0440A">
      <w:pPr>
        <w:pStyle w:val="ListParagraph"/>
        <w:ind w:left="567" w:hanging="567"/>
        <w:jc w:val="lowKashida"/>
        <w:rPr>
          <w:rFonts w:eastAsia="Arial" w:cs="Arial"/>
          <w:color w:val="FF0000"/>
          <w:szCs w:val="24"/>
        </w:rPr>
      </w:pPr>
    </w:p>
    <w:p w14:paraId="7BF0858A" w14:textId="77777777" w:rsidR="00C70306" w:rsidRPr="003B3BB6" w:rsidRDefault="00C70306" w:rsidP="00D0440A">
      <w:pPr>
        <w:pStyle w:val="ListParagraph"/>
        <w:keepNext/>
        <w:numPr>
          <w:ilvl w:val="2"/>
          <w:numId w:val="16"/>
        </w:numPr>
        <w:spacing w:after="0"/>
        <w:ind w:left="567" w:hanging="567"/>
        <w:jc w:val="lowKashida"/>
        <w:rPr>
          <w:rFonts w:eastAsia="Arial" w:cs="Arial"/>
          <w:color w:val="FF0000"/>
        </w:rPr>
      </w:pPr>
      <w:r w:rsidRPr="003B3BB6">
        <w:rPr>
          <w:rFonts w:eastAsia="Arial" w:cs="Arial"/>
          <w:color w:val="FF0000"/>
        </w:rPr>
        <w:t>As the CCUS and offshore hydrogen production industries are still in development and installations are not currently operational, it is challenging to develop an accurate picture of what the sectors may look like in the future in terms of the number of micro, small or medium enterprises that may be involved. However, the CCUS projects in DESNZ’s funding pathways and the projects that have been accepted in the Hydrogen Allocation Rounds involve a range of companies including larger companies such as BP, CF Fertilisers</w:t>
      </w:r>
      <w:r w:rsidRPr="003B3BB6">
        <w:rPr>
          <w:rStyle w:val="FootnoteReference"/>
          <w:rFonts w:eastAsia="Arial" w:cs="Arial"/>
          <w:color w:val="FF0000"/>
          <w:szCs w:val="24"/>
        </w:rPr>
        <w:footnoteReference w:id="22"/>
      </w:r>
      <w:r w:rsidRPr="003B3BB6">
        <w:rPr>
          <w:rFonts w:eastAsia="Arial" w:cs="Arial"/>
          <w:color w:val="FF0000"/>
        </w:rPr>
        <w:t>, Cadent, INEOS</w:t>
      </w:r>
      <w:r w:rsidRPr="003B3BB6">
        <w:rPr>
          <w:rStyle w:val="FootnoteReference"/>
          <w:rFonts w:eastAsia="Arial" w:cs="Arial"/>
          <w:color w:val="FF0000"/>
          <w:szCs w:val="24"/>
        </w:rPr>
        <w:footnoteReference w:id="23"/>
      </w:r>
      <w:r w:rsidRPr="003B3BB6">
        <w:rPr>
          <w:rFonts w:eastAsia="Arial" w:cs="Arial"/>
          <w:color w:val="FF0000"/>
        </w:rPr>
        <w:t>, EDF and Scottish Power</w:t>
      </w:r>
      <w:r w:rsidRPr="003B3BB6">
        <w:rPr>
          <w:rStyle w:val="FootnoteReference"/>
          <w:rFonts w:eastAsia="Arial" w:cs="Arial"/>
          <w:color w:val="FF0000"/>
          <w:szCs w:val="24"/>
        </w:rPr>
        <w:footnoteReference w:id="24"/>
      </w:r>
      <w:r w:rsidRPr="003B3BB6">
        <w:rPr>
          <w:rFonts w:eastAsia="Arial" w:cs="Arial"/>
          <w:color w:val="FF0000"/>
        </w:rPr>
        <w:t>. The nature of the technical expertise and infrastructure required to deliver these projects are likely to lend themselves towards larger companies.</w:t>
      </w:r>
      <w:r w:rsidRPr="003B3BB6">
        <w:rPr>
          <w:color w:val="FF0000"/>
        </w:rPr>
        <w:t xml:space="preserve"> </w:t>
      </w:r>
    </w:p>
    <w:p w14:paraId="2FEAB034" w14:textId="77777777" w:rsidR="00C70306" w:rsidRPr="003B3BB6" w:rsidRDefault="00C70306" w:rsidP="00D0440A">
      <w:pPr>
        <w:pStyle w:val="ListParagraph"/>
        <w:ind w:left="567" w:hanging="567"/>
        <w:jc w:val="lowKashida"/>
        <w:rPr>
          <w:rFonts w:eastAsia="Arial" w:cs="Arial"/>
          <w:color w:val="FF0000"/>
          <w:szCs w:val="24"/>
        </w:rPr>
      </w:pPr>
    </w:p>
    <w:p w14:paraId="397D99E6" w14:textId="77777777"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The likelihood of micro, small, or medium businesses incurring costs from these measures will differ between offshore installations and pipelines. Many companies operating in these sectors will be large and often multi-national. It is common for these larger companies to set up smaller companies to operate specific projects or assets, albeit with the technological and financial backing of the larger parent company. The Regulatory Policy Committee (RPC) guidance on SaMBA</w:t>
      </w:r>
      <w:r w:rsidRPr="003B3BB6">
        <w:rPr>
          <w:color w:val="FF0000"/>
          <w:vertAlign w:val="superscript"/>
        </w:rPr>
        <w:footnoteReference w:id="25"/>
      </w:r>
      <w:r w:rsidRPr="003B3BB6">
        <w:rPr>
          <w:rFonts w:eastAsia="Arial" w:cs="Arial"/>
          <w:color w:val="FF0000"/>
        </w:rPr>
        <w:t xml:space="preserve"> says: “</w:t>
      </w:r>
      <w:r w:rsidRPr="003B3BB6">
        <w:rPr>
          <w:rFonts w:eastAsia="Arial" w:cs="Arial"/>
          <w:i/>
          <w:iCs/>
          <w:color w:val="FF0000"/>
        </w:rPr>
        <w:t>In some instances, classification in terms of number of FTE employees might present difficulties and uncertainties, for example, … businesses that employ few people but have a large turnover or market share. In these situations, departments should explain the definition adopted for [small and micro businesses] SMBs and why it is appropriate. In these situations, the RPC would encourage departments to adopt an inclusive approach to defining and assessing impacts on SMBs</w:t>
      </w:r>
      <w:r w:rsidRPr="003B3BB6">
        <w:rPr>
          <w:rFonts w:eastAsia="Arial" w:cs="Arial"/>
          <w:color w:val="FF0000"/>
        </w:rPr>
        <w:t>.” Although this guidance does not explicitly describe smaller subsidiaries set up by larger parent companies, the thrust of the guidance and the focus of SaMBA on identifying and limiting barriers to the growth of small businesses and new entrants (as opposed to the operational and financial entities of large incumbent multi-nationals) would seem to support such subsidiaries as being one of the instances where simple FTE employment “</w:t>
      </w:r>
      <w:r w:rsidRPr="003B3BB6">
        <w:rPr>
          <w:rFonts w:eastAsia="Arial" w:cs="Arial"/>
          <w:i/>
          <w:iCs/>
          <w:color w:val="FF0000"/>
        </w:rPr>
        <w:t>might not always work perfectly as an indicator of small and micro businesses</w:t>
      </w:r>
      <w:r w:rsidRPr="003B3BB6">
        <w:rPr>
          <w:rFonts w:eastAsia="Arial" w:cs="Arial"/>
          <w:color w:val="FF0000"/>
        </w:rPr>
        <w:t xml:space="preserve">” in the words of the RPC guidance. Therefore, in our quantified assessment below, we have </w:t>
      </w:r>
      <w:proofErr w:type="gramStart"/>
      <w:r w:rsidRPr="003B3BB6">
        <w:rPr>
          <w:rFonts w:eastAsia="Arial" w:cs="Arial"/>
          <w:color w:val="FF0000"/>
        </w:rPr>
        <w:t>taken into account</w:t>
      </w:r>
      <w:proofErr w:type="gramEnd"/>
      <w:r w:rsidRPr="003B3BB6">
        <w:rPr>
          <w:rFonts w:eastAsia="Arial" w:cs="Arial"/>
          <w:color w:val="FF0000"/>
        </w:rPr>
        <w:t xml:space="preserve"> HSE sector intelligence on business make-up of the relevant sectors and the requirements of </w:t>
      </w:r>
      <w:r w:rsidRPr="003B3BB6">
        <w:rPr>
          <w:rFonts w:eastAsia="Arial" w:cs="Arial"/>
          <w:color w:val="FF0000"/>
        </w:rPr>
        <w:lastRenderedPageBreak/>
        <w:t xml:space="preserve">regulatory duties on capability and capacity in assessing the extent of actual micro, small and medium businesses. </w:t>
      </w:r>
    </w:p>
    <w:p w14:paraId="2285CC05" w14:textId="77777777" w:rsidR="00641388" w:rsidRPr="003B3BB6" w:rsidRDefault="00641388" w:rsidP="00D0440A">
      <w:pPr>
        <w:pStyle w:val="ListParagraph"/>
        <w:ind w:left="567" w:hanging="567"/>
        <w:rPr>
          <w:rFonts w:eastAsia="Arial" w:cs="Arial"/>
          <w:color w:val="FF0000"/>
          <w:szCs w:val="24"/>
        </w:rPr>
      </w:pPr>
    </w:p>
    <w:p w14:paraId="01F0AFE4" w14:textId="4EA74693"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To provide estimated quantification of micro, small and medium businesses, we have referred to current Inter-Departmental Business Register (IDBR)</w:t>
      </w:r>
      <w:r w:rsidRPr="003B3BB6">
        <w:rPr>
          <w:rStyle w:val="FootnoteReference"/>
          <w:rFonts w:eastAsia="Arial" w:cs="Arial"/>
          <w:color w:val="FF0000"/>
          <w:szCs w:val="24"/>
        </w:rPr>
        <w:footnoteReference w:id="26"/>
      </w:r>
      <w:r w:rsidRPr="003B3BB6">
        <w:rPr>
          <w:rFonts w:eastAsia="Arial" w:cs="Arial"/>
          <w:color w:val="FF0000"/>
        </w:rPr>
        <w:t xml:space="preserve"> data and</w:t>
      </w:r>
      <w:r w:rsidR="00755E05" w:rsidRPr="003B3BB6">
        <w:rPr>
          <w:rFonts w:eastAsia="Arial" w:cs="Arial"/>
          <w:color w:val="FF0000"/>
        </w:rPr>
        <w:t xml:space="preserve"> BEIS statistics on the UK Business Population</w:t>
      </w:r>
      <w:r w:rsidR="00755E05" w:rsidRPr="003B3BB6">
        <w:rPr>
          <w:rStyle w:val="FootnoteReference"/>
          <w:rFonts w:eastAsia="Arial" w:cs="Arial"/>
          <w:color w:val="FF0000"/>
        </w:rPr>
        <w:footnoteReference w:id="27"/>
      </w:r>
      <w:r w:rsidR="00755E05" w:rsidRPr="003B3BB6">
        <w:rPr>
          <w:rFonts w:eastAsia="Arial" w:cs="Arial"/>
          <w:color w:val="FF0000"/>
        </w:rPr>
        <w:t xml:space="preserve"> </w:t>
      </w:r>
      <w:r w:rsidRPr="003B3BB6">
        <w:rPr>
          <w:rFonts w:eastAsia="Arial" w:cs="Arial"/>
          <w:color w:val="FF0000"/>
        </w:rPr>
        <w:t xml:space="preserve">and interpreted the applicability of these general sector figures to the specific novel industries in scope of these proposals. These are necessarily rough proxies at this stage, but we will explore options to develop them during policy development and consultation. </w:t>
      </w:r>
    </w:p>
    <w:p w14:paraId="099869AA" w14:textId="77777777" w:rsidR="00641388" w:rsidRPr="003B3BB6" w:rsidRDefault="00641388" w:rsidP="00D0440A">
      <w:pPr>
        <w:pStyle w:val="ListParagraph"/>
        <w:keepNext/>
        <w:spacing w:after="0"/>
        <w:ind w:left="567" w:hanging="567"/>
        <w:jc w:val="both"/>
        <w:rPr>
          <w:rFonts w:eastAsia="Arial" w:cs="Arial"/>
          <w:color w:val="FF0000"/>
        </w:rPr>
      </w:pPr>
    </w:p>
    <w:p w14:paraId="371A5C34" w14:textId="7B97A48B"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 xml:space="preserve">For </w:t>
      </w:r>
      <w:r w:rsidRPr="003B3BB6">
        <w:rPr>
          <w:rFonts w:eastAsia="Arial" w:cs="Arial"/>
          <w:b/>
          <w:bCs/>
          <w:color w:val="FF0000"/>
        </w:rPr>
        <w:t>offshore installations</w:t>
      </w:r>
      <w:r w:rsidRPr="003B3BB6">
        <w:rPr>
          <w:rFonts w:eastAsia="Arial" w:cs="Arial"/>
          <w:color w:val="FF0000"/>
        </w:rPr>
        <w:t xml:space="preserve"> operating CCUS or hydrogen production, while there is not yet data on the make-up of these sectors, the closest analogous sectors in IDBR are the SIC 0610 extraction of crude petroleum; and SIC 0620 extraction of natural gas (see Table 1). If the operators of CCUS and hydrogen installations matched the general size make-up of these sectors, then we would expect around 70% of operators in scope to be micro, 8.7% small, 8.7% medium and 13% large. </w:t>
      </w:r>
    </w:p>
    <w:p w14:paraId="094FFF44" w14:textId="77777777" w:rsidR="00641388" w:rsidRPr="003B3BB6" w:rsidRDefault="00641388" w:rsidP="00641388">
      <w:pPr>
        <w:pStyle w:val="ListParagraph"/>
        <w:rPr>
          <w:rFonts w:eastAsia="Arial" w:cs="Arial"/>
          <w:color w:val="FF0000"/>
        </w:rPr>
      </w:pPr>
    </w:p>
    <w:p w14:paraId="5D0089BA" w14:textId="77777777" w:rsidR="00641388" w:rsidRPr="003B3BB6" w:rsidRDefault="00641388" w:rsidP="00B50096">
      <w:pPr>
        <w:pStyle w:val="ListParagraph"/>
        <w:ind w:left="567" w:firstLine="153"/>
        <w:rPr>
          <w:rFonts w:eastAsia="Arial" w:cs="Arial"/>
          <w:color w:val="FF0000"/>
          <w:szCs w:val="24"/>
        </w:rPr>
      </w:pPr>
      <w:r w:rsidRPr="003B3BB6">
        <w:rPr>
          <w:rFonts w:eastAsia="Arial" w:cs="Arial"/>
          <w:color w:val="FF0000"/>
          <w:szCs w:val="24"/>
        </w:rPr>
        <w:t>Table 1</w:t>
      </w:r>
    </w:p>
    <w:tbl>
      <w:tblPr>
        <w:tblW w:w="0" w:type="auto"/>
        <w:tblLook w:val="04A0" w:firstRow="1" w:lastRow="0" w:firstColumn="1" w:lastColumn="0" w:noHBand="0" w:noVBand="1"/>
      </w:tblPr>
      <w:tblGrid>
        <w:gridCol w:w="2805"/>
        <w:gridCol w:w="730"/>
        <w:gridCol w:w="861"/>
        <w:gridCol w:w="858"/>
        <w:gridCol w:w="857"/>
        <w:gridCol w:w="856"/>
        <w:gridCol w:w="1263"/>
        <w:gridCol w:w="717"/>
        <w:gridCol w:w="785"/>
      </w:tblGrid>
      <w:tr w:rsidR="00641388" w:rsidRPr="003B3BB6" w14:paraId="13D87678" w14:textId="77777777">
        <w:trPr>
          <w:trHeight w:val="300"/>
        </w:trPr>
        <w:tc>
          <w:tcPr>
            <w:tcW w:w="28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B07CFC" w14:textId="77777777" w:rsidR="00641388" w:rsidRPr="003B3BB6" w:rsidRDefault="00641388">
            <w:pPr>
              <w:spacing w:after="0" w:line="240" w:lineRule="auto"/>
              <w:jc w:val="center"/>
              <w:rPr>
                <w:rFonts w:eastAsia="Times New Roman" w:cs="Arial"/>
                <w:color w:val="FF0000"/>
                <w:sz w:val="22"/>
              </w:rPr>
            </w:pPr>
            <w:r w:rsidRPr="003B3BB6">
              <w:rPr>
                <w:rFonts w:eastAsia="Times New Roman" w:cs="Arial"/>
                <w:color w:val="FF0000"/>
                <w:sz w:val="22"/>
              </w:rPr>
              <w:t> </w:t>
            </w:r>
          </w:p>
        </w:tc>
        <w:tc>
          <w:tcPr>
            <w:tcW w:w="6927" w:type="dxa"/>
            <w:gridSpan w:val="8"/>
            <w:tcBorders>
              <w:top w:val="single" w:sz="8" w:space="0" w:color="auto"/>
              <w:left w:val="nil"/>
              <w:bottom w:val="single" w:sz="4" w:space="0" w:color="auto"/>
              <w:right w:val="single" w:sz="8" w:space="0" w:color="000000"/>
            </w:tcBorders>
            <w:shd w:val="clear" w:color="auto" w:fill="auto"/>
            <w:vAlign w:val="center"/>
            <w:hideMark/>
          </w:tcPr>
          <w:p w14:paraId="25B7B647"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Employment Size Band</w:t>
            </w:r>
          </w:p>
        </w:tc>
      </w:tr>
      <w:tr w:rsidR="00641388" w:rsidRPr="003B3BB6" w14:paraId="6D742338" w14:textId="77777777">
        <w:trPr>
          <w:trHeight w:val="300"/>
        </w:trPr>
        <w:tc>
          <w:tcPr>
            <w:tcW w:w="2805" w:type="dxa"/>
            <w:vMerge/>
            <w:tcBorders>
              <w:top w:val="single" w:sz="8" w:space="0" w:color="auto"/>
              <w:left w:val="single" w:sz="8" w:space="0" w:color="auto"/>
              <w:bottom w:val="single" w:sz="4" w:space="0" w:color="auto"/>
              <w:right w:val="single" w:sz="4" w:space="0" w:color="auto"/>
            </w:tcBorders>
            <w:vAlign w:val="center"/>
            <w:hideMark/>
          </w:tcPr>
          <w:p w14:paraId="7245A7AB" w14:textId="77777777" w:rsidR="00641388" w:rsidRPr="003B3BB6" w:rsidRDefault="00641388">
            <w:pPr>
              <w:spacing w:after="0" w:line="240" w:lineRule="auto"/>
              <w:rPr>
                <w:rFonts w:eastAsia="Times New Roman" w:cs="Arial"/>
                <w:color w:val="FF0000"/>
                <w:sz w:val="22"/>
              </w:rPr>
            </w:pPr>
          </w:p>
        </w:tc>
        <w:tc>
          <w:tcPr>
            <w:tcW w:w="724" w:type="dxa"/>
            <w:tcBorders>
              <w:top w:val="nil"/>
              <w:left w:val="nil"/>
              <w:bottom w:val="single" w:sz="4" w:space="0" w:color="auto"/>
              <w:right w:val="single" w:sz="4" w:space="0" w:color="auto"/>
            </w:tcBorders>
            <w:shd w:val="clear" w:color="auto" w:fill="auto"/>
            <w:vAlign w:val="center"/>
            <w:hideMark/>
          </w:tcPr>
          <w:p w14:paraId="753E2F4C"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0-4</w:t>
            </w:r>
          </w:p>
        </w:tc>
        <w:tc>
          <w:tcPr>
            <w:tcW w:w="854" w:type="dxa"/>
            <w:tcBorders>
              <w:top w:val="nil"/>
              <w:left w:val="nil"/>
              <w:bottom w:val="single" w:sz="4" w:space="0" w:color="auto"/>
              <w:right w:val="single" w:sz="4" w:space="0" w:color="auto"/>
            </w:tcBorders>
            <w:shd w:val="clear" w:color="auto" w:fill="auto"/>
            <w:vAlign w:val="center"/>
            <w:hideMark/>
          </w:tcPr>
          <w:p w14:paraId="6DA97144"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5-9</w:t>
            </w:r>
          </w:p>
        </w:tc>
        <w:tc>
          <w:tcPr>
            <w:tcW w:w="852" w:type="dxa"/>
            <w:tcBorders>
              <w:top w:val="nil"/>
              <w:left w:val="nil"/>
              <w:bottom w:val="single" w:sz="4" w:space="0" w:color="auto"/>
              <w:right w:val="single" w:sz="4" w:space="0" w:color="auto"/>
            </w:tcBorders>
            <w:shd w:val="clear" w:color="auto" w:fill="auto"/>
            <w:vAlign w:val="center"/>
            <w:hideMark/>
          </w:tcPr>
          <w:p w14:paraId="186B24E2"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10-19</w:t>
            </w:r>
          </w:p>
        </w:tc>
        <w:tc>
          <w:tcPr>
            <w:tcW w:w="851" w:type="dxa"/>
            <w:tcBorders>
              <w:top w:val="nil"/>
              <w:left w:val="nil"/>
              <w:bottom w:val="single" w:sz="4" w:space="0" w:color="auto"/>
              <w:right w:val="single" w:sz="4" w:space="0" w:color="auto"/>
            </w:tcBorders>
            <w:shd w:val="clear" w:color="auto" w:fill="auto"/>
            <w:vAlign w:val="center"/>
            <w:hideMark/>
          </w:tcPr>
          <w:p w14:paraId="6172AA39"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20-49</w:t>
            </w:r>
          </w:p>
        </w:tc>
        <w:tc>
          <w:tcPr>
            <w:tcW w:w="850" w:type="dxa"/>
            <w:tcBorders>
              <w:top w:val="nil"/>
              <w:left w:val="nil"/>
              <w:bottom w:val="single" w:sz="4" w:space="0" w:color="auto"/>
              <w:right w:val="single" w:sz="4" w:space="0" w:color="auto"/>
            </w:tcBorders>
            <w:shd w:val="clear" w:color="auto" w:fill="auto"/>
            <w:vAlign w:val="center"/>
            <w:hideMark/>
          </w:tcPr>
          <w:p w14:paraId="06F9286C"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50-99</w:t>
            </w:r>
          </w:p>
        </w:tc>
        <w:tc>
          <w:tcPr>
            <w:tcW w:w="1254" w:type="dxa"/>
            <w:tcBorders>
              <w:top w:val="nil"/>
              <w:left w:val="nil"/>
              <w:bottom w:val="single" w:sz="4" w:space="0" w:color="auto"/>
              <w:right w:val="single" w:sz="4" w:space="0" w:color="auto"/>
            </w:tcBorders>
            <w:shd w:val="clear" w:color="auto" w:fill="auto"/>
            <w:vAlign w:val="center"/>
            <w:hideMark/>
          </w:tcPr>
          <w:p w14:paraId="1F90774D"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100-249</w:t>
            </w:r>
          </w:p>
        </w:tc>
        <w:tc>
          <w:tcPr>
            <w:tcW w:w="0" w:type="auto"/>
            <w:tcBorders>
              <w:top w:val="nil"/>
              <w:left w:val="nil"/>
              <w:bottom w:val="single" w:sz="4" w:space="0" w:color="auto"/>
              <w:right w:val="single" w:sz="4" w:space="0" w:color="auto"/>
            </w:tcBorders>
            <w:shd w:val="clear" w:color="auto" w:fill="auto"/>
            <w:vAlign w:val="center"/>
            <w:hideMark/>
          </w:tcPr>
          <w:p w14:paraId="043D8411"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250+</w:t>
            </w:r>
          </w:p>
        </w:tc>
        <w:tc>
          <w:tcPr>
            <w:tcW w:w="0" w:type="auto"/>
            <w:tcBorders>
              <w:top w:val="nil"/>
              <w:left w:val="nil"/>
              <w:bottom w:val="single" w:sz="4" w:space="0" w:color="auto"/>
              <w:right w:val="single" w:sz="8" w:space="0" w:color="auto"/>
            </w:tcBorders>
            <w:shd w:val="clear" w:color="000000" w:fill="000000"/>
            <w:vAlign w:val="center"/>
            <w:hideMark/>
          </w:tcPr>
          <w:p w14:paraId="47003167" w14:textId="77777777" w:rsidR="00641388" w:rsidRPr="003B3BB6" w:rsidRDefault="00641388">
            <w:pPr>
              <w:spacing w:after="0" w:line="240" w:lineRule="auto"/>
              <w:jc w:val="center"/>
              <w:rPr>
                <w:rFonts w:eastAsia="Times New Roman" w:cs="Arial"/>
                <w:b/>
                <w:bCs/>
                <w:color w:val="FF0000"/>
                <w:sz w:val="22"/>
              </w:rPr>
            </w:pPr>
            <w:r w:rsidRPr="003B3BB6">
              <w:rPr>
                <w:rFonts w:eastAsia="Times New Roman" w:cs="Arial"/>
                <w:b/>
                <w:bCs/>
                <w:color w:val="FF0000"/>
                <w:sz w:val="22"/>
              </w:rPr>
              <w:t>Total</w:t>
            </w:r>
          </w:p>
        </w:tc>
      </w:tr>
      <w:tr w:rsidR="00641388" w:rsidRPr="003B3BB6" w14:paraId="6DA11DC4" w14:textId="77777777">
        <w:trPr>
          <w:trHeight w:val="300"/>
        </w:trPr>
        <w:tc>
          <w:tcPr>
            <w:tcW w:w="2805" w:type="dxa"/>
            <w:tcBorders>
              <w:top w:val="nil"/>
              <w:left w:val="single" w:sz="8" w:space="0" w:color="auto"/>
              <w:bottom w:val="single" w:sz="4" w:space="0" w:color="auto"/>
              <w:right w:val="single" w:sz="4" w:space="0" w:color="auto"/>
            </w:tcBorders>
            <w:shd w:val="clear" w:color="auto" w:fill="auto"/>
            <w:noWrap/>
            <w:vAlign w:val="center"/>
            <w:hideMark/>
          </w:tcPr>
          <w:p w14:paraId="1B77FD47" w14:textId="77777777" w:rsidR="00641388" w:rsidRPr="003B3BB6" w:rsidRDefault="00641388">
            <w:pPr>
              <w:spacing w:after="0" w:line="240" w:lineRule="auto"/>
              <w:rPr>
                <w:rFonts w:eastAsia="Times New Roman" w:cs="Arial"/>
                <w:color w:val="FF0000"/>
                <w:sz w:val="22"/>
              </w:rPr>
            </w:pPr>
            <w:r w:rsidRPr="003B3BB6">
              <w:rPr>
                <w:rFonts w:eastAsia="Times New Roman" w:cs="Arial"/>
                <w:color w:val="FF0000"/>
                <w:sz w:val="22"/>
              </w:rPr>
              <w:t>0610: Extraction of crude petroleum</w:t>
            </w:r>
          </w:p>
        </w:tc>
        <w:tc>
          <w:tcPr>
            <w:tcW w:w="724" w:type="dxa"/>
            <w:tcBorders>
              <w:top w:val="nil"/>
              <w:left w:val="nil"/>
              <w:bottom w:val="single" w:sz="4" w:space="0" w:color="auto"/>
              <w:right w:val="single" w:sz="4" w:space="0" w:color="auto"/>
            </w:tcBorders>
            <w:shd w:val="clear" w:color="auto" w:fill="auto"/>
            <w:noWrap/>
            <w:vAlign w:val="center"/>
            <w:hideMark/>
          </w:tcPr>
          <w:p w14:paraId="653C4FDA"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20</w:t>
            </w:r>
          </w:p>
        </w:tc>
        <w:tc>
          <w:tcPr>
            <w:tcW w:w="854" w:type="dxa"/>
            <w:tcBorders>
              <w:top w:val="nil"/>
              <w:left w:val="nil"/>
              <w:bottom w:val="single" w:sz="4" w:space="0" w:color="auto"/>
              <w:right w:val="single" w:sz="4" w:space="0" w:color="auto"/>
            </w:tcBorders>
            <w:shd w:val="clear" w:color="auto" w:fill="auto"/>
            <w:noWrap/>
            <w:vAlign w:val="center"/>
            <w:hideMark/>
          </w:tcPr>
          <w:p w14:paraId="55D04DD6"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10</w:t>
            </w:r>
          </w:p>
        </w:tc>
        <w:tc>
          <w:tcPr>
            <w:tcW w:w="852" w:type="dxa"/>
            <w:tcBorders>
              <w:top w:val="nil"/>
              <w:left w:val="nil"/>
              <w:bottom w:val="single" w:sz="4" w:space="0" w:color="auto"/>
              <w:right w:val="single" w:sz="4" w:space="0" w:color="auto"/>
            </w:tcBorders>
            <w:shd w:val="clear" w:color="auto" w:fill="auto"/>
            <w:noWrap/>
            <w:vAlign w:val="center"/>
            <w:hideMark/>
          </w:tcPr>
          <w:p w14:paraId="3346FD4F"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5</w:t>
            </w:r>
          </w:p>
        </w:tc>
        <w:tc>
          <w:tcPr>
            <w:tcW w:w="851" w:type="dxa"/>
            <w:tcBorders>
              <w:top w:val="nil"/>
              <w:left w:val="nil"/>
              <w:bottom w:val="single" w:sz="4" w:space="0" w:color="auto"/>
              <w:right w:val="single" w:sz="4" w:space="0" w:color="auto"/>
            </w:tcBorders>
            <w:shd w:val="clear" w:color="auto" w:fill="auto"/>
            <w:noWrap/>
            <w:vAlign w:val="center"/>
            <w:hideMark/>
          </w:tcPr>
          <w:p w14:paraId="45708F20"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5</w:t>
            </w:r>
          </w:p>
        </w:tc>
        <w:tc>
          <w:tcPr>
            <w:tcW w:w="850" w:type="dxa"/>
            <w:tcBorders>
              <w:top w:val="nil"/>
              <w:left w:val="nil"/>
              <w:bottom w:val="single" w:sz="4" w:space="0" w:color="auto"/>
              <w:right w:val="single" w:sz="4" w:space="0" w:color="auto"/>
            </w:tcBorders>
            <w:shd w:val="clear" w:color="auto" w:fill="auto"/>
            <w:noWrap/>
            <w:vAlign w:val="center"/>
            <w:hideMark/>
          </w:tcPr>
          <w:p w14:paraId="0A2F86C9"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1254" w:type="dxa"/>
            <w:tcBorders>
              <w:top w:val="nil"/>
              <w:left w:val="nil"/>
              <w:bottom w:val="single" w:sz="4" w:space="0" w:color="auto"/>
              <w:right w:val="single" w:sz="4" w:space="0" w:color="auto"/>
            </w:tcBorders>
            <w:shd w:val="clear" w:color="auto" w:fill="auto"/>
            <w:noWrap/>
            <w:vAlign w:val="center"/>
            <w:hideMark/>
          </w:tcPr>
          <w:p w14:paraId="5C527D6C"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14:paraId="63A27F1C"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15</w:t>
            </w:r>
          </w:p>
        </w:tc>
        <w:tc>
          <w:tcPr>
            <w:tcW w:w="0" w:type="auto"/>
            <w:tcBorders>
              <w:top w:val="nil"/>
              <w:left w:val="nil"/>
              <w:bottom w:val="single" w:sz="4" w:space="0" w:color="auto"/>
              <w:right w:val="single" w:sz="8" w:space="0" w:color="auto"/>
            </w:tcBorders>
            <w:shd w:val="clear" w:color="000000" w:fill="000000"/>
            <w:noWrap/>
            <w:vAlign w:val="center"/>
            <w:hideMark/>
          </w:tcPr>
          <w:p w14:paraId="6BF33E12" w14:textId="77777777" w:rsidR="00641388" w:rsidRPr="003B3BB6" w:rsidRDefault="00641388">
            <w:pPr>
              <w:spacing w:after="0" w:line="240" w:lineRule="auto"/>
              <w:jc w:val="right"/>
              <w:rPr>
                <w:rFonts w:eastAsia="Times New Roman" w:cs="Arial"/>
                <w:b/>
                <w:bCs/>
                <w:color w:val="FF0000"/>
                <w:sz w:val="22"/>
              </w:rPr>
            </w:pPr>
            <w:r w:rsidRPr="003B3BB6">
              <w:rPr>
                <w:rFonts w:eastAsia="Times New Roman" w:cs="Arial"/>
                <w:b/>
                <w:bCs/>
                <w:color w:val="FF0000"/>
                <w:sz w:val="22"/>
              </w:rPr>
              <w:t>65</w:t>
            </w:r>
          </w:p>
        </w:tc>
      </w:tr>
      <w:tr w:rsidR="00641388" w:rsidRPr="003B3BB6" w14:paraId="5800469C" w14:textId="77777777">
        <w:trPr>
          <w:trHeight w:val="300"/>
        </w:trPr>
        <w:tc>
          <w:tcPr>
            <w:tcW w:w="2805" w:type="dxa"/>
            <w:tcBorders>
              <w:top w:val="nil"/>
              <w:left w:val="single" w:sz="8" w:space="0" w:color="auto"/>
              <w:bottom w:val="single" w:sz="4" w:space="0" w:color="auto"/>
              <w:right w:val="single" w:sz="4" w:space="0" w:color="auto"/>
            </w:tcBorders>
            <w:shd w:val="clear" w:color="auto" w:fill="auto"/>
            <w:noWrap/>
            <w:vAlign w:val="center"/>
            <w:hideMark/>
          </w:tcPr>
          <w:p w14:paraId="58FFD154" w14:textId="77777777" w:rsidR="00641388" w:rsidRPr="003B3BB6" w:rsidRDefault="00641388">
            <w:pPr>
              <w:spacing w:after="0" w:line="240" w:lineRule="auto"/>
              <w:rPr>
                <w:rFonts w:eastAsia="Times New Roman" w:cs="Arial"/>
                <w:color w:val="FF0000"/>
                <w:sz w:val="22"/>
              </w:rPr>
            </w:pPr>
            <w:r w:rsidRPr="003B3BB6">
              <w:rPr>
                <w:rFonts w:eastAsia="Times New Roman" w:cs="Arial"/>
                <w:color w:val="FF0000"/>
                <w:sz w:val="22"/>
              </w:rPr>
              <w:t>0620: Extraction of natural gas</w:t>
            </w:r>
          </w:p>
        </w:tc>
        <w:tc>
          <w:tcPr>
            <w:tcW w:w="724" w:type="dxa"/>
            <w:tcBorders>
              <w:top w:val="nil"/>
              <w:left w:val="nil"/>
              <w:bottom w:val="single" w:sz="4" w:space="0" w:color="auto"/>
              <w:right w:val="single" w:sz="4" w:space="0" w:color="auto"/>
            </w:tcBorders>
            <w:shd w:val="clear" w:color="auto" w:fill="auto"/>
            <w:noWrap/>
            <w:vAlign w:val="center"/>
            <w:hideMark/>
          </w:tcPr>
          <w:p w14:paraId="690E575C"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45</w:t>
            </w:r>
          </w:p>
        </w:tc>
        <w:tc>
          <w:tcPr>
            <w:tcW w:w="854" w:type="dxa"/>
            <w:tcBorders>
              <w:top w:val="nil"/>
              <w:left w:val="nil"/>
              <w:bottom w:val="single" w:sz="4" w:space="0" w:color="auto"/>
              <w:right w:val="single" w:sz="4" w:space="0" w:color="auto"/>
            </w:tcBorders>
            <w:shd w:val="clear" w:color="auto" w:fill="auto"/>
            <w:noWrap/>
            <w:vAlign w:val="center"/>
            <w:hideMark/>
          </w:tcPr>
          <w:p w14:paraId="663A4813"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5</w:t>
            </w:r>
          </w:p>
        </w:tc>
        <w:tc>
          <w:tcPr>
            <w:tcW w:w="852" w:type="dxa"/>
            <w:tcBorders>
              <w:top w:val="nil"/>
              <w:left w:val="nil"/>
              <w:bottom w:val="single" w:sz="4" w:space="0" w:color="auto"/>
              <w:right w:val="single" w:sz="4" w:space="0" w:color="auto"/>
            </w:tcBorders>
            <w:shd w:val="clear" w:color="auto" w:fill="auto"/>
            <w:noWrap/>
            <w:vAlign w:val="center"/>
            <w:hideMark/>
          </w:tcPr>
          <w:p w14:paraId="64EBF111"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14:paraId="4A8C1628"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14:paraId="7B3AD578"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1254" w:type="dxa"/>
            <w:tcBorders>
              <w:top w:val="nil"/>
              <w:left w:val="nil"/>
              <w:bottom w:val="single" w:sz="4" w:space="0" w:color="auto"/>
              <w:right w:val="single" w:sz="4" w:space="0" w:color="auto"/>
            </w:tcBorders>
            <w:shd w:val="clear" w:color="auto" w:fill="auto"/>
            <w:noWrap/>
            <w:vAlign w:val="center"/>
            <w:hideMark/>
          </w:tcPr>
          <w:p w14:paraId="1B1C4DBD"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27DF09ED" w14:textId="77777777" w:rsidR="00641388" w:rsidRPr="003B3BB6" w:rsidRDefault="00641388">
            <w:pPr>
              <w:spacing w:after="0" w:line="240" w:lineRule="auto"/>
              <w:jc w:val="right"/>
              <w:rPr>
                <w:rFonts w:eastAsia="Times New Roman" w:cs="Arial"/>
                <w:color w:val="FF0000"/>
                <w:sz w:val="22"/>
              </w:rPr>
            </w:pPr>
            <w:r w:rsidRPr="003B3BB6">
              <w:rPr>
                <w:rFonts w:eastAsia="Times New Roman" w:cs="Arial"/>
                <w:color w:val="FF0000"/>
                <w:sz w:val="22"/>
              </w:rPr>
              <w:t>0</w:t>
            </w:r>
          </w:p>
        </w:tc>
        <w:tc>
          <w:tcPr>
            <w:tcW w:w="0" w:type="auto"/>
            <w:tcBorders>
              <w:top w:val="nil"/>
              <w:left w:val="nil"/>
              <w:bottom w:val="single" w:sz="4" w:space="0" w:color="auto"/>
              <w:right w:val="single" w:sz="8" w:space="0" w:color="auto"/>
            </w:tcBorders>
            <w:shd w:val="clear" w:color="000000" w:fill="000000"/>
            <w:noWrap/>
            <w:vAlign w:val="center"/>
            <w:hideMark/>
          </w:tcPr>
          <w:p w14:paraId="328CA0C4" w14:textId="77777777" w:rsidR="00641388" w:rsidRPr="003B3BB6" w:rsidRDefault="00641388">
            <w:pPr>
              <w:spacing w:after="0" w:line="240" w:lineRule="auto"/>
              <w:jc w:val="right"/>
              <w:rPr>
                <w:rFonts w:eastAsia="Times New Roman" w:cs="Arial"/>
                <w:b/>
                <w:bCs/>
                <w:color w:val="FF0000"/>
                <w:sz w:val="22"/>
              </w:rPr>
            </w:pPr>
            <w:r w:rsidRPr="003B3BB6">
              <w:rPr>
                <w:rFonts w:eastAsia="Times New Roman" w:cs="Arial"/>
                <w:b/>
                <w:bCs/>
                <w:color w:val="FF0000"/>
                <w:sz w:val="22"/>
              </w:rPr>
              <w:t>50</w:t>
            </w:r>
          </w:p>
        </w:tc>
      </w:tr>
      <w:tr w:rsidR="00641388" w:rsidRPr="003B3BB6" w14:paraId="54E1B539" w14:textId="77777777">
        <w:trPr>
          <w:trHeight w:val="300"/>
        </w:trPr>
        <w:tc>
          <w:tcPr>
            <w:tcW w:w="2805" w:type="dxa"/>
            <w:tcBorders>
              <w:top w:val="nil"/>
              <w:left w:val="single" w:sz="8" w:space="0" w:color="auto"/>
              <w:bottom w:val="single" w:sz="8" w:space="0" w:color="auto"/>
              <w:right w:val="single" w:sz="4" w:space="0" w:color="auto"/>
            </w:tcBorders>
            <w:shd w:val="clear" w:color="auto" w:fill="auto"/>
            <w:noWrap/>
            <w:vAlign w:val="center"/>
            <w:hideMark/>
          </w:tcPr>
          <w:p w14:paraId="1DA1AC7C" w14:textId="77777777" w:rsidR="00641388" w:rsidRPr="003B3BB6" w:rsidRDefault="00641388">
            <w:pPr>
              <w:spacing w:after="0" w:line="240" w:lineRule="auto"/>
              <w:rPr>
                <w:rFonts w:eastAsia="Times New Roman" w:cs="Arial"/>
                <w:color w:val="FF0000"/>
                <w:sz w:val="22"/>
              </w:rPr>
            </w:pPr>
            <w:r w:rsidRPr="003B3BB6">
              <w:rPr>
                <w:rFonts w:eastAsia="Times New Roman" w:cs="Arial"/>
                <w:color w:val="FF0000"/>
                <w:sz w:val="22"/>
              </w:rPr>
              <w:t>Size distribution micro/ small/ medium/ large</w:t>
            </w:r>
          </w:p>
        </w:tc>
        <w:tc>
          <w:tcPr>
            <w:tcW w:w="1578" w:type="dxa"/>
            <w:gridSpan w:val="2"/>
            <w:tcBorders>
              <w:top w:val="nil"/>
              <w:left w:val="nil"/>
              <w:bottom w:val="single" w:sz="8" w:space="0" w:color="auto"/>
              <w:right w:val="single" w:sz="4" w:space="0" w:color="auto"/>
            </w:tcBorders>
            <w:shd w:val="clear" w:color="auto" w:fill="auto"/>
            <w:noWrap/>
            <w:vAlign w:val="center"/>
            <w:hideMark/>
          </w:tcPr>
          <w:p w14:paraId="5E62D468" w14:textId="77777777" w:rsidR="00641388" w:rsidRPr="003B3BB6" w:rsidRDefault="00641388">
            <w:pPr>
              <w:spacing w:after="0" w:line="240" w:lineRule="auto"/>
              <w:jc w:val="center"/>
              <w:rPr>
                <w:rFonts w:eastAsia="Times New Roman" w:cs="Arial"/>
                <w:color w:val="FF0000"/>
                <w:sz w:val="22"/>
              </w:rPr>
            </w:pPr>
            <w:r w:rsidRPr="003B3BB6">
              <w:rPr>
                <w:rFonts w:eastAsia="Times New Roman" w:cs="Arial"/>
                <w:color w:val="FF0000"/>
                <w:sz w:val="22"/>
              </w:rPr>
              <w:t>70%</w:t>
            </w:r>
          </w:p>
        </w:tc>
        <w:tc>
          <w:tcPr>
            <w:tcW w:w="1703" w:type="dxa"/>
            <w:gridSpan w:val="2"/>
            <w:tcBorders>
              <w:top w:val="nil"/>
              <w:left w:val="nil"/>
              <w:bottom w:val="single" w:sz="8" w:space="0" w:color="auto"/>
              <w:right w:val="single" w:sz="4" w:space="0" w:color="auto"/>
            </w:tcBorders>
            <w:shd w:val="clear" w:color="auto" w:fill="auto"/>
            <w:noWrap/>
            <w:vAlign w:val="center"/>
            <w:hideMark/>
          </w:tcPr>
          <w:p w14:paraId="107B7EF0" w14:textId="77777777" w:rsidR="00641388" w:rsidRPr="003B3BB6" w:rsidRDefault="00641388">
            <w:pPr>
              <w:spacing w:after="0" w:line="240" w:lineRule="auto"/>
              <w:jc w:val="center"/>
              <w:rPr>
                <w:rFonts w:eastAsia="Times New Roman" w:cs="Arial"/>
                <w:color w:val="FF0000"/>
                <w:sz w:val="22"/>
              </w:rPr>
            </w:pPr>
            <w:r w:rsidRPr="003B3BB6">
              <w:rPr>
                <w:rFonts w:eastAsia="Times New Roman" w:cs="Arial"/>
                <w:color w:val="FF0000"/>
                <w:sz w:val="22"/>
              </w:rPr>
              <w:t>8.7%</w:t>
            </w:r>
          </w:p>
        </w:tc>
        <w:tc>
          <w:tcPr>
            <w:tcW w:w="2104" w:type="dxa"/>
            <w:gridSpan w:val="2"/>
            <w:tcBorders>
              <w:top w:val="nil"/>
              <w:left w:val="nil"/>
              <w:bottom w:val="single" w:sz="8" w:space="0" w:color="auto"/>
              <w:right w:val="single" w:sz="4" w:space="0" w:color="auto"/>
            </w:tcBorders>
            <w:shd w:val="clear" w:color="auto" w:fill="auto"/>
            <w:noWrap/>
            <w:vAlign w:val="center"/>
            <w:hideMark/>
          </w:tcPr>
          <w:p w14:paraId="6CC178E7" w14:textId="77777777" w:rsidR="00641388" w:rsidRPr="003B3BB6" w:rsidRDefault="00641388">
            <w:pPr>
              <w:spacing w:after="0" w:line="240" w:lineRule="auto"/>
              <w:jc w:val="center"/>
              <w:rPr>
                <w:rFonts w:eastAsia="Times New Roman" w:cs="Arial"/>
                <w:color w:val="FF0000"/>
                <w:sz w:val="22"/>
              </w:rPr>
            </w:pPr>
            <w:r w:rsidRPr="003B3BB6">
              <w:rPr>
                <w:rFonts w:eastAsia="Times New Roman" w:cs="Arial"/>
                <w:color w:val="FF0000"/>
                <w:sz w:val="22"/>
              </w:rPr>
              <w:t>8.7%</w:t>
            </w:r>
          </w:p>
        </w:tc>
        <w:tc>
          <w:tcPr>
            <w:tcW w:w="0" w:type="auto"/>
            <w:tcBorders>
              <w:top w:val="nil"/>
              <w:left w:val="nil"/>
              <w:bottom w:val="single" w:sz="8" w:space="0" w:color="auto"/>
              <w:right w:val="single" w:sz="4" w:space="0" w:color="auto"/>
            </w:tcBorders>
            <w:shd w:val="clear" w:color="auto" w:fill="auto"/>
            <w:noWrap/>
            <w:vAlign w:val="center"/>
            <w:hideMark/>
          </w:tcPr>
          <w:p w14:paraId="55482D34" w14:textId="77777777" w:rsidR="00641388" w:rsidRPr="003B3BB6" w:rsidRDefault="00641388">
            <w:pPr>
              <w:spacing w:after="0" w:line="240" w:lineRule="auto"/>
              <w:jc w:val="center"/>
              <w:rPr>
                <w:rFonts w:eastAsia="Times New Roman" w:cs="Arial"/>
                <w:color w:val="FF0000"/>
                <w:sz w:val="22"/>
              </w:rPr>
            </w:pPr>
            <w:r w:rsidRPr="003B3BB6">
              <w:rPr>
                <w:rFonts w:eastAsia="Times New Roman" w:cs="Arial"/>
                <w:color w:val="FF0000"/>
                <w:sz w:val="22"/>
              </w:rPr>
              <w:t>13%</w:t>
            </w:r>
          </w:p>
        </w:tc>
        <w:tc>
          <w:tcPr>
            <w:tcW w:w="0" w:type="auto"/>
            <w:tcBorders>
              <w:top w:val="nil"/>
              <w:left w:val="nil"/>
              <w:bottom w:val="single" w:sz="8" w:space="0" w:color="auto"/>
              <w:right w:val="single" w:sz="8" w:space="0" w:color="auto"/>
            </w:tcBorders>
            <w:shd w:val="clear" w:color="000000" w:fill="000000"/>
            <w:noWrap/>
            <w:vAlign w:val="center"/>
            <w:hideMark/>
          </w:tcPr>
          <w:p w14:paraId="4CFB0453" w14:textId="77777777" w:rsidR="00641388" w:rsidRPr="003B3BB6" w:rsidRDefault="00641388">
            <w:pPr>
              <w:spacing w:after="0" w:line="240" w:lineRule="auto"/>
              <w:jc w:val="right"/>
              <w:rPr>
                <w:rFonts w:eastAsia="Times New Roman" w:cs="Arial"/>
                <w:b/>
                <w:bCs/>
                <w:color w:val="FF0000"/>
                <w:sz w:val="22"/>
              </w:rPr>
            </w:pPr>
            <w:r w:rsidRPr="003B3BB6">
              <w:rPr>
                <w:rFonts w:eastAsia="Times New Roman" w:cs="Arial"/>
                <w:b/>
                <w:bCs/>
                <w:color w:val="FF0000"/>
                <w:sz w:val="22"/>
              </w:rPr>
              <w:t>100%</w:t>
            </w:r>
          </w:p>
        </w:tc>
      </w:tr>
    </w:tbl>
    <w:p w14:paraId="71F23A13" w14:textId="77777777" w:rsidR="00641388" w:rsidRPr="003B3BB6" w:rsidRDefault="00641388" w:rsidP="00641388">
      <w:pPr>
        <w:pStyle w:val="ListParagraph"/>
        <w:keepNext/>
        <w:spacing w:after="0"/>
        <w:ind w:left="567"/>
        <w:jc w:val="both"/>
        <w:rPr>
          <w:rFonts w:eastAsia="Arial" w:cs="Arial"/>
          <w:color w:val="FF0000"/>
        </w:rPr>
      </w:pPr>
    </w:p>
    <w:p w14:paraId="74AADA18" w14:textId="77777777" w:rsidR="00641388" w:rsidRPr="003B3BB6" w:rsidRDefault="00641388" w:rsidP="00641388">
      <w:pPr>
        <w:pStyle w:val="ListParagraph"/>
        <w:rPr>
          <w:rFonts w:eastAsia="Arial" w:cs="Arial"/>
          <w:color w:val="FF0000"/>
        </w:rPr>
      </w:pPr>
    </w:p>
    <w:p w14:paraId="597DB9D6" w14:textId="590E000F"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However, HSE inspector sector intelligence indicates that it is very unlikely that a micro or small business could operate an offshore CCUS or hydrogen installation – declared operators in this area are more likely to be consultants</w:t>
      </w:r>
      <w:r w:rsidR="00A562CA" w:rsidRPr="003B3BB6">
        <w:rPr>
          <w:rFonts w:eastAsia="Arial" w:cs="Arial"/>
          <w:color w:val="FF0000"/>
        </w:rPr>
        <w:t xml:space="preserve"> or contractors who do not manage the relevant risks and therefore incur costs themselves</w:t>
      </w:r>
      <w:r w:rsidR="005070C1" w:rsidRPr="003B3BB6">
        <w:rPr>
          <w:rFonts w:eastAsia="Arial" w:cs="Arial"/>
          <w:color w:val="FF0000"/>
        </w:rPr>
        <w:t>,</w:t>
      </w:r>
      <w:r w:rsidRPr="003B3BB6">
        <w:rPr>
          <w:rFonts w:eastAsia="Arial" w:cs="Arial"/>
          <w:color w:val="FF0000"/>
        </w:rPr>
        <w:t xml:space="preserve"> or operating smaller support</w:t>
      </w:r>
      <w:r w:rsidR="005070C1" w:rsidRPr="003B3BB6">
        <w:rPr>
          <w:rFonts w:eastAsia="Arial" w:cs="Arial"/>
          <w:color w:val="FF0000"/>
        </w:rPr>
        <w:t xml:space="preserve"> functions,</w:t>
      </w:r>
      <w:r w:rsidRPr="003B3BB6">
        <w:rPr>
          <w:rFonts w:eastAsia="Arial" w:cs="Arial"/>
          <w:color w:val="FF0000"/>
        </w:rPr>
        <w:t xml:space="preserve"> service vessels</w:t>
      </w:r>
      <w:r w:rsidR="00561580" w:rsidRPr="003B3BB6">
        <w:rPr>
          <w:rFonts w:eastAsia="Arial" w:cs="Arial"/>
          <w:color w:val="FF0000"/>
        </w:rPr>
        <w:t>.</w:t>
      </w:r>
      <w:r w:rsidRPr="003B3BB6">
        <w:rPr>
          <w:rFonts w:eastAsia="Arial" w:cs="Arial"/>
          <w:color w:val="FF0000"/>
        </w:rPr>
        <w:t xml:space="preserve"> Offshore installation operators are assessed by HSE and the Offshore Petroleum Regulator for Environment and Decommissioning (OPRED) for their technical capability and financial capacity to operate an installation safely and to mount an effective response to the safety and environmental effects of a major accident and loss of containment. Such capabilities and financial capacity are sizeable and require the resources of medium or large companies. Failure to demonstrate such capability and capacity will prevent an operator from receiving permission to operate. Hence, we assume that businesses employing 0 to 49 employees will either not be operating CCUS or hydrogen installations (e.g. they are consultants, contractors or operating smaller installations) or, if they are operating CCUS or hydrogen installations, they are likely to be part of much larger companies. </w:t>
      </w:r>
      <w:r w:rsidR="00EC3CEB" w:rsidRPr="003B3BB6">
        <w:rPr>
          <w:rFonts w:eastAsia="Arial" w:cs="Arial"/>
          <w:color w:val="FF0000"/>
        </w:rPr>
        <w:t xml:space="preserve">Economic Activity in the current </w:t>
      </w:r>
      <w:r w:rsidR="00EC3CEB" w:rsidRPr="003B3BB6">
        <w:rPr>
          <w:rFonts w:eastAsia="Arial" w:cs="Arial"/>
          <w:color w:val="FF0000"/>
        </w:rPr>
        <w:lastRenderedPageBreak/>
        <w:t>sector is predominantly large businesses – accounting for around 8</w:t>
      </w:r>
      <w:r w:rsidR="006B6037" w:rsidRPr="003B3BB6">
        <w:rPr>
          <w:rFonts w:eastAsia="Arial" w:cs="Arial"/>
          <w:color w:val="FF0000"/>
        </w:rPr>
        <w:t>1%</w:t>
      </w:r>
      <w:r w:rsidR="00EC3CEB" w:rsidRPr="003B3BB6">
        <w:rPr>
          <w:rFonts w:eastAsia="Arial" w:cs="Arial"/>
          <w:color w:val="FF0000"/>
        </w:rPr>
        <w:t xml:space="preserve"> of the industry’s turnover</w:t>
      </w:r>
      <w:r w:rsidR="00EC3CEB" w:rsidRPr="003B3BB6">
        <w:rPr>
          <w:rStyle w:val="FootnoteReference"/>
          <w:rFonts w:eastAsia="Arial" w:cs="Arial"/>
          <w:color w:val="FF0000"/>
        </w:rPr>
        <w:footnoteReference w:id="28"/>
      </w:r>
      <w:r w:rsidR="005E50D9" w:rsidRPr="003B3BB6">
        <w:rPr>
          <w:rFonts w:eastAsia="Arial" w:cs="Arial"/>
          <w:color w:val="FF0000"/>
        </w:rPr>
        <w:t>.</w:t>
      </w:r>
      <w:r w:rsidR="00EC3CEB" w:rsidRPr="003B3BB6">
        <w:rPr>
          <w:rFonts w:eastAsia="Arial" w:cs="Arial"/>
          <w:color w:val="FF0000"/>
        </w:rPr>
        <w:t xml:space="preserve"> We will test this analysis further during consultation.</w:t>
      </w:r>
      <w:r w:rsidRPr="003B3BB6">
        <w:rPr>
          <w:rFonts w:eastAsia="Arial" w:cs="Arial"/>
          <w:color w:val="FF0000"/>
        </w:rPr>
        <w:t xml:space="preserve"> </w:t>
      </w:r>
    </w:p>
    <w:p w14:paraId="474F2EF8" w14:textId="77777777" w:rsidR="00641388" w:rsidRPr="003B3BB6" w:rsidRDefault="00641388" w:rsidP="00D0440A">
      <w:pPr>
        <w:pStyle w:val="ListParagraph"/>
        <w:keepNext/>
        <w:spacing w:after="0"/>
        <w:ind w:left="567" w:hanging="567"/>
        <w:contextualSpacing w:val="0"/>
        <w:jc w:val="both"/>
        <w:rPr>
          <w:rFonts w:eastAsia="Arial" w:cs="Arial"/>
          <w:color w:val="FF0000"/>
          <w:szCs w:val="24"/>
        </w:rPr>
      </w:pPr>
    </w:p>
    <w:p w14:paraId="43C9ACF8" w14:textId="77777777"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 xml:space="preserve"> As such, our central estimate at this stage is that only medium and large businesses will be operating CCUS or hydrogen installations in scope of these proposals. Table 1 shows there are 10 medium businesses and 15 large, giving a 40% medium and 60% large distribution. This is what we take to be our central estimate. </w:t>
      </w:r>
    </w:p>
    <w:p w14:paraId="04DD8BA8" w14:textId="77777777" w:rsidR="006B6037" w:rsidRPr="003B3BB6" w:rsidRDefault="006B6037" w:rsidP="00D0440A">
      <w:pPr>
        <w:pStyle w:val="ListParagraph"/>
        <w:ind w:left="567" w:hanging="567"/>
        <w:rPr>
          <w:rFonts w:eastAsia="Arial" w:cs="Arial"/>
          <w:color w:val="FF0000"/>
        </w:rPr>
      </w:pPr>
    </w:p>
    <w:p w14:paraId="1A8F41D7" w14:textId="71216025" w:rsidR="006B6037" w:rsidRPr="003B3BB6" w:rsidRDefault="006B6037"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Whilst we believe that micro and small businesses will be out of scope of these requirements due to their not being CCUS or hydrogen installations operators, exploring this in consultation will be important, given their share of the nearest comparable currently existing industry: as set out in Table 1</w:t>
      </w:r>
      <w:r w:rsidR="00766319" w:rsidRPr="003B3BB6">
        <w:rPr>
          <w:rFonts w:eastAsia="Arial" w:cs="Arial"/>
          <w:color w:val="FF0000"/>
        </w:rPr>
        <w:t xml:space="preserve"> (</w:t>
      </w:r>
      <w:r w:rsidRPr="003B3BB6">
        <w:rPr>
          <w:rFonts w:eastAsia="Arial" w:cs="Arial"/>
          <w:color w:val="FF0000"/>
        </w:rPr>
        <w:t>around 7</w:t>
      </w:r>
      <w:r w:rsidR="004A54CA" w:rsidRPr="003B3BB6">
        <w:rPr>
          <w:rFonts w:eastAsia="Arial" w:cs="Arial"/>
          <w:color w:val="FF0000"/>
        </w:rPr>
        <w:t>0% of businesses are micro, 8.7% small, 8.7% medium and 13% large</w:t>
      </w:r>
      <w:r w:rsidR="00766319" w:rsidRPr="003B3BB6">
        <w:rPr>
          <w:rFonts w:eastAsia="Arial" w:cs="Arial"/>
          <w:color w:val="FF0000"/>
        </w:rPr>
        <w:t>)</w:t>
      </w:r>
      <w:r w:rsidR="004A54CA" w:rsidRPr="003B3BB6">
        <w:rPr>
          <w:rFonts w:eastAsia="Arial" w:cs="Arial"/>
          <w:color w:val="FF0000"/>
        </w:rPr>
        <w:t xml:space="preserve">. </w:t>
      </w:r>
      <w:proofErr w:type="gramStart"/>
      <w:r w:rsidR="004A54CA" w:rsidRPr="003B3BB6">
        <w:rPr>
          <w:rFonts w:eastAsia="Arial" w:cs="Arial"/>
          <w:color w:val="FF0000"/>
        </w:rPr>
        <w:t>Again</w:t>
      </w:r>
      <w:proofErr w:type="gramEnd"/>
      <w:r w:rsidR="004A54CA" w:rsidRPr="003B3BB6">
        <w:rPr>
          <w:rFonts w:eastAsia="Arial" w:cs="Arial"/>
          <w:color w:val="FF0000"/>
        </w:rPr>
        <w:t xml:space="preserve"> using Business Population Estimates data, micro businesses </w:t>
      </w:r>
      <w:r w:rsidR="0004070F" w:rsidRPr="003B3BB6">
        <w:rPr>
          <w:rFonts w:eastAsia="Arial" w:cs="Arial"/>
          <w:color w:val="FF0000"/>
        </w:rPr>
        <w:t>account for around 1.4% of turnover; small around 1.4% also; and medium around 9%.</w:t>
      </w:r>
    </w:p>
    <w:p w14:paraId="7BCB6230" w14:textId="77777777" w:rsidR="00641388" w:rsidRPr="003B3BB6" w:rsidRDefault="00641388" w:rsidP="00D0440A">
      <w:pPr>
        <w:keepNext/>
        <w:spacing w:after="0"/>
        <w:ind w:left="567" w:hanging="567"/>
        <w:jc w:val="both"/>
        <w:rPr>
          <w:rFonts w:eastAsia="Arial" w:cs="Arial"/>
          <w:color w:val="FF0000"/>
          <w:szCs w:val="24"/>
        </w:rPr>
      </w:pPr>
    </w:p>
    <w:p w14:paraId="4482B8FC" w14:textId="77777777" w:rsidR="00641388" w:rsidRPr="003B3BB6" w:rsidRDefault="00641388" w:rsidP="00D0440A">
      <w:pPr>
        <w:pStyle w:val="ListParagraph"/>
        <w:numPr>
          <w:ilvl w:val="2"/>
          <w:numId w:val="16"/>
        </w:numPr>
        <w:spacing w:after="0"/>
        <w:ind w:left="567" w:hanging="567"/>
        <w:jc w:val="both"/>
        <w:rPr>
          <w:rFonts w:eastAsia="Arial" w:cs="Arial"/>
          <w:color w:val="FF0000"/>
        </w:rPr>
      </w:pPr>
      <w:r w:rsidRPr="003B3BB6">
        <w:rPr>
          <w:rFonts w:eastAsia="Arial" w:cs="Arial"/>
          <w:color w:val="FF0000"/>
        </w:rPr>
        <w:t xml:space="preserve">For the </w:t>
      </w:r>
      <w:r w:rsidRPr="003B3BB6">
        <w:rPr>
          <w:rFonts w:eastAsia="Arial" w:cs="Arial"/>
          <w:b/>
          <w:bCs/>
          <w:color w:val="FF0000"/>
        </w:rPr>
        <w:t>operators of pipelines</w:t>
      </w:r>
      <w:r w:rsidRPr="003B3BB6">
        <w:rPr>
          <w:rFonts w:eastAsia="Arial" w:cs="Arial"/>
          <w:color w:val="FF0000"/>
        </w:rPr>
        <w:t>, if these, too, followed the general size distribution of the wider sector, we would expect them to look like the sector size distributions below, with hydrogen pipeline operators best analogised by SIC 3522 in Table 2; and CO</w:t>
      </w:r>
      <w:r w:rsidRPr="003B3BB6">
        <w:rPr>
          <w:rFonts w:eastAsia="Arial" w:cs="Arial"/>
          <w:color w:val="FF0000"/>
          <w:vertAlign w:val="subscript"/>
        </w:rPr>
        <w:t>2</w:t>
      </w:r>
      <w:r w:rsidRPr="003B3BB6">
        <w:rPr>
          <w:rFonts w:eastAsia="Arial" w:cs="Arial"/>
          <w:color w:val="FF0000"/>
        </w:rPr>
        <w:t xml:space="preserve"> pipeline operators best analogised by SIC 4950 in Table 3. This IDBR data indicates that hydrogen pipeline operators could be 67% micro, 17% medium and 17% large; and that CO</w:t>
      </w:r>
      <w:r w:rsidRPr="003B3BB6">
        <w:rPr>
          <w:rFonts w:eastAsia="Arial" w:cs="Arial"/>
          <w:color w:val="FF0000"/>
          <w:vertAlign w:val="subscript"/>
        </w:rPr>
        <w:t>2</w:t>
      </w:r>
      <w:r w:rsidRPr="003B3BB6">
        <w:rPr>
          <w:rFonts w:eastAsia="Arial" w:cs="Arial"/>
          <w:color w:val="FF0000"/>
        </w:rPr>
        <w:t xml:space="preserve"> pipeline operators could be 50% micro and 50% large if they followed the size distribution of the wider analogous sectors. </w:t>
      </w:r>
    </w:p>
    <w:p w14:paraId="65FF649A" w14:textId="77777777" w:rsidR="00641388" w:rsidRPr="003B3BB6" w:rsidRDefault="00641388" w:rsidP="00641388">
      <w:pPr>
        <w:pStyle w:val="ListParagraph"/>
        <w:spacing w:after="0"/>
        <w:ind w:left="360"/>
        <w:jc w:val="both"/>
        <w:rPr>
          <w:rFonts w:eastAsia="Arial" w:cs="Arial"/>
          <w:color w:val="FF0000"/>
        </w:rPr>
      </w:pPr>
    </w:p>
    <w:p w14:paraId="11C3459C" w14:textId="77777777" w:rsidR="00641388" w:rsidRPr="003B3BB6" w:rsidRDefault="00641388" w:rsidP="00B50096">
      <w:pPr>
        <w:keepNext/>
        <w:keepLines/>
        <w:spacing w:after="0"/>
        <w:ind w:firstLine="567"/>
        <w:jc w:val="both"/>
        <w:rPr>
          <w:rFonts w:eastAsia="Arial" w:cs="Arial"/>
          <w:color w:val="FF0000"/>
          <w:szCs w:val="24"/>
        </w:rPr>
      </w:pPr>
      <w:r w:rsidRPr="003B3BB6">
        <w:rPr>
          <w:rFonts w:eastAsia="Arial" w:cs="Arial"/>
          <w:color w:val="FF0000"/>
          <w:szCs w:val="24"/>
        </w:rPr>
        <w:t>Table 2</w:t>
      </w:r>
    </w:p>
    <w:tbl>
      <w:tblPr>
        <w:tblW w:w="0" w:type="auto"/>
        <w:tblLook w:val="04A0" w:firstRow="1" w:lastRow="0" w:firstColumn="1" w:lastColumn="0" w:noHBand="0" w:noVBand="1"/>
      </w:tblPr>
      <w:tblGrid>
        <w:gridCol w:w="2746"/>
        <w:gridCol w:w="758"/>
        <w:gridCol w:w="872"/>
        <w:gridCol w:w="856"/>
        <w:gridCol w:w="854"/>
        <w:gridCol w:w="850"/>
        <w:gridCol w:w="1254"/>
        <w:gridCol w:w="712"/>
        <w:gridCol w:w="830"/>
      </w:tblGrid>
      <w:tr w:rsidR="00641388" w:rsidRPr="003B3BB6" w14:paraId="074186DF" w14:textId="77777777">
        <w:trPr>
          <w:trHeight w:val="300"/>
        </w:trPr>
        <w:tc>
          <w:tcPr>
            <w:tcW w:w="2746"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B522719"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 </w:t>
            </w:r>
          </w:p>
        </w:tc>
        <w:tc>
          <w:tcPr>
            <w:tcW w:w="6986" w:type="dxa"/>
            <w:gridSpan w:val="8"/>
            <w:tcBorders>
              <w:top w:val="single" w:sz="8" w:space="0" w:color="auto"/>
              <w:left w:val="nil"/>
              <w:bottom w:val="single" w:sz="4" w:space="0" w:color="auto"/>
              <w:right w:val="single" w:sz="8" w:space="0" w:color="000000"/>
            </w:tcBorders>
            <w:shd w:val="clear" w:color="auto" w:fill="auto"/>
            <w:vAlign w:val="center"/>
            <w:hideMark/>
          </w:tcPr>
          <w:p w14:paraId="69B2B11D"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Employment Size Band</w:t>
            </w:r>
          </w:p>
        </w:tc>
      </w:tr>
      <w:tr w:rsidR="00641388" w:rsidRPr="003B3BB6" w14:paraId="5E871AD2" w14:textId="77777777">
        <w:trPr>
          <w:trHeight w:val="300"/>
        </w:trPr>
        <w:tc>
          <w:tcPr>
            <w:tcW w:w="2746" w:type="dxa"/>
            <w:vMerge/>
            <w:tcBorders>
              <w:top w:val="single" w:sz="8" w:space="0" w:color="auto"/>
              <w:left w:val="single" w:sz="8" w:space="0" w:color="auto"/>
              <w:bottom w:val="single" w:sz="4" w:space="0" w:color="000000"/>
              <w:right w:val="single" w:sz="4" w:space="0" w:color="auto"/>
            </w:tcBorders>
            <w:vAlign w:val="center"/>
            <w:hideMark/>
          </w:tcPr>
          <w:p w14:paraId="77DFCA9C" w14:textId="77777777" w:rsidR="00641388" w:rsidRPr="003B3BB6" w:rsidRDefault="00641388">
            <w:pPr>
              <w:keepNext/>
              <w:keepLines/>
              <w:spacing w:after="0" w:line="240" w:lineRule="auto"/>
              <w:rPr>
                <w:rFonts w:eastAsia="Times New Roman" w:cs="Arial"/>
                <w:color w:val="FF0000"/>
                <w:szCs w:val="24"/>
              </w:rPr>
            </w:pPr>
          </w:p>
        </w:tc>
        <w:tc>
          <w:tcPr>
            <w:tcW w:w="758" w:type="dxa"/>
            <w:tcBorders>
              <w:top w:val="nil"/>
              <w:left w:val="nil"/>
              <w:bottom w:val="single" w:sz="4" w:space="0" w:color="auto"/>
              <w:right w:val="single" w:sz="4" w:space="0" w:color="auto"/>
            </w:tcBorders>
            <w:shd w:val="clear" w:color="auto" w:fill="auto"/>
            <w:vAlign w:val="center"/>
            <w:hideMark/>
          </w:tcPr>
          <w:p w14:paraId="5F6CCC50"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0-4</w:t>
            </w:r>
          </w:p>
        </w:tc>
        <w:tc>
          <w:tcPr>
            <w:tcW w:w="872" w:type="dxa"/>
            <w:tcBorders>
              <w:top w:val="nil"/>
              <w:left w:val="nil"/>
              <w:bottom w:val="single" w:sz="4" w:space="0" w:color="auto"/>
              <w:right w:val="single" w:sz="4" w:space="0" w:color="auto"/>
            </w:tcBorders>
            <w:shd w:val="clear" w:color="auto" w:fill="auto"/>
            <w:vAlign w:val="center"/>
            <w:hideMark/>
          </w:tcPr>
          <w:p w14:paraId="6BE70CD3"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5-9</w:t>
            </w:r>
          </w:p>
        </w:tc>
        <w:tc>
          <w:tcPr>
            <w:tcW w:w="856" w:type="dxa"/>
            <w:tcBorders>
              <w:top w:val="nil"/>
              <w:left w:val="nil"/>
              <w:bottom w:val="single" w:sz="4" w:space="0" w:color="auto"/>
              <w:right w:val="single" w:sz="4" w:space="0" w:color="auto"/>
            </w:tcBorders>
            <w:shd w:val="clear" w:color="auto" w:fill="auto"/>
            <w:vAlign w:val="center"/>
            <w:hideMark/>
          </w:tcPr>
          <w:p w14:paraId="19E3ECD9"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10-19</w:t>
            </w:r>
          </w:p>
        </w:tc>
        <w:tc>
          <w:tcPr>
            <w:tcW w:w="854" w:type="dxa"/>
            <w:tcBorders>
              <w:top w:val="nil"/>
              <w:left w:val="nil"/>
              <w:bottom w:val="single" w:sz="4" w:space="0" w:color="auto"/>
              <w:right w:val="single" w:sz="4" w:space="0" w:color="auto"/>
            </w:tcBorders>
            <w:shd w:val="clear" w:color="auto" w:fill="auto"/>
            <w:vAlign w:val="center"/>
            <w:hideMark/>
          </w:tcPr>
          <w:p w14:paraId="5801ED6A"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20-49</w:t>
            </w:r>
          </w:p>
        </w:tc>
        <w:tc>
          <w:tcPr>
            <w:tcW w:w="850" w:type="dxa"/>
            <w:tcBorders>
              <w:top w:val="nil"/>
              <w:left w:val="nil"/>
              <w:bottom w:val="single" w:sz="4" w:space="0" w:color="auto"/>
              <w:right w:val="single" w:sz="4" w:space="0" w:color="auto"/>
            </w:tcBorders>
            <w:shd w:val="clear" w:color="auto" w:fill="auto"/>
            <w:vAlign w:val="center"/>
            <w:hideMark/>
          </w:tcPr>
          <w:p w14:paraId="5CFDD845"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50-99</w:t>
            </w:r>
          </w:p>
        </w:tc>
        <w:tc>
          <w:tcPr>
            <w:tcW w:w="1254" w:type="dxa"/>
            <w:tcBorders>
              <w:top w:val="nil"/>
              <w:left w:val="nil"/>
              <w:bottom w:val="single" w:sz="4" w:space="0" w:color="auto"/>
              <w:right w:val="single" w:sz="4" w:space="0" w:color="auto"/>
            </w:tcBorders>
            <w:shd w:val="clear" w:color="auto" w:fill="auto"/>
            <w:vAlign w:val="center"/>
            <w:hideMark/>
          </w:tcPr>
          <w:p w14:paraId="115EA3F7"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100-249</w:t>
            </w:r>
          </w:p>
        </w:tc>
        <w:tc>
          <w:tcPr>
            <w:tcW w:w="0" w:type="auto"/>
            <w:tcBorders>
              <w:top w:val="nil"/>
              <w:left w:val="nil"/>
              <w:bottom w:val="single" w:sz="4" w:space="0" w:color="auto"/>
              <w:right w:val="single" w:sz="4" w:space="0" w:color="auto"/>
            </w:tcBorders>
            <w:shd w:val="clear" w:color="auto" w:fill="auto"/>
            <w:vAlign w:val="center"/>
            <w:hideMark/>
          </w:tcPr>
          <w:p w14:paraId="76C4E67C"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250+</w:t>
            </w:r>
          </w:p>
        </w:tc>
        <w:tc>
          <w:tcPr>
            <w:tcW w:w="0" w:type="auto"/>
            <w:tcBorders>
              <w:top w:val="nil"/>
              <w:left w:val="nil"/>
              <w:bottom w:val="single" w:sz="4" w:space="0" w:color="auto"/>
              <w:right w:val="single" w:sz="8" w:space="0" w:color="auto"/>
            </w:tcBorders>
            <w:shd w:val="clear" w:color="auto" w:fill="auto"/>
            <w:vAlign w:val="center"/>
            <w:hideMark/>
          </w:tcPr>
          <w:p w14:paraId="7ACB263E"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Total</w:t>
            </w:r>
          </w:p>
        </w:tc>
      </w:tr>
      <w:tr w:rsidR="00641388" w:rsidRPr="003B3BB6" w14:paraId="3B136395" w14:textId="77777777" w:rsidTr="00025537">
        <w:trPr>
          <w:trHeight w:val="300"/>
        </w:trPr>
        <w:tc>
          <w:tcPr>
            <w:tcW w:w="2746" w:type="dxa"/>
            <w:tcBorders>
              <w:top w:val="nil"/>
              <w:left w:val="single" w:sz="8" w:space="0" w:color="auto"/>
              <w:bottom w:val="single" w:sz="4" w:space="0" w:color="auto"/>
              <w:right w:val="single" w:sz="4" w:space="0" w:color="auto"/>
            </w:tcBorders>
            <w:shd w:val="clear" w:color="auto" w:fill="auto"/>
            <w:noWrap/>
            <w:vAlign w:val="center"/>
            <w:hideMark/>
          </w:tcPr>
          <w:p w14:paraId="001CE5B3"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Cs w:val="24"/>
              </w:rPr>
              <w:t>3522: Distribution of gaseous fuels through mains</w:t>
            </w:r>
          </w:p>
        </w:tc>
        <w:tc>
          <w:tcPr>
            <w:tcW w:w="758" w:type="dxa"/>
            <w:tcBorders>
              <w:top w:val="nil"/>
              <w:left w:val="nil"/>
              <w:bottom w:val="single" w:sz="4" w:space="0" w:color="auto"/>
              <w:right w:val="single" w:sz="4" w:space="0" w:color="auto"/>
            </w:tcBorders>
            <w:shd w:val="clear" w:color="auto" w:fill="auto"/>
            <w:noWrap/>
            <w:vAlign w:val="center"/>
            <w:hideMark/>
          </w:tcPr>
          <w:p w14:paraId="6FA4BDB8"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15</w:t>
            </w:r>
          </w:p>
        </w:tc>
        <w:tc>
          <w:tcPr>
            <w:tcW w:w="872" w:type="dxa"/>
            <w:tcBorders>
              <w:top w:val="nil"/>
              <w:left w:val="nil"/>
              <w:bottom w:val="single" w:sz="4" w:space="0" w:color="auto"/>
              <w:right w:val="single" w:sz="4" w:space="0" w:color="auto"/>
            </w:tcBorders>
            <w:shd w:val="clear" w:color="auto" w:fill="auto"/>
            <w:noWrap/>
            <w:vAlign w:val="center"/>
            <w:hideMark/>
          </w:tcPr>
          <w:p w14:paraId="1E0F36CE"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w:t>
            </w:r>
          </w:p>
        </w:tc>
        <w:tc>
          <w:tcPr>
            <w:tcW w:w="856" w:type="dxa"/>
            <w:tcBorders>
              <w:top w:val="nil"/>
              <w:left w:val="nil"/>
              <w:bottom w:val="single" w:sz="4" w:space="0" w:color="auto"/>
              <w:right w:val="single" w:sz="4" w:space="0" w:color="auto"/>
            </w:tcBorders>
            <w:shd w:val="clear" w:color="auto" w:fill="auto"/>
            <w:noWrap/>
            <w:vAlign w:val="center"/>
            <w:hideMark/>
          </w:tcPr>
          <w:p w14:paraId="48B6418C"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14:paraId="12FD60FE"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14:paraId="1D7EAE8B"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1254" w:type="dxa"/>
            <w:tcBorders>
              <w:top w:val="nil"/>
              <w:left w:val="nil"/>
              <w:bottom w:val="single" w:sz="4" w:space="0" w:color="auto"/>
              <w:right w:val="single" w:sz="4" w:space="0" w:color="auto"/>
            </w:tcBorders>
            <w:shd w:val="clear" w:color="auto" w:fill="auto"/>
            <w:noWrap/>
            <w:vAlign w:val="center"/>
            <w:hideMark/>
          </w:tcPr>
          <w:p w14:paraId="1FFABBCD"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1036EE0"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w:t>
            </w:r>
          </w:p>
        </w:tc>
        <w:tc>
          <w:tcPr>
            <w:tcW w:w="0" w:type="auto"/>
            <w:tcBorders>
              <w:top w:val="nil"/>
              <w:left w:val="nil"/>
              <w:bottom w:val="single" w:sz="4" w:space="0" w:color="auto"/>
              <w:right w:val="single" w:sz="8" w:space="0" w:color="auto"/>
            </w:tcBorders>
            <w:shd w:val="clear" w:color="000000" w:fill="000000"/>
            <w:noWrap/>
            <w:vAlign w:val="center"/>
            <w:hideMark/>
          </w:tcPr>
          <w:p w14:paraId="2BC18B8D" w14:textId="77777777" w:rsidR="00641388" w:rsidRPr="003B3BB6" w:rsidRDefault="00641388">
            <w:pPr>
              <w:keepNext/>
              <w:keepLines/>
              <w:spacing w:after="0" w:line="240" w:lineRule="auto"/>
              <w:jc w:val="right"/>
              <w:rPr>
                <w:rFonts w:eastAsia="Times New Roman" w:cs="Arial"/>
                <w:b/>
                <w:bCs/>
                <w:color w:val="FF0000"/>
                <w:szCs w:val="24"/>
              </w:rPr>
            </w:pPr>
            <w:r w:rsidRPr="003B3BB6">
              <w:rPr>
                <w:rFonts w:eastAsia="Times New Roman" w:cs="Arial"/>
                <w:b/>
                <w:bCs/>
                <w:color w:val="FF0000"/>
                <w:szCs w:val="24"/>
              </w:rPr>
              <w:t>30</w:t>
            </w:r>
          </w:p>
        </w:tc>
      </w:tr>
      <w:tr w:rsidR="00641388" w:rsidRPr="003B3BB6" w14:paraId="5D76534E" w14:textId="77777777" w:rsidTr="00025537">
        <w:trPr>
          <w:trHeight w:val="300"/>
        </w:trPr>
        <w:tc>
          <w:tcPr>
            <w:tcW w:w="2746" w:type="dxa"/>
            <w:tcBorders>
              <w:top w:val="nil"/>
              <w:left w:val="single" w:sz="8" w:space="0" w:color="auto"/>
              <w:bottom w:val="single" w:sz="8" w:space="0" w:color="auto"/>
              <w:right w:val="single" w:sz="4" w:space="0" w:color="auto"/>
            </w:tcBorders>
            <w:shd w:val="clear" w:color="auto" w:fill="auto"/>
            <w:noWrap/>
            <w:vAlign w:val="center"/>
            <w:hideMark/>
          </w:tcPr>
          <w:p w14:paraId="71E03048"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 w:val="22"/>
              </w:rPr>
              <w:t>Size distribution micro/ small/ medium/ large</w:t>
            </w:r>
          </w:p>
        </w:tc>
        <w:tc>
          <w:tcPr>
            <w:tcW w:w="1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40A91C3D"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67%</w:t>
            </w:r>
          </w:p>
        </w:tc>
        <w:tc>
          <w:tcPr>
            <w:tcW w:w="171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2AD2129"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Nil</w:t>
            </w:r>
          </w:p>
        </w:tc>
        <w:tc>
          <w:tcPr>
            <w:tcW w:w="2104" w:type="dxa"/>
            <w:gridSpan w:val="2"/>
            <w:tcBorders>
              <w:top w:val="single" w:sz="4" w:space="0" w:color="auto"/>
              <w:left w:val="nil"/>
              <w:bottom w:val="single" w:sz="8" w:space="0" w:color="auto"/>
              <w:right w:val="single" w:sz="4" w:space="0" w:color="auto"/>
            </w:tcBorders>
            <w:shd w:val="clear" w:color="auto" w:fill="auto"/>
            <w:noWrap/>
            <w:vAlign w:val="center"/>
            <w:hideMark/>
          </w:tcPr>
          <w:p w14:paraId="36DDE2EF"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17%</w:t>
            </w:r>
          </w:p>
        </w:tc>
        <w:tc>
          <w:tcPr>
            <w:tcW w:w="0" w:type="auto"/>
            <w:tcBorders>
              <w:top w:val="nil"/>
              <w:left w:val="nil"/>
              <w:bottom w:val="single" w:sz="8" w:space="0" w:color="auto"/>
              <w:right w:val="single" w:sz="4" w:space="0" w:color="auto"/>
            </w:tcBorders>
            <w:shd w:val="clear" w:color="auto" w:fill="auto"/>
            <w:noWrap/>
            <w:vAlign w:val="center"/>
            <w:hideMark/>
          </w:tcPr>
          <w:p w14:paraId="7957B7C6"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17%</w:t>
            </w:r>
          </w:p>
        </w:tc>
        <w:tc>
          <w:tcPr>
            <w:tcW w:w="0" w:type="auto"/>
            <w:tcBorders>
              <w:top w:val="nil"/>
              <w:left w:val="nil"/>
              <w:bottom w:val="single" w:sz="8" w:space="0" w:color="auto"/>
              <w:right w:val="single" w:sz="8" w:space="0" w:color="auto"/>
            </w:tcBorders>
            <w:shd w:val="clear" w:color="000000" w:fill="000000"/>
            <w:noWrap/>
            <w:vAlign w:val="center"/>
            <w:hideMark/>
          </w:tcPr>
          <w:p w14:paraId="353215AD" w14:textId="77777777" w:rsidR="00641388" w:rsidRPr="003B3BB6" w:rsidRDefault="00641388">
            <w:pPr>
              <w:keepNext/>
              <w:keepLines/>
              <w:spacing w:after="0" w:line="240" w:lineRule="auto"/>
              <w:jc w:val="right"/>
              <w:rPr>
                <w:rFonts w:eastAsia="Times New Roman" w:cs="Arial"/>
                <w:b/>
                <w:bCs/>
                <w:color w:val="FF0000"/>
                <w:szCs w:val="24"/>
              </w:rPr>
            </w:pPr>
            <w:r w:rsidRPr="003B3BB6">
              <w:rPr>
                <w:rFonts w:eastAsia="Times New Roman" w:cs="Arial"/>
                <w:b/>
                <w:bCs/>
                <w:color w:val="FF0000"/>
                <w:szCs w:val="24"/>
              </w:rPr>
              <w:t>100%</w:t>
            </w:r>
          </w:p>
        </w:tc>
      </w:tr>
    </w:tbl>
    <w:p w14:paraId="1F66BFCA" w14:textId="77777777" w:rsidR="00641388" w:rsidRPr="003B3BB6" w:rsidRDefault="00641388" w:rsidP="00641388">
      <w:pPr>
        <w:keepNext/>
        <w:spacing w:after="0"/>
        <w:jc w:val="both"/>
        <w:rPr>
          <w:rFonts w:eastAsia="Arial" w:cs="Arial"/>
          <w:color w:val="FF0000"/>
          <w:szCs w:val="24"/>
        </w:rPr>
      </w:pPr>
      <w:r w:rsidRPr="003B3BB6">
        <w:rPr>
          <w:rFonts w:eastAsia="Arial" w:cs="Arial"/>
          <w:color w:val="FF0000"/>
          <w:szCs w:val="24"/>
        </w:rPr>
        <w:t xml:space="preserve"> </w:t>
      </w:r>
    </w:p>
    <w:p w14:paraId="43D863CD" w14:textId="77777777" w:rsidR="00641388" w:rsidRPr="003B3BB6" w:rsidRDefault="00641388" w:rsidP="00B50096">
      <w:pPr>
        <w:keepNext/>
        <w:keepLines/>
        <w:spacing w:after="0"/>
        <w:ind w:firstLine="720"/>
        <w:jc w:val="both"/>
        <w:rPr>
          <w:rFonts w:eastAsia="Arial" w:cs="Arial"/>
          <w:color w:val="FF0000"/>
          <w:szCs w:val="24"/>
        </w:rPr>
      </w:pPr>
      <w:r w:rsidRPr="003B3BB6">
        <w:rPr>
          <w:rFonts w:eastAsia="Arial" w:cs="Arial"/>
          <w:color w:val="FF0000"/>
          <w:szCs w:val="24"/>
        </w:rPr>
        <w:t>Table 3</w:t>
      </w:r>
    </w:p>
    <w:tbl>
      <w:tblPr>
        <w:tblW w:w="0" w:type="auto"/>
        <w:tblLook w:val="04A0" w:firstRow="1" w:lastRow="0" w:firstColumn="1" w:lastColumn="0" w:noHBand="0" w:noVBand="1"/>
      </w:tblPr>
      <w:tblGrid>
        <w:gridCol w:w="2826"/>
        <w:gridCol w:w="720"/>
        <w:gridCol w:w="866"/>
        <w:gridCol w:w="865"/>
        <w:gridCol w:w="866"/>
        <w:gridCol w:w="865"/>
        <w:gridCol w:w="1156"/>
        <w:gridCol w:w="724"/>
        <w:gridCol w:w="844"/>
      </w:tblGrid>
      <w:tr w:rsidR="00641388" w:rsidRPr="003B3BB6" w14:paraId="5905FE6B" w14:textId="77777777">
        <w:trPr>
          <w:trHeight w:val="300"/>
        </w:trPr>
        <w:tc>
          <w:tcPr>
            <w:tcW w:w="2826" w:type="dxa"/>
            <w:vMerge w:val="restart"/>
            <w:tcBorders>
              <w:top w:val="single" w:sz="8" w:space="0" w:color="auto"/>
              <w:left w:val="single" w:sz="8" w:space="0" w:color="auto"/>
              <w:right w:val="single" w:sz="4" w:space="0" w:color="auto"/>
            </w:tcBorders>
            <w:shd w:val="clear" w:color="auto" w:fill="auto"/>
            <w:noWrap/>
            <w:vAlign w:val="center"/>
            <w:hideMark/>
          </w:tcPr>
          <w:p w14:paraId="5F798AE2"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Cs w:val="24"/>
              </w:rPr>
              <w:t> </w:t>
            </w:r>
          </w:p>
          <w:p w14:paraId="54D1F104"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Cs w:val="24"/>
              </w:rPr>
              <w:t> </w:t>
            </w:r>
          </w:p>
        </w:tc>
        <w:tc>
          <w:tcPr>
            <w:tcW w:w="6906" w:type="dxa"/>
            <w:gridSpan w:val="8"/>
            <w:tcBorders>
              <w:top w:val="single" w:sz="8" w:space="0" w:color="auto"/>
              <w:left w:val="nil"/>
              <w:bottom w:val="single" w:sz="4" w:space="0" w:color="auto"/>
              <w:right w:val="single" w:sz="8" w:space="0" w:color="000000"/>
            </w:tcBorders>
            <w:shd w:val="clear" w:color="auto" w:fill="auto"/>
            <w:vAlign w:val="center"/>
            <w:hideMark/>
          </w:tcPr>
          <w:p w14:paraId="15181C65"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Employment Size Band</w:t>
            </w:r>
          </w:p>
        </w:tc>
      </w:tr>
      <w:tr w:rsidR="00641388" w:rsidRPr="003B3BB6" w14:paraId="3B0FE013" w14:textId="77777777">
        <w:trPr>
          <w:trHeight w:val="300"/>
        </w:trPr>
        <w:tc>
          <w:tcPr>
            <w:tcW w:w="2826" w:type="dxa"/>
            <w:vMerge/>
            <w:tcBorders>
              <w:left w:val="single" w:sz="8" w:space="0" w:color="auto"/>
              <w:bottom w:val="single" w:sz="4" w:space="0" w:color="auto"/>
              <w:right w:val="single" w:sz="4" w:space="0" w:color="auto"/>
            </w:tcBorders>
            <w:shd w:val="clear" w:color="auto" w:fill="auto"/>
            <w:noWrap/>
            <w:vAlign w:val="center"/>
            <w:hideMark/>
          </w:tcPr>
          <w:p w14:paraId="55FE43C2" w14:textId="77777777" w:rsidR="00641388" w:rsidRPr="003B3BB6" w:rsidRDefault="00641388">
            <w:pPr>
              <w:keepNext/>
              <w:keepLines/>
              <w:spacing w:after="0" w:line="240" w:lineRule="auto"/>
              <w:rPr>
                <w:rFonts w:eastAsia="Times New Roman" w:cs="Arial"/>
                <w:color w:val="FF0000"/>
                <w:szCs w:val="24"/>
              </w:rPr>
            </w:pPr>
          </w:p>
        </w:tc>
        <w:tc>
          <w:tcPr>
            <w:tcW w:w="708" w:type="dxa"/>
            <w:tcBorders>
              <w:top w:val="nil"/>
              <w:left w:val="nil"/>
              <w:bottom w:val="single" w:sz="4" w:space="0" w:color="auto"/>
              <w:right w:val="single" w:sz="4" w:space="0" w:color="auto"/>
            </w:tcBorders>
            <w:shd w:val="clear" w:color="auto" w:fill="auto"/>
            <w:vAlign w:val="center"/>
            <w:hideMark/>
          </w:tcPr>
          <w:p w14:paraId="167A511B"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0-4</w:t>
            </w:r>
          </w:p>
        </w:tc>
        <w:tc>
          <w:tcPr>
            <w:tcW w:w="851" w:type="dxa"/>
            <w:tcBorders>
              <w:top w:val="nil"/>
              <w:left w:val="nil"/>
              <w:bottom w:val="single" w:sz="4" w:space="0" w:color="auto"/>
              <w:right w:val="single" w:sz="4" w:space="0" w:color="auto"/>
            </w:tcBorders>
            <w:shd w:val="clear" w:color="auto" w:fill="auto"/>
            <w:vAlign w:val="center"/>
            <w:hideMark/>
          </w:tcPr>
          <w:p w14:paraId="6D86344D"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5-9</w:t>
            </w:r>
          </w:p>
        </w:tc>
        <w:tc>
          <w:tcPr>
            <w:tcW w:w="850" w:type="dxa"/>
            <w:tcBorders>
              <w:top w:val="nil"/>
              <w:left w:val="nil"/>
              <w:bottom w:val="single" w:sz="4" w:space="0" w:color="auto"/>
              <w:right w:val="single" w:sz="4" w:space="0" w:color="auto"/>
            </w:tcBorders>
            <w:shd w:val="clear" w:color="auto" w:fill="auto"/>
            <w:vAlign w:val="center"/>
            <w:hideMark/>
          </w:tcPr>
          <w:p w14:paraId="5091505A"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10-19</w:t>
            </w:r>
          </w:p>
        </w:tc>
        <w:tc>
          <w:tcPr>
            <w:tcW w:w="851" w:type="dxa"/>
            <w:tcBorders>
              <w:top w:val="nil"/>
              <w:left w:val="nil"/>
              <w:bottom w:val="single" w:sz="4" w:space="0" w:color="auto"/>
              <w:right w:val="single" w:sz="4" w:space="0" w:color="auto"/>
            </w:tcBorders>
            <w:shd w:val="clear" w:color="auto" w:fill="auto"/>
            <w:vAlign w:val="center"/>
            <w:hideMark/>
          </w:tcPr>
          <w:p w14:paraId="71C47990"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20-49</w:t>
            </w:r>
          </w:p>
        </w:tc>
        <w:tc>
          <w:tcPr>
            <w:tcW w:w="850" w:type="dxa"/>
            <w:tcBorders>
              <w:top w:val="nil"/>
              <w:left w:val="nil"/>
              <w:bottom w:val="single" w:sz="4" w:space="0" w:color="auto"/>
              <w:right w:val="single" w:sz="4" w:space="0" w:color="auto"/>
            </w:tcBorders>
            <w:shd w:val="clear" w:color="auto" w:fill="auto"/>
            <w:vAlign w:val="center"/>
            <w:hideMark/>
          </w:tcPr>
          <w:p w14:paraId="19788698"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50-99</w:t>
            </w:r>
          </w:p>
        </w:tc>
        <w:tc>
          <w:tcPr>
            <w:tcW w:w="1136" w:type="dxa"/>
            <w:tcBorders>
              <w:top w:val="nil"/>
              <w:left w:val="nil"/>
              <w:bottom w:val="single" w:sz="4" w:space="0" w:color="auto"/>
              <w:right w:val="single" w:sz="4" w:space="0" w:color="auto"/>
            </w:tcBorders>
            <w:shd w:val="clear" w:color="auto" w:fill="auto"/>
            <w:vAlign w:val="center"/>
            <w:hideMark/>
          </w:tcPr>
          <w:p w14:paraId="3FD043AB"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100-249</w:t>
            </w:r>
          </w:p>
        </w:tc>
        <w:tc>
          <w:tcPr>
            <w:tcW w:w="0" w:type="auto"/>
            <w:tcBorders>
              <w:top w:val="nil"/>
              <w:left w:val="nil"/>
              <w:bottom w:val="single" w:sz="4" w:space="0" w:color="auto"/>
              <w:right w:val="single" w:sz="4" w:space="0" w:color="auto"/>
            </w:tcBorders>
            <w:shd w:val="clear" w:color="auto" w:fill="auto"/>
            <w:vAlign w:val="center"/>
            <w:hideMark/>
          </w:tcPr>
          <w:p w14:paraId="33C0D7C8"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250+</w:t>
            </w:r>
          </w:p>
        </w:tc>
        <w:tc>
          <w:tcPr>
            <w:tcW w:w="0" w:type="auto"/>
            <w:tcBorders>
              <w:top w:val="nil"/>
              <w:left w:val="nil"/>
              <w:bottom w:val="single" w:sz="4" w:space="0" w:color="auto"/>
              <w:right w:val="single" w:sz="8" w:space="0" w:color="auto"/>
            </w:tcBorders>
            <w:shd w:val="clear" w:color="auto" w:fill="auto"/>
            <w:vAlign w:val="center"/>
            <w:hideMark/>
          </w:tcPr>
          <w:p w14:paraId="0822D346" w14:textId="77777777" w:rsidR="00641388" w:rsidRPr="003B3BB6" w:rsidRDefault="00641388">
            <w:pPr>
              <w:keepNext/>
              <w:keepLines/>
              <w:spacing w:after="0" w:line="240" w:lineRule="auto"/>
              <w:jc w:val="center"/>
              <w:rPr>
                <w:rFonts w:eastAsia="Times New Roman" w:cs="Arial"/>
                <w:b/>
                <w:bCs/>
                <w:color w:val="FF0000"/>
                <w:sz w:val="22"/>
              </w:rPr>
            </w:pPr>
            <w:r w:rsidRPr="003B3BB6">
              <w:rPr>
                <w:rFonts w:eastAsia="Times New Roman" w:cs="Arial"/>
                <w:b/>
                <w:bCs/>
                <w:color w:val="FF0000"/>
                <w:sz w:val="22"/>
              </w:rPr>
              <w:t>Total</w:t>
            </w:r>
          </w:p>
        </w:tc>
      </w:tr>
      <w:tr w:rsidR="00641388" w:rsidRPr="003B3BB6" w14:paraId="6BE510A9" w14:textId="77777777" w:rsidTr="00025537">
        <w:trPr>
          <w:trHeight w:val="300"/>
        </w:trPr>
        <w:tc>
          <w:tcPr>
            <w:tcW w:w="2826" w:type="dxa"/>
            <w:tcBorders>
              <w:top w:val="nil"/>
              <w:left w:val="single" w:sz="8" w:space="0" w:color="auto"/>
              <w:bottom w:val="single" w:sz="4" w:space="0" w:color="auto"/>
              <w:right w:val="single" w:sz="4" w:space="0" w:color="auto"/>
            </w:tcBorders>
            <w:shd w:val="clear" w:color="auto" w:fill="auto"/>
            <w:noWrap/>
            <w:vAlign w:val="center"/>
            <w:hideMark/>
          </w:tcPr>
          <w:p w14:paraId="6B1402DB"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Cs w:val="24"/>
              </w:rPr>
              <w:t>4950: Transport via pipeline</w:t>
            </w:r>
          </w:p>
        </w:tc>
        <w:tc>
          <w:tcPr>
            <w:tcW w:w="708" w:type="dxa"/>
            <w:tcBorders>
              <w:top w:val="nil"/>
              <w:left w:val="nil"/>
              <w:bottom w:val="single" w:sz="4" w:space="0" w:color="auto"/>
              <w:right w:val="single" w:sz="4" w:space="0" w:color="auto"/>
            </w:tcBorders>
            <w:shd w:val="clear" w:color="auto" w:fill="auto"/>
            <w:noWrap/>
            <w:vAlign w:val="center"/>
            <w:hideMark/>
          </w:tcPr>
          <w:p w14:paraId="79BE701C"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19DFD963"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14:paraId="3BA35E24"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14:paraId="055F673E"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14:paraId="38087909"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1136" w:type="dxa"/>
            <w:tcBorders>
              <w:top w:val="nil"/>
              <w:left w:val="nil"/>
              <w:bottom w:val="single" w:sz="4" w:space="0" w:color="auto"/>
              <w:right w:val="single" w:sz="4" w:space="0" w:color="auto"/>
            </w:tcBorders>
            <w:shd w:val="clear" w:color="auto" w:fill="auto"/>
            <w:noWrap/>
            <w:vAlign w:val="center"/>
            <w:hideMark/>
          </w:tcPr>
          <w:p w14:paraId="38181AFF"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0FD0827B"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w:t>
            </w:r>
          </w:p>
        </w:tc>
        <w:tc>
          <w:tcPr>
            <w:tcW w:w="0" w:type="auto"/>
            <w:tcBorders>
              <w:top w:val="nil"/>
              <w:left w:val="nil"/>
              <w:bottom w:val="single" w:sz="4" w:space="0" w:color="auto"/>
              <w:right w:val="single" w:sz="8" w:space="0" w:color="auto"/>
            </w:tcBorders>
            <w:shd w:val="clear" w:color="auto" w:fill="auto"/>
            <w:noWrap/>
            <w:vAlign w:val="center"/>
            <w:hideMark/>
          </w:tcPr>
          <w:p w14:paraId="4D2A53FE" w14:textId="77777777" w:rsidR="00641388" w:rsidRPr="003B3BB6" w:rsidRDefault="00641388">
            <w:pPr>
              <w:keepNext/>
              <w:keepLines/>
              <w:spacing w:after="0" w:line="240" w:lineRule="auto"/>
              <w:jc w:val="right"/>
              <w:rPr>
                <w:rFonts w:eastAsia="Times New Roman" w:cs="Arial"/>
                <w:b/>
                <w:bCs/>
                <w:color w:val="FF0000"/>
                <w:szCs w:val="24"/>
              </w:rPr>
            </w:pPr>
            <w:r w:rsidRPr="003B3BB6">
              <w:rPr>
                <w:rFonts w:eastAsia="Times New Roman" w:cs="Arial"/>
                <w:b/>
                <w:bCs/>
                <w:color w:val="FF0000"/>
                <w:szCs w:val="24"/>
              </w:rPr>
              <w:t>10</w:t>
            </w:r>
          </w:p>
        </w:tc>
      </w:tr>
      <w:tr w:rsidR="00641388" w:rsidRPr="003B3BB6" w14:paraId="55247A3F" w14:textId="77777777" w:rsidTr="00025537">
        <w:trPr>
          <w:trHeight w:val="300"/>
        </w:trPr>
        <w:tc>
          <w:tcPr>
            <w:tcW w:w="2826" w:type="dxa"/>
            <w:tcBorders>
              <w:top w:val="nil"/>
              <w:left w:val="single" w:sz="8" w:space="0" w:color="auto"/>
              <w:bottom w:val="single" w:sz="8" w:space="0" w:color="auto"/>
              <w:right w:val="single" w:sz="4" w:space="0" w:color="auto"/>
            </w:tcBorders>
            <w:shd w:val="clear" w:color="auto" w:fill="auto"/>
            <w:noWrap/>
            <w:vAlign w:val="center"/>
            <w:hideMark/>
          </w:tcPr>
          <w:p w14:paraId="4DBD17FC" w14:textId="77777777" w:rsidR="00641388" w:rsidRPr="003B3BB6" w:rsidRDefault="00641388">
            <w:pPr>
              <w:keepNext/>
              <w:keepLines/>
              <w:spacing w:after="0" w:line="240" w:lineRule="auto"/>
              <w:rPr>
                <w:rFonts w:eastAsia="Times New Roman" w:cs="Arial"/>
                <w:color w:val="FF0000"/>
                <w:szCs w:val="24"/>
              </w:rPr>
            </w:pPr>
            <w:r w:rsidRPr="003B3BB6">
              <w:rPr>
                <w:rFonts w:eastAsia="Times New Roman" w:cs="Arial"/>
                <w:color w:val="FF0000"/>
                <w:sz w:val="22"/>
              </w:rPr>
              <w:t>Size distribution micro/ small/ medium/ large</w:t>
            </w:r>
          </w:p>
        </w:tc>
        <w:tc>
          <w:tcPr>
            <w:tcW w:w="1559" w:type="dxa"/>
            <w:gridSpan w:val="2"/>
            <w:tcBorders>
              <w:top w:val="single" w:sz="4" w:space="0" w:color="auto"/>
              <w:left w:val="nil"/>
              <w:bottom w:val="single" w:sz="8" w:space="0" w:color="auto"/>
              <w:right w:val="single" w:sz="4" w:space="0" w:color="auto"/>
            </w:tcBorders>
            <w:shd w:val="clear" w:color="auto" w:fill="auto"/>
            <w:noWrap/>
            <w:vAlign w:val="center"/>
            <w:hideMark/>
          </w:tcPr>
          <w:p w14:paraId="6A4DEA4C"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50%</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hideMark/>
          </w:tcPr>
          <w:p w14:paraId="4A2257F3"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Nil</w:t>
            </w:r>
          </w:p>
        </w:tc>
        <w:tc>
          <w:tcPr>
            <w:tcW w:w="1986" w:type="dxa"/>
            <w:gridSpan w:val="2"/>
            <w:tcBorders>
              <w:top w:val="single" w:sz="4" w:space="0" w:color="auto"/>
              <w:left w:val="nil"/>
              <w:bottom w:val="single" w:sz="8" w:space="0" w:color="auto"/>
              <w:right w:val="single" w:sz="4" w:space="0" w:color="auto"/>
            </w:tcBorders>
            <w:shd w:val="clear" w:color="auto" w:fill="auto"/>
            <w:noWrap/>
            <w:vAlign w:val="center"/>
            <w:hideMark/>
          </w:tcPr>
          <w:p w14:paraId="2294E629" w14:textId="77777777" w:rsidR="00641388" w:rsidRPr="003B3BB6" w:rsidRDefault="00641388">
            <w:pPr>
              <w:keepNext/>
              <w:keepLines/>
              <w:spacing w:after="0" w:line="240" w:lineRule="auto"/>
              <w:jc w:val="center"/>
              <w:rPr>
                <w:rFonts w:eastAsia="Times New Roman" w:cs="Arial"/>
                <w:color w:val="FF0000"/>
                <w:szCs w:val="24"/>
              </w:rPr>
            </w:pPr>
            <w:r w:rsidRPr="003B3BB6">
              <w:rPr>
                <w:rFonts w:eastAsia="Times New Roman" w:cs="Arial"/>
                <w:color w:val="FF0000"/>
                <w:szCs w:val="24"/>
              </w:rPr>
              <w:t>Nil</w:t>
            </w:r>
          </w:p>
        </w:tc>
        <w:tc>
          <w:tcPr>
            <w:tcW w:w="0" w:type="auto"/>
            <w:tcBorders>
              <w:top w:val="nil"/>
              <w:left w:val="nil"/>
              <w:bottom w:val="single" w:sz="8" w:space="0" w:color="auto"/>
              <w:right w:val="single" w:sz="4" w:space="0" w:color="auto"/>
            </w:tcBorders>
            <w:shd w:val="clear" w:color="auto" w:fill="auto"/>
            <w:noWrap/>
            <w:vAlign w:val="center"/>
            <w:hideMark/>
          </w:tcPr>
          <w:p w14:paraId="454E876A" w14:textId="77777777" w:rsidR="00641388" w:rsidRPr="003B3BB6" w:rsidRDefault="00641388">
            <w:pPr>
              <w:keepNext/>
              <w:keepLines/>
              <w:spacing w:after="0" w:line="240" w:lineRule="auto"/>
              <w:jc w:val="right"/>
              <w:rPr>
                <w:rFonts w:eastAsia="Times New Roman" w:cs="Arial"/>
                <w:color w:val="FF0000"/>
                <w:szCs w:val="24"/>
              </w:rPr>
            </w:pPr>
            <w:r w:rsidRPr="003B3BB6">
              <w:rPr>
                <w:rFonts w:eastAsia="Times New Roman" w:cs="Arial"/>
                <w:color w:val="FF0000"/>
                <w:szCs w:val="24"/>
              </w:rPr>
              <w:t>50%</w:t>
            </w:r>
          </w:p>
        </w:tc>
        <w:tc>
          <w:tcPr>
            <w:tcW w:w="0" w:type="auto"/>
            <w:tcBorders>
              <w:top w:val="nil"/>
              <w:left w:val="nil"/>
              <w:bottom w:val="single" w:sz="8" w:space="0" w:color="auto"/>
              <w:right w:val="single" w:sz="8" w:space="0" w:color="auto"/>
            </w:tcBorders>
            <w:shd w:val="clear" w:color="000000" w:fill="000000"/>
            <w:noWrap/>
            <w:vAlign w:val="center"/>
            <w:hideMark/>
          </w:tcPr>
          <w:p w14:paraId="70ADC326" w14:textId="77777777" w:rsidR="00641388" w:rsidRPr="003B3BB6" w:rsidRDefault="00641388">
            <w:pPr>
              <w:keepNext/>
              <w:keepLines/>
              <w:spacing w:after="0" w:line="240" w:lineRule="auto"/>
              <w:jc w:val="right"/>
              <w:rPr>
                <w:rFonts w:eastAsia="Times New Roman" w:cs="Arial"/>
                <w:b/>
                <w:bCs/>
                <w:color w:val="FF0000"/>
                <w:szCs w:val="24"/>
              </w:rPr>
            </w:pPr>
            <w:r w:rsidRPr="003B3BB6">
              <w:rPr>
                <w:rFonts w:eastAsia="Times New Roman" w:cs="Arial"/>
                <w:b/>
                <w:bCs/>
                <w:color w:val="FF0000"/>
                <w:szCs w:val="24"/>
              </w:rPr>
              <w:t>100%</w:t>
            </w:r>
          </w:p>
        </w:tc>
      </w:tr>
    </w:tbl>
    <w:p w14:paraId="73729D06" w14:textId="77777777" w:rsidR="00641388" w:rsidRPr="003B3BB6" w:rsidRDefault="00641388" w:rsidP="00641388">
      <w:pPr>
        <w:pStyle w:val="ListParagraph"/>
        <w:spacing w:after="0"/>
        <w:ind w:left="360"/>
        <w:jc w:val="both"/>
        <w:rPr>
          <w:rFonts w:eastAsia="Arial" w:cs="Arial"/>
          <w:color w:val="FF0000"/>
        </w:rPr>
      </w:pPr>
    </w:p>
    <w:p w14:paraId="0EFEDCBA" w14:textId="77777777" w:rsidR="00641388" w:rsidRPr="003B3BB6" w:rsidRDefault="00641388" w:rsidP="00641388">
      <w:pPr>
        <w:pStyle w:val="ListParagraph"/>
        <w:spacing w:after="0"/>
        <w:ind w:left="360"/>
        <w:jc w:val="both"/>
        <w:rPr>
          <w:rFonts w:eastAsia="Arial" w:cs="Arial"/>
          <w:color w:val="FF0000"/>
        </w:rPr>
      </w:pPr>
    </w:p>
    <w:p w14:paraId="626694A0" w14:textId="77777777" w:rsidR="00641388" w:rsidRPr="003B3BB6" w:rsidRDefault="00641388" w:rsidP="00D0440A">
      <w:pPr>
        <w:pStyle w:val="ListParagraph"/>
        <w:numPr>
          <w:ilvl w:val="2"/>
          <w:numId w:val="16"/>
        </w:numPr>
        <w:spacing w:after="0"/>
        <w:ind w:left="567" w:hanging="567"/>
        <w:jc w:val="both"/>
        <w:rPr>
          <w:rFonts w:eastAsia="Arial" w:cs="Arial"/>
          <w:color w:val="FF0000"/>
        </w:rPr>
      </w:pPr>
      <w:r w:rsidRPr="003B3BB6">
        <w:rPr>
          <w:rFonts w:eastAsia="Arial" w:cs="Arial"/>
          <w:color w:val="FF0000"/>
        </w:rPr>
        <w:t>However, as with the offshore installation operators, sector intelligence from HSE inspectors indicates that many of the micro and small businesses will be consultants and smaller subsidiaries operated by larger companies – that actual pipeline operators are likely to be medium or large only. Again, we take as our central case that CO</w:t>
      </w:r>
      <w:r w:rsidRPr="003B3BB6">
        <w:rPr>
          <w:rFonts w:eastAsia="Arial" w:cs="Arial"/>
          <w:color w:val="FF0000"/>
          <w:vertAlign w:val="subscript"/>
        </w:rPr>
        <w:t>2</w:t>
      </w:r>
      <w:r w:rsidRPr="003B3BB6">
        <w:rPr>
          <w:rFonts w:eastAsia="Arial" w:cs="Arial"/>
          <w:color w:val="FF0000"/>
        </w:rPr>
        <w:t xml:space="preserve"> and hydrogen pipeline operators will be medium and large businesses.</w:t>
      </w:r>
    </w:p>
    <w:p w14:paraId="14609BCA" w14:textId="77777777" w:rsidR="00641388" w:rsidRPr="003B3BB6" w:rsidRDefault="00641388" w:rsidP="00D0440A">
      <w:pPr>
        <w:pStyle w:val="ListParagraph"/>
        <w:spacing w:after="0"/>
        <w:ind w:left="567" w:hanging="567"/>
        <w:jc w:val="both"/>
        <w:rPr>
          <w:rFonts w:eastAsia="Arial" w:cs="Arial"/>
          <w:color w:val="FF0000"/>
        </w:rPr>
      </w:pPr>
    </w:p>
    <w:p w14:paraId="594549CE" w14:textId="77777777" w:rsidR="00641388" w:rsidRPr="003B3BB6" w:rsidRDefault="00641388" w:rsidP="00D0440A">
      <w:pPr>
        <w:pStyle w:val="ListParagraph"/>
        <w:numPr>
          <w:ilvl w:val="2"/>
          <w:numId w:val="16"/>
        </w:numPr>
        <w:spacing w:after="0"/>
        <w:ind w:left="567" w:hanging="567"/>
        <w:jc w:val="both"/>
        <w:rPr>
          <w:rFonts w:eastAsia="Arial" w:cs="Arial"/>
          <w:color w:val="FF0000"/>
        </w:rPr>
      </w:pPr>
      <w:r w:rsidRPr="003B3BB6">
        <w:rPr>
          <w:rFonts w:eastAsia="Arial" w:cs="Arial"/>
          <w:color w:val="FF0000"/>
        </w:rPr>
        <w:t>Table 2 shows five medium and five large businesses, which could indicate about a 50% medium and 50% large split for hydrogen pipeline operators. Table 3 shows no medium and five large businesses, which could indicate all will be large. We will explore in consultation data with industry to develop these estimates further, particularly given the limited data in IDBR for these two sectors.</w:t>
      </w:r>
    </w:p>
    <w:p w14:paraId="40EA2823" w14:textId="77777777" w:rsidR="00D04298" w:rsidRPr="003B3BB6" w:rsidRDefault="00D04298" w:rsidP="00D0440A">
      <w:pPr>
        <w:pStyle w:val="ListParagraph"/>
        <w:ind w:left="567" w:hanging="567"/>
        <w:rPr>
          <w:rFonts w:eastAsia="Arial" w:cs="Arial"/>
          <w:color w:val="FF0000"/>
        </w:rPr>
      </w:pPr>
    </w:p>
    <w:p w14:paraId="6DD2894C" w14:textId="7572B1B9" w:rsidR="00D04298" w:rsidRPr="003B3BB6" w:rsidRDefault="00D04298" w:rsidP="00D0440A">
      <w:pPr>
        <w:pStyle w:val="ListParagraph"/>
        <w:numPr>
          <w:ilvl w:val="2"/>
          <w:numId w:val="16"/>
        </w:numPr>
        <w:spacing w:after="0"/>
        <w:ind w:left="567" w:hanging="567"/>
        <w:jc w:val="both"/>
        <w:rPr>
          <w:rFonts w:eastAsia="Arial" w:cs="Arial"/>
          <w:color w:val="FF0000"/>
        </w:rPr>
      </w:pPr>
      <w:r w:rsidRPr="003B3BB6">
        <w:rPr>
          <w:rFonts w:eastAsia="Arial" w:cs="Arial"/>
          <w:color w:val="FF0000"/>
        </w:rPr>
        <w:t>Whilst we believe that micro and small businesses will be out of scope of these requirements due to their not being CCUS or hydrogen pipeline operators, exploring this in consultation will be important, given their share of the nearest comparable industry: hydrogen as set out</w:t>
      </w:r>
      <w:r w:rsidR="00766319" w:rsidRPr="003B3BB6">
        <w:rPr>
          <w:rFonts w:eastAsia="Arial" w:cs="Arial"/>
          <w:color w:val="FF0000"/>
        </w:rPr>
        <w:t xml:space="preserve"> in Table 2 (with 67% micro, 17% medium and 17% large): and CO</w:t>
      </w:r>
      <w:r w:rsidR="00766319" w:rsidRPr="003B3BB6">
        <w:rPr>
          <w:rFonts w:eastAsia="Arial" w:cs="Arial"/>
          <w:color w:val="FF0000"/>
          <w:vertAlign w:val="subscript"/>
        </w:rPr>
        <w:t>2</w:t>
      </w:r>
      <w:r w:rsidR="00766319" w:rsidRPr="003B3BB6">
        <w:rPr>
          <w:rFonts w:eastAsia="Arial" w:cs="Arial"/>
          <w:color w:val="FF0000"/>
        </w:rPr>
        <w:t xml:space="preserve"> pipeline operators as set out in Table 3 (with 50% micro and 50% large). Turnover data by size for pipeline operators is not available.</w:t>
      </w:r>
    </w:p>
    <w:p w14:paraId="14BFA82C" w14:textId="77777777" w:rsidR="00641388" w:rsidRPr="003B3BB6" w:rsidRDefault="00641388" w:rsidP="00D0440A">
      <w:pPr>
        <w:pStyle w:val="ListParagraph"/>
        <w:keepNext/>
        <w:spacing w:after="0"/>
        <w:ind w:left="567" w:hanging="567"/>
        <w:contextualSpacing w:val="0"/>
        <w:jc w:val="both"/>
        <w:rPr>
          <w:rFonts w:eastAsia="Arial" w:cs="Arial"/>
          <w:color w:val="FF0000"/>
          <w:szCs w:val="24"/>
        </w:rPr>
      </w:pPr>
    </w:p>
    <w:p w14:paraId="17A35CE7" w14:textId="77777777" w:rsidR="00641388" w:rsidRPr="003B3BB6" w:rsidRDefault="00641388" w:rsidP="00D0440A">
      <w:pPr>
        <w:pStyle w:val="ListParagraph"/>
        <w:keepNext/>
        <w:numPr>
          <w:ilvl w:val="2"/>
          <w:numId w:val="16"/>
        </w:numPr>
        <w:spacing w:after="0"/>
        <w:ind w:left="567" w:hanging="567"/>
        <w:jc w:val="both"/>
        <w:rPr>
          <w:rFonts w:eastAsia="Arial" w:cs="Arial"/>
          <w:color w:val="FF0000"/>
        </w:rPr>
      </w:pPr>
      <w:r w:rsidRPr="003B3BB6">
        <w:rPr>
          <w:rFonts w:eastAsia="Arial" w:cs="Arial"/>
          <w:color w:val="FF0000"/>
        </w:rPr>
        <w:t xml:space="preserve">Although HSE considers that the efforts and costs of achieving compliance should be proportionate to the risk created, the SaMBA asks whether they are proportionate to employment size – does it cost smaller businesses less than larger ones? We do not currently have quantified data on whether compliance costs are likely to be disproportionate for medium businesses (or micro or small ones, should they enter the sector) versus large ones. There are arguments to think that smaller operators would incur lower costs, as their operations could be less complicated (thereby requiring fewer people to operate) and they will have fewer staff on site exposed to risk and in need of potential evacuation. On the other hand, automation and remote management technology is decoupling the complexity of an operation from the number of people on-site needed to deliver it; and economies of scale and the natural monopoly characteristics of pipeline operations present opportunities for larger companies to reduce their costs relative to smaller ones. In short, this is an area for further development through the consultation process. We will explore the quantified data on costs and business size that we will be collecting via our planned consultation to develop this assessment further and refine for the final stage impact assessment. For the present, we are not able to quantify any difference in costs by business size and will assume them constant in this options assessment. </w:t>
      </w:r>
    </w:p>
    <w:p w14:paraId="00912783" w14:textId="77777777" w:rsidR="00C73C20" w:rsidRPr="00EF42C8" w:rsidRDefault="00C73C20" w:rsidP="00396EFA">
      <w:pPr>
        <w:pStyle w:val="ListParagraph"/>
        <w:keepNext/>
        <w:spacing w:after="0"/>
        <w:ind w:left="567"/>
        <w:contextualSpacing w:val="0"/>
        <w:jc w:val="both"/>
        <w:rPr>
          <w:rFonts w:eastAsia="Arial" w:cs="Arial"/>
          <w:color w:val="000000" w:themeColor="text1"/>
          <w:szCs w:val="24"/>
        </w:rPr>
      </w:pPr>
    </w:p>
    <w:p w14:paraId="3CCB7C6C" w14:textId="2026FB41" w:rsidR="00C73C20" w:rsidRDefault="00C73C20" w:rsidP="00D0440A">
      <w:pPr>
        <w:pStyle w:val="ListParagraph"/>
        <w:numPr>
          <w:ilvl w:val="0"/>
          <w:numId w:val="6"/>
        </w:numPr>
        <w:spacing w:before="160"/>
        <w:ind w:left="567" w:hanging="567"/>
        <w:rPr>
          <w:b/>
          <w:sz w:val="36"/>
          <w:szCs w:val="36"/>
        </w:rPr>
      </w:pPr>
      <w:r w:rsidRPr="003C5E10">
        <w:rPr>
          <w:b/>
          <w:sz w:val="36"/>
          <w:szCs w:val="36"/>
        </w:rPr>
        <w:t xml:space="preserve">Description of shortlisted policy options carried forward </w:t>
      </w:r>
    </w:p>
    <w:p w14:paraId="3B5BE387" w14:textId="77777777" w:rsidR="00CE7D2D" w:rsidRPr="00D0440A" w:rsidRDefault="00CE7D2D" w:rsidP="003B3BB6">
      <w:pPr>
        <w:pStyle w:val="ListParagraph"/>
        <w:spacing w:before="160" w:after="0"/>
        <w:ind w:left="357"/>
        <w:contextualSpacing w:val="0"/>
        <w:rPr>
          <w:b/>
          <w:szCs w:val="24"/>
        </w:rPr>
      </w:pPr>
    </w:p>
    <w:p w14:paraId="5C04EBF5" w14:textId="37E76798" w:rsidR="00C73C20" w:rsidRPr="003B3BB6" w:rsidRDefault="00C3352F" w:rsidP="037A3CC8">
      <w:pPr>
        <w:pStyle w:val="ListParagraph"/>
        <w:keepNext/>
        <w:numPr>
          <w:ilvl w:val="1"/>
          <w:numId w:val="6"/>
        </w:numPr>
        <w:spacing w:after="0"/>
        <w:ind w:left="567" w:hanging="567"/>
        <w:jc w:val="both"/>
        <w:rPr>
          <w:rFonts w:eastAsia="Arial" w:cs="Arial"/>
          <w:b/>
          <w:bCs/>
          <w:color w:val="FF0000"/>
          <w:sz w:val="20"/>
          <w:szCs w:val="20"/>
        </w:rPr>
      </w:pPr>
      <w:r>
        <w:t xml:space="preserve">Options 5, 6 and 7 from the </w:t>
      </w:r>
      <w:proofErr w:type="gramStart"/>
      <w:r>
        <w:t>long-list</w:t>
      </w:r>
      <w:proofErr w:type="gramEnd"/>
      <w:r>
        <w:t xml:space="preserve"> above have been carried forward for further consideration in this section</w:t>
      </w:r>
      <w:r w:rsidR="002D1A71">
        <w:t xml:space="preserve">. </w:t>
      </w:r>
      <w:r w:rsidR="002D1A71" w:rsidRPr="003B3BB6">
        <w:rPr>
          <w:color w:val="FF0000"/>
        </w:rPr>
        <w:t xml:space="preserve">Option 1, Do Nothing, has not been carried forward to the short-list because it does not meet the defined objectives, however baseline information </w:t>
      </w:r>
      <w:r w:rsidR="002D1A71" w:rsidRPr="003B3BB6">
        <w:rPr>
          <w:color w:val="FF0000"/>
        </w:rPr>
        <w:lastRenderedPageBreak/>
        <w:t>on the regulatory position for these sectors without any changes have been considered as a baseline when evaluating short-listed and the preferred option.</w:t>
      </w:r>
    </w:p>
    <w:p w14:paraId="221A63D3" w14:textId="77777777" w:rsidR="006614AE" w:rsidRDefault="006614AE" w:rsidP="00B13752">
      <w:pPr>
        <w:keepNext/>
        <w:spacing w:after="0"/>
        <w:jc w:val="both"/>
        <w:rPr>
          <w:rFonts w:eastAsia="Arial" w:cs="Arial"/>
          <w:b/>
          <w:color w:val="000000" w:themeColor="text1"/>
          <w:sz w:val="20"/>
          <w:szCs w:val="20"/>
        </w:rPr>
      </w:pPr>
    </w:p>
    <w:p w14:paraId="1246D657" w14:textId="6F75F845" w:rsidR="006614AE" w:rsidRDefault="006614AE" w:rsidP="005B6D8E">
      <w:pPr>
        <w:keepNext/>
        <w:jc w:val="both"/>
        <w:rPr>
          <w:b/>
          <w:bCs/>
          <w:i/>
          <w:iCs/>
        </w:rPr>
      </w:pPr>
      <w:r w:rsidRPr="002B249E">
        <w:rPr>
          <w:b/>
          <w:bCs/>
          <w:i/>
          <w:iCs/>
        </w:rPr>
        <w:t>Option 5 - Regulatory Option / Partially regulate as major hazard</w:t>
      </w:r>
    </w:p>
    <w:p w14:paraId="7A67E78E" w14:textId="49EDEFD6" w:rsidR="00C3352F" w:rsidRPr="00387C11" w:rsidRDefault="006614AE" w:rsidP="00CC1B38">
      <w:pPr>
        <w:pStyle w:val="ListParagraph"/>
        <w:keepNext/>
        <w:numPr>
          <w:ilvl w:val="1"/>
          <w:numId w:val="6"/>
        </w:numPr>
        <w:spacing w:after="0"/>
        <w:ind w:left="567" w:hanging="570"/>
        <w:contextualSpacing w:val="0"/>
        <w:jc w:val="both"/>
        <w:rPr>
          <w:rFonts w:eastAsia="Arial" w:cs="Arial"/>
          <w:b/>
          <w:color w:val="000000" w:themeColor="text1"/>
          <w:sz w:val="20"/>
          <w:szCs w:val="20"/>
        </w:rPr>
      </w:pPr>
      <w:r>
        <w:t xml:space="preserve">As detailed in Section 2, HSE has identified that offshore major hazard regulation applies to some aspects of the CCUS process offshore but not others, largely </w:t>
      </w:r>
      <w:r w:rsidR="00447542">
        <w:t>because of</w:t>
      </w:r>
      <w:r>
        <w:t xml:space="preserve"> how definitions in the regulations have been drafted.</w:t>
      </w:r>
    </w:p>
    <w:p w14:paraId="5380CFE2" w14:textId="77777777" w:rsidR="0076021F" w:rsidRPr="00387C11" w:rsidRDefault="0076021F" w:rsidP="005B6D8E">
      <w:pPr>
        <w:pStyle w:val="ListParagraph"/>
        <w:keepNext/>
        <w:spacing w:after="0"/>
        <w:ind w:left="567" w:hanging="570"/>
        <w:contextualSpacing w:val="0"/>
        <w:jc w:val="both"/>
        <w:rPr>
          <w:rFonts w:eastAsia="Arial" w:cs="Arial"/>
          <w:b/>
          <w:color w:val="000000" w:themeColor="text1"/>
          <w:sz w:val="20"/>
          <w:szCs w:val="20"/>
        </w:rPr>
      </w:pPr>
    </w:p>
    <w:p w14:paraId="0C42A04C" w14:textId="702F70CD" w:rsidR="00387C11" w:rsidRPr="001C43A2" w:rsidRDefault="001C43A2" w:rsidP="00CC1B38">
      <w:pPr>
        <w:pStyle w:val="ListParagraph"/>
        <w:keepNext/>
        <w:numPr>
          <w:ilvl w:val="1"/>
          <w:numId w:val="6"/>
        </w:numPr>
        <w:spacing w:after="0"/>
        <w:ind w:left="567" w:hanging="570"/>
        <w:contextualSpacing w:val="0"/>
        <w:jc w:val="both"/>
        <w:rPr>
          <w:rFonts w:eastAsia="Arial" w:cs="Arial"/>
          <w:b/>
          <w:color w:val="000000" w:themeColor="text1"/>
          <w:sz w:val="20"/>
          <w:szCs w:val="20"/>
        </w:rPr>
      </w:pPr>
      <w:r>
        <w:t>This option would amend regulations to ensure that major hazard regulation applies clearly and consistently to CCUS operations offshore and transport of CO</w:t>
      </w:r>
      <w:r w:rsidRPr="002B249E">
        <w:rPr>
          <w:vertAlign w:val="subscript"/>
        </w:rPr>
        <w:t>2</w:t>
      </w:r>
      <w:r>
        <w:t xml:space="preserve"> by pipeline but would not address </w:t>
      </w:r>
      <w:r w:rsidR="008D3974">
        <w:t xml:space="preserve">any regulatory inconsistencies concerning offshore hydrogen production.  </w:t>
      </w:r>
      <w:r>
        <w:t>This would also reflect the fact that CCUS projects are more advanced in terms of development and deployment than offshore hydrogen production.</w:t>
      </w:r>
    </w:p>
    <w:p w14:paraId="0309A61D" w14:textId="77777777" w:rsidR="0076021F" w:rsidRPr="0076021F" w:rsidRDefault="0076021F" w:rsidP="005B6D8E">
      <w:pPr>
        <w:pStyle w:val="ListParagraph"/>
        <w:keepNext/>
        <w:spacing w:after="0"/>
        <w:ind w:left="567" w:hanging="570"/>
        <w:contextualSpacing w:val="0"/>
        <w:jc w:val="both"/>
        <w:rPr>
          <w:rFonts w:eastAsia="Arial" w:cs="Arial"/>
          <w:b/>
          <w:color w:val="000000" w:themeColor="text1"/>
          <w:sz w:val="20"/>
          <w:szCs w:val="20"/>
        </w:rPr>
      </w:pPr>
    </w:p>
    <w:p w14:paraId="153E11CD" w14:textId="0FB3E29F" w:rsidR="001C43A2" w:rsidRPr="00956714" w:rsidRDefault="001C43A2" w:rsidP="00CC1B38">
      <w:pPr>
        <w:pStyle w:val="ListParagraph"/>
        <w:keepNext/>
        <w:numPr>
          <w:ilvl w:val="1"/>
          <w:numId w:val="6"/>
        </w:numPr>
        <w:spacing w:after="0"/>
        <w:ind w:left="567" w:hanging="570"/>
        <w:contextualSpacing w:val="0"/>
        <w:jc w:val="both"/>
        <w:rPr>
          <w:rFonts w:eastAsia="Arial" w:cs="Arial"/>
          <w:b/>
          <w:color w:val="000000" w:themeColor="text1"/>
          <w:sz w:val="20"/>
          <w:szCs w:val="20"/>
        </w:rPr>
      </w:pPr>
      <w:r>
        <w:t xml:space="preserve">Although this option would meet the objectives </w:t>
      </w:r>
      <w:proofErr w:type="gramStart"/>
      <w:r>
        <w:t>with regard to</w:t>
      </w:r>
      <w:proofErr w:type="gramEnd"/>
      <w:r>
        <w:t xml:space="preserve"> CCUS operations offshore and transport of CO</w:t>
      </w:r>
      <w:r w:rsidRPr="002B249E">
        <w:rPr>
          <w:vertAlign w:val="subscript"/>
        </w:rPr>
        <w:t>2</w:t>
      </w:r>
      <w:r>
        <w:t xml:space="preserve"> by pipeline, it would not fully meet the objectives with regard to offshore hydrogen production. Although offshore hydrogen projects are not currently as advanced as CCUS, the generation of low or zero carbon hydrogen is a key tenet of plans to achieve Net Zero and it is our view that this opportunity should be taken to clarify appropriate regulation. On this basis, this option is </w:t>
      </w:r>
      <w:r w:rsidRPr="002B249E">
        <w:rPr>
          <w:b/>
          <w:bCs/>
        </w:rPr>
        <w:t>not preferred.</w:t>
      </w:r>
    </w:p>
    <w:p w14:paraId="7BC00CEE" w14:textId="77777777" w:rsidR="00956714" w:rsidRDefault="00956714" w:rsidP="00B13752">
      <w:pPr>
        <w:pStyle w:val="ListParagraph"/>
        <w:keepNext/>
        <w:spacing w:after="0"/>
        <w:ind w:left="360"/>
        <w:jc w:val="both"/>
      </w:pPr>
    </w:p>
    <w:p w14:paraId="38A35F30" w14:textId="456020F1" w:rsidR="00956714" w:rsidRDefault="00956714" w:rsidP="005B6D8E">
      <w:pPr>
        <w:keepNext/>
        <w:jc w:val="both"/>
        <w:rPr>
          <w:rFonts w:eastAsia="Arial" w:cs="Arial"/>
          <w:b/>
          <w:color w:val="000000" w:themeColor="text1"/>
          <w:sz w:val="20"/>
          <w:szCs w:val="20"/>
        </w:rPr>
      </w:pPr>
      <w:r w:rsidRPr="002B249E">
        <w:rPr>
          <w:b/>
          <w:bCs/>
          <w:i/>
          <w:iCs/>
        </w:rPr>
        <w:t>Option 6 - Regulatory Option /Fully Regulate as major hazard</w:t>
      </w:r>
    </w:p>
    <w:p w14:paraId="1B633D86" w14:textId="66181783" w:rsidR="001C43A2" w:rsidRPr="00147FD5" w:rsidRDefault="00147FD5"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t>This option would involve change</w:t>
      </w:r>
      <w:r w:rsidR="00647F6E">
        <w:t>s</w:t>
      </w:r>
      <w:r>
        <w:t xml:space="preserve"> to clarify the regulatory requirements and where necessary extend application to CCUS operations offshore and transport of CO</w:t>
      </w:r>
      <w:r w:rsidRPr="002B249E">
        <w:rPr>
          <w:vertAlign w:val="subscript"/>
        </w:rPr>
        <w:t>2</w:t>
      </w:r>
      <w:r>
        <w:t xml:space="preserve"> by pipeline, and to offshore hydrogen production.</w:t>
      </w:r>
    </w:p>
    <w:p w14:paraId="51D211AA" w14:textId="77777777" w:rsidR="0076021F" w:rsidRPr="0076021F" w:rsidRDefault="0076021F" w:rsidP="005B6D8E">
      <w:pPr>
        <w:pStyle w:val="ListParagraph"/>
        <w:keepNext/>
        <w:spacing w:after="0"/>
        <w:ind w:left="567" w:hanging="567"/>
        <w:contextualSpacing w:val="0"/>
        <w:jc w:val="both"/>
        <w:rPr>
          <w:rFonts w:eastAsia="Arial" w:cs="Arial"/>
          <w:b/>
          <w:color w:val="000000" w:themeColor="text1"/>
          <w:sz w:val="20"/>
          <w:szCs w:val="20"/>
        </w:rPr>
      </w:pPr>
    </w:p>
    <w:p w14:paraId="789CF543" w14:textId="24364A6E" w:rsidR="00147FD5" w:rsidRPr="004F2B97" w:rsidRDefault="00D7697F"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t xml:space="preserve">This intervention option fully meets the objectives outlined in Section 3 and is HSE’s </w:t>
      </w:r>
      <w:r w:rsidRPr="00A8468A">
        <w:rPr>
          <w:b/>
          <w:bCs/>
        </w:rPr>
        <w:t>preferred option</w:t>
      </w:r>
      <w:r>
        <w:t xml:space="preserve"> for the reasons discussed in Section 4.</w:t>
      </w:r>
    </w:p>
    <w:p w14:paraId="10E4C055" w14:textId="77777777" w:rsidR="004F2B97" w:rsidRDefault="004F2B97" w:rsidP="00B13752">
      <w:pPr>
        <w:keepNext/>
        <w:spacing w:after="0"/>
        <w:jc w:val="both"/>
        <w:rPr>
          <w:rFonts w:eastAsia="Arial" w:cs="Arial"/>
          <w:b/>
          <w:color w:val="000000" w:themeColor="text1"/>
          <w:sz w:val="20"/>
          <w:szCs w:val="20"/>
        </w:rPr>
      </w:pPr>
    </w:p>
    <w:p w14:paraId="07FDEFA6" w14:textId="46D01C25" w:rsidR="004F2B97" w:rsidRDefault="004F2B97" w:rsidP="005B6D8E">
      <w:pPr>
        <w:keepNext/>
        <w:jc w:val="both"/>
        <w:rPr>
          <w:b/>
          <w:bCs/>
          <w:i/>
          <w:iCs/>
        </w:rPr>
      </w:pPr>
      <w:r w:rsidRPr="002B249E">
        <w:rPr>
          <w:b/>
          <w:bCs/>
          <w:i/>
          <w:iCs/>
        </w:rPr>
        <w:t>Option 7 -</w:t>
      </w:r>
      <w:r w:rsidRPr="002B249E">
        <w:rPr>
          <w:b/>
          <w:bCs/>
        </w:rPr>
        <w:t xml:space="preserve"> </w:t>
      </w:r>
      <w:r w:rsidRPr="002B249E">
        <w:rPr>
          <w:b/>
          <w:bCs/>
          <w:i/>
          <w:iCs/>
        </w:rPr>
        <w:t>Non-Regulatory Approaches / Industry standards</w:t>
      </w:r>
    </w:p>
    <w:p w14:paraId="4E6A70D5" w14:textId="1851B3A8" w:rsidR="004F2B97" w:rsidRPr="00B13752" w:rsidRDefault="004F2B97"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t>This would be</w:t>
      </w:r>
      <w:r w:rsidRPr="0070722D">
        <w:t xml:space="preserve"> a non</w:t>
      </w:r>
      <w:r>
        <w:t>-regulatory</w:t>
      </w:r>
      <w:r w:rsidRPr="0070722D">
        <w:t xml:space="preserve"> option involving the use of industry standards to supplement the health and safety regulation that currently applies.</w:t>
      </w:r>
    </w:p>
    <w:p w14:paraId="33451341" w14:textId="77777777" w:rsidR="00B13752" w:rsidRPr="004F2B97" w:rsidRDefault="00B13752" w:rsidP="005B6D8E">
      <w:pPr>
        <w:pStyle w:val="ListParagraph"/>
        <w:keepNext/>
        <w:spacing w:after="0"/>
        <w:ind w:left="567" w:hanging="567"/>
        <w:contextualSpacing w:val="0"/>
        <w:jc w:val="both"/>
        <w:rPr>
          <w:rFonts w:eastAsia="Arial" w:cs="Arial"/>
          <w:b/>
          <w:color w:val="000000" w:themeColor="text1"/>
          <w:sz w:val="20"/>
          <w:szCs w:val="20"/>
        </w:rPr>
      </w:pPr>
    </w:p>
    <w:p w14:paraId="5AF60FCD" w14:textId="47239C60" w:rsidR="004F2B97" w:rsidRPr="00B13752" w:rsidRDefault="00B13A47"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t>S</w:t>
      </w:r>
      <w:r w:rsidRPr="00200872">
        <w:t xml:space="preserve">tandards are </w:t>
      </w:r>
      <w:r>
        <w:t xml:space="preserve">generally developed by industry bodies or groups and set out agreed </w:t>
      </w:r>
      <w:r w:rsidRPr="00200872">
        <w:t>requirements, for example addressing product performance, safety, reliability, and the methods for evaluati</w:t>
      </w:r>
      <w:r>
        <w:t>o</w:t>
      </w:r>
      <w:r w:rsidRPr="00200872">
        <w:t>n</w:t>
      </w:r>
      <w:r>
        <w:t>.</w:t>
      </w:r>
      <w:r w:rsidRPr="00200872">
        <w:t xml:space="preserve"> </w:t>
      </w:r>
      <w:r>
        <w:t xml:space="preserve">Standards </w:t>
      </w:r>
      <w:r w:rsidRPr="00200872">
        <w:t>have been used extensively in the offshore oil and gas industries</w:t>
      </w:r>
      <w:r>
        <w:t xml:space="preserve"> and </w:t>
      </w:r>
      <w:r w:rsidRPr="0070722D">
        <w:t xml:space="preserve">can be very useful to </w:t>
      </w:r>
      <w:r>
        <w:t>dutyholders</w:t>
      </w:r>
      <w:r w:rsidRPr="0070722D">
        <w:t xml:space="preserve"> in managing their risks, however they </w:t>
      </w:r>
      <w:r>
        <w:t>do not have the same legal status as regulations</w:t>
      </w:r>
      <w:r w:rsidRPr="0070722D">
        <w:t xml:space="preserve"> and therefore whilst </w:t>
      </w:r>
      <w:r>
        <w:t>they provide an approach to compliance dutyholders are free to adopt alternatives</w:t>
      </w:r>
      <w:r w:rsidRPr="0070722D">
        <w:t>.</w:t>
      </w:r>
    </w:p>
    <w:p w14:paraId="0EFC6D09" w14:textId="77777777" w:rsidR="00B13752" w:rsidRPr="00B13752" w:rsidRDefault="00B13752" w:rsidP="005B6D8E">
      <w:pPr>
        <w:pStyle w:val="ListParagraph"/>
        <w:spacing w:after="0"/>
        <w:ind w:left="567" w:hanging="567"/>
        <w:contextualSpacing w:val="0"/>
        <w:rPr>
          <w:rFonts w:eastAsia="Arial" w:cs="Arial"/>
          <w:b/>
          <w:color w:val="000000" w:themeColor="text1"/>
          <w:sz w:val="20"/>
          <w:szCs w:val="20"/>
        </w:rPr>
      </w:pPr>
    </w:p>
    <w:p w14:paraId="4DDFBF2B" w14:textId="2CDAD3FC" w:rsidR="00B13752" w:rsidRPr="00B13752" w:rsidRDefault="00B13752"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t>I</w:t>
      </w:r>
      <w:r w:rsidRPr="0070722D">
        <w:t xml:space="preserve">ndustry standards </w:t>
      </w:r>
      <w:r>
        <w:t>are most suitable</w:t>
      </w:r>
      <w:r w:rsidRPr="0070722D">
        <w:t xml:space="preserve"> where there are clear approaches that are widely used and accepted, and </w:t>
      </w:r>
      <w:r>
        <w:t>generally</w:t>
      </w:r>
      <w:r w:rsidRPr="0070722D">
        <w:t xml:space="preserve"> </w:t>
      </w:r>
      <w:r>
        <w:t>where</w:t>
      </w:r>
      <w:r w:rsidRPr="0070722D">
        <w:t xml:space="preserve"> there are a limited options for dealing with a particular issue. Given the novelty and complexity of the activities being considered here, we do not consider that the stage has been reached where </w:t>
      </w:r>
      <w:r>
        <w:t xml:space="preserve">there is agreement on industry standards or approaches which would inform </w:t>
      </w:r>
      <w:r w:rsidRPr="0070722D">
        <w:t xml:space="preserve">agreed </w:t>
      </w:r>
      <w:r>
        <w:t xml:space="preserve">good </w:t>
      </w:r>
      <w:r w:rsidRPr="0070722D">
        <w:t xml:space="preserve">practice </w:t>
      </w:r>
      <w:r>
        <w:t>and so use of industry standards is</w:t>
      </w:r>
      <w:r w:rsidRPr="0070722D">
        <w:t xml:space="preserve"> </w:t>
      </w:r>
      <w:r>
        <w:t>un</w:t>
      </w:r>
      <w:r w:rsidRPr="0070722D">
        <w:t xml:space="preserve">likely to be sufficient to </w:t>
      </w:r>
      <w:r>
        <w:t xml:space="preserve">ensure that risks are </w:t>
      </w:r>
      <w:r w:rsidRPr="0070722D">
        <w:t>adequately control</w:t>
      </w:r>
      <w:r>
        <w:t>led</w:t>
      </w:r>
      <w:r w:rsidRPr="0070722D">
        <w:t>.</w:t>
      </w:r>
    </w:p>
    <w:p w14:paraId="75D56E28" w14:textId="77777777" w:rsidR="00B13752" w:rsidRPr="00B13752" w:rsidRDefault="00B13752" w:rsidP="005B6D8E">
      <w:pPr>
        <w:pStyle w:val="ListParagraph"/>
        <w:spacing w:after="0"/>
        <w:ind w:left="567" w:hanging="567"/>
        <w:contextualSpacing w:val="0"/>
        <w:rPr>
          <w:rFonts w:eastAsia="Arial" w:cs="Arial"/>
          <w:b/>
          <w:color w:val="000000" w:themeColor="text1"/>
          <w:sz w:val="20"/>
          <w:szCs w:val="20"/>
        </w:rPr>
      </w:pPr>
    </w:p>
    <w:p w14:paraId="682F993C" w14:textId="109DAD7C" w:rsidR="00B13752" w:rsidRPr="004F2B97" w:rsidRDefault="00B13752" w:rsidP="00CC1B38">
      <w:pPr>
        <w:pStyle w:val="ListParagraph"/>
        <w:keepNext/>
        <w:numPr>
          <w:ilvl w:val="1"/>
          <w:numId w:val="6"/>
        </w:numPr>
        <w:spacing w:after="0"/>
        <w:ind w:left="567" w:hanging="567"/>
        <w:contextualSpacing w:val="0"/>
        <w:jc w:val="both"/>
        <w:rPr>
          <w:rFonts w:eastAsia="Arial" w:cs="Arial"/>
          <w:b/>
          <w:color w:val="000000" w:themeColor="text1"/>
          <w:sz w:val="20"/>
          <w:szCs w:val="20"/>
        </w:rPr>
      </w:pPr>
      <w:r w:rsidRPr="0070722D">
        <w:lastRenderedPageBreak/>
        <w:t>Although this option could</w:t>
      </w:r>
      <w:r>
        <w:t xml:space="preserve"> partially meet some of the objectives listed above regarding clarity and industry ability to comply, it does not fully</w:t>
      </w:r>
      <w:r w:rsidRPr="0070722D">
        <w:t xml:space="preserve"> meet the objective of fully regulating these activities </w:t>
      </w:r>
      <w:r w:rsidRPr="002B249E">
        <w:rPr>
          <w:rFonts w:asciiTheme="minorBidi" w:hAnsiTheme="minorBidi" w:cstheme="minorBidi"/>
          <w:szCs w:val="24"/>
        </w:rPr>
        <w:t>in a way which is appropriate for the risks associated with hydrogen production and CCUS operations and results in inconsistency with the regulation of other major hazards activities</w:t>
      </w:r>
      <w:r w:rsidRPr="0070722D">
        <w:t xml:space="preserve"> and is therefore</w:t>
      </w:r>
      <w:r>
        <w:t xml:space="preserve"> </w:t>
      </w:r>
      <w:r w:rsidRPr="002B249E">
        <w:rPr>
          <w:b/>
          <w:bCs/>
        </w:rPr>
        <w:t>not preferred.</w:t>
      </w:r>
    </w:p>
    <w:p w14:paraId="3A7E7A59" w14:textId="374EEC77" w:rsidR="00BF0F1D" w:rsidRPr="006D3ABB" w:rsidRDefault="00BF0F1D" w:rsidP="00CC1B38">
      <w:pPr>
        <w:pStyle w:val="ListParagraph"/>
        <w:numPr>
          <w:ilvl w:val="0"/>
          <w:numId w:val="6"/>
        </w:numPr>
        <w:spacing w:before="160"/>
        <w:ind w:left="567" w:hanging="567"/>
        <w:contextualSpacing w:val="0"/>
        <w:rPr>
          <w:b/>
          <w:sz w:val="36"/>
          <w:szCs w:val="36"/>
        </w:rPr>
      </w:pPr>
      <w:r w:rsidRPr="006D3ABB">
        <w:rPr>
          <w:b/>
          <w:sz w:val="36"/>
          <w:szCs w:val="36"/>
        </w:rPr>
        <w:t>Regulatory scorecard for preferred option</w:t>
      </w:r>
    </w:p>
    <w:bookmarkStart w:id="2" w:name="_Hlk127704591" w:displacedByCustomXml="next"/>
    <w:sdt>
      <w:sdtPr>
        <w:rPr>
          <w:rFonts w:eastAsia="Arial" w:cs="Arial"/>
        </w:rPr>
        <w:id w:val="1645545568"/>
        <w:placeholder>
          <w:docPart w:val="DefaultPlaceholder_-1854013440"/>
        </w:placeholder>
      </w:sdtPr>
      <w:sdtContent>
        <w:p w14:paraId="21287848" w14:textId="39F8202E" w:rsidR="00BF0F1D" w:rsidRPr="003C6BC5" w:rsidRDefault="00BF0F1D" w:rsidP="0005065B">
          <w:pPr>
            <w:rPr>
              <w:rFonts w:eastAsia="Arial" w:cs="Arial"/>
              <w:iCs/>
              <w:szCs w:val="20"/>
            </w:rPr>
          </w:pPr>
          <w:r w:rsidRPr="0048710A">
            <w:rPr>
              <w:rFonts w:eastAsia="Arial" w:cs="Arial"/>
              <w:iCs/>
              <w:sz w:val="20"/>
              <w:szCs w:val="20"/>
            </w:rPr>
            <w:t>P</w:t>
          </w:r>
          <w:r w:rsidR="00211B77" w:rsidRPr="00211B77">
            <w:rPr>
              <w:rFonts w:eastAsia="Arial" w:cs="Arial"/>
              <w:iCs/>
              <w:sz w:val="20"/>
              <w:szCs w:val="20"/>
            </w:rPr>
            <w:t xml:space="preserve">lease provide quantitative estimates and qualitative descriptions of impacts under each heading in the following sections. The </w:t>
          </w:r>
          <w:proofErr w:type="gramStart"/>
          <w:r w:rsidR="00211B77" w:rsidRPr="00211B77">
            <w:rPr>
              <w:rFonts w:eastAsia="Arial" w:cs="Arial"/>
              <w:iCs/>
              <w:sz w:val="20"/>
              <w:szCs w:val="20"/>
            </w:rPr>
            <w:t>right hand</w:t>
          </w:r>
          <w:proofErr w:type="gramEnd"/>
          <w:r w:rsidR="00211B77" w:rsidRPr="00211B77">
            <w:rPr>
              <w:rFonts w:eastAsia="Arial" w:cs="Arial"/>
              <w:iCs/>
              <w:sz w:val="20"/>
              <w:szCs w:val="20"/>
            </w:rPr>
            <w:t xml:space="preserve"> column for directional ratings should be based on the description of impact and the sign of the suggested indicator (NPV, NPSV, all impacts</w:t>
          </w:r>
          <w:r w:rsidR="00BB48CE">
            <w:rPr>
              <w:rFonts w:cs="Arial"/>
              <w:color w:val="222222"/>
              <w:sz w:val="20"/>
              <w:szCs w:val="20"/>
              <w:shd w:val="clear" w:color="auto" w:fill="FFFFFF"/>
            </w:rPr>
            <w:t xml:space="preserve">): </w:t>
          </w:r>
          <w:r w:rsidR="00BB48CE" w:rsidRPr="00154376">
            <w:rPr>
              <w:rFonts w:cs="Arial"/>
              <w:b/>
              <w:bCs/>
              <w:color w:val="222222"/>
              <w:sz w:val="20"/>
              <w:szCs w:val="20"/>
              <w:shd w:val="clear" w:color="auto" w:fill="92D050"/>
            </w:rPr>
            <w:t>Green</w:t>
          </w:r>
          <w:r w:rsidR="00BB48CE">
            <w:rPr>
              <w:rFonts w:cs="Arial"/>
              <w:color w:val="222222"/>
              <w:sz w:val="20"/>
              <w:szCs w:val="20"/>
              <w:shd w:val="clear" w:color="auto" w:fill="FFFFFF"/>
            </w:rPr>
            <w:t xml:space="preserve"> – positive impact, </w:t>
          </w:r>
          <w:r w:rsidR="00BB48CE" w:rsidRPr="00154376">
            <w:rPr>
              <w:rFonts w:cs="Arial"/>
              <w:b/>
              <w:bCs/>
              <w:color w:val="FFFFFF" w:themeColor="background1"/>
              <w:sz w:val="20"/>
              <w:szCs w:val="20"/>
              <w:shd w:val="clear" w:color="auto" w:fill="C00000"/>
            </w:rPr>
            <w:t>red</w:t>
          </w:r>
          <w:r w:rsidR="00BB48CE">
            <w:rPr>
              <w:rFonts w:cs="Arial"/>
              <w:color w:val="222222"/>
              <w:sz w:val="20"/>
              <w:szCs w:val="20"/>
              <w:shd w:val="clear" w:color="auto" w:fill="FFFFFF"/>
            </w:rPr>
            <w:t xml:space="preserve"> – negative impact, </w:t>
          </w:r>
          <w:r w:rsidR="00BB48CE" w:rsidRPr="00154376">
            <w:rPr>
              <w:rFonts w:cs="Arial"/>
              <w:b/>
              <w:bCs/>
              <w:color w:val="222222"/>
              <w:sz w:val="20"/>
              <w:szCs w:val="20"/>
              <w:shd w:val="clear" w:color="auto" w:fill="FFC000"/>
            </w:rPr>
            <w:t>amber</w:t>
          </w:r>
          <w:r w:rsidR="00BB48CE">
            <w:rPr>
              <w:rFonts w:cs="Arial"/>
              <w:color w:val="222222"/>
              <w:sz w:val="20"/>
              <w:szCs w:val="20"/>
              <w:shd w:val="clear" w:color="auto" w:fill="FFFFFF"/>
            </w:rPr>
            <w:t xml:space="preserve"> – neutral or negligible impact, </w:t>
          </w:r>
          <w:r w:rsidR="00BB48CE" w:rsidRPr="00154376">
            <w:rPr>
              <w:rFonts w:cs="Arial"/>
              <w:b/>
              <w:bCs/>
              <w:color w:val="222222"/>
              <w:sz w:val="20"/>
              <w:szCs w:val="20"/>
              <w:shd w:val="clear" w:color="auto" w:fill="00B0F0"/>
            </w:rPr>
            <w:t>blue</w:t>
          </w:r>
          <w:r w:rsidR="00BB48CE">
            <w:rPr>
              <w:rFonts w:cs="Arial"/>
              <w:color w:val="222222"/>
              <w:sz w:val="20"/>
              <w:szCs w:val="20"/>
              <w:shd w:val="clear" w:color="auto" w:fill="FFFFFF"/>
            </w:rPr>
            <w:t xml:space="preserve"> – uncertain impact. Please use the colours in the examples shown belo</w:t>
          </w:r>
          <w:r w:rsidR="00BB48CE" w:rsidRPr="008943D1">
            <w:rPr>
              <w:rFonts w:cs="Arial"/>
              <w:color w:val="222222"/>
              <w:sz w:val="20"/>
              <w:szCs w:val="20"/>
              <w:shd w:val="clear" w:color="auto" w:fill="FFFFFF"/>
            </w:rPr>
            <w:t>w</w:t>
          </w:r>
          <w:r w:rsidR="00BB48CE">
            <w:rPr>
              <w:rFonts w:cs="Arial"/>
              <w:color w:val="222222"/>
              <w:sz w:val="20"/>
              <w:szCs w:val="20"/>
              <w:shd w:val="clear" w:color="auto" w:fill="FFFFFF"/>
            </w:rPr>
            <w:t>,</w:t>
          </w:r>
          <w:r w:rsidR="00BB48CE" w:rsidRPr="008943D1">
            <w:rPr>
              <w:rStyle w:val="m3351227663077827992ui-provider"/>
              <w:rFonts w:cs="Arial"/>
              <w:color w:val="222222"/>
              <w:sz w:val="20"/>
              <w:szCs w:val="20"/>
              <w:shd w:val="clear" w:color="auto" w:fill="FFFFFF"/>
            </w:rPr>
            <w:t xml:space="preserve"> </w:t>
          </w:r>
          <w:r w:rsidR="00BB48CE">
            <w:rPr>
              <w:rStyle w:val="m3351227663077827992ui-provider"/>
              <w:rFonts w:cs="Arial"/>
              <w:color w:val="222222"/>
              <w:sz w:val="20"/>
              <w:szCs w:val="20"/>
              <w:shd w:val="clear" w:color="auto" w:fill="FFFFFF"/>
            </w:rPr>
            <w:t>as these are</w:t>
          </w:r>
          <w:r w:rsidR="00BB48CE" w:rsidRPr="008943D1">
            <w:rPr>
              <w:rStyle w:val="m3351227663077827992ui-provider"/>
              <w:rFonts w:cs="Arial"/>
              <w:color w:val="222222"/>
              <w:sz w:val="20"/>
              <w:szCs w:val="20"/>
              <w:shd w:val="clear" w:color="auto" w:fill="FFFFFF"/>
            </w:rPr>
            <w:t xml:space="preserve"> suitable accessible colours.</w:t>
          </w:r>
          <w:r w:rsidR="00BB48CE" w:rsidRPr="008943D1">
            <w:rPr>
              <w:rFonts w:cs="Arial"/>
              <w:color w:val="222222"/>
              <w:sz w:val="20"/>
              <w:szCs w:val="20"/>
              <w:shd w:val="clear" w:color="auto" w:fill="FFFFFF"/>
            </w:rPr>
            <w:t> </w:t>
          </w:r>
          <w:r w:rsidR="00BB48CE">
            <w:rPr>
              <w:rFonts w:cs="Arial"/>
              <w:color w:val="222222"/>
              <w:sz w:val="20"/>
              <w:szCs w:val="20"/>
              <w:shd w:val="clear" w:color="auto" w:fill="FFFFFF"/>
            </w:rPr>
            <w:t>Please see BRF guidance technical annex for definitions</w:t>
          </w:r>
          <w:r w:rsidRPr="0048710A">
            <w:rPr>
              <w:rFonts w:eastAsia="Arial" w:cs="Arial"/>
              <w:iCs/>
              <w:sz w:val="20"/>
              <w:szCs w:val="20"/>
            </w:rPr>
            <w:t>.</w:t>
          </w:r>
        </w:p>
      </w:sdtContent>
    </w:sdt>
    <w:bookmarkEnd w:id="2"/>
    <w:p w14:paraId="289B34BB" w14:textId="09A5AE8D" w:rsidR="00BF0F1D" w:rsidRDefault="00BF0F1D" w:rsidP="0005065B">
      <w:pPr>
        <w:pStyle w:val="Heading3"/>
      </w:pPr>
      <w:r>
        <w:t xml:space="preserve">Part A: Overall and stakeholder impacts </w:t>
      </w: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 A: Overall and stakeholder impacts "/>
      </w:tblPr>
      <w:tblGrid>
        <w:gridCol w:w="1833"/>
        <w:gridCol w:w="5822"/>
        <w:gridCol w:w="2077"/>
      </w:tblGrid>
      <w:tr w:rsidR="00BF0F1D" w:rsidRPr="002E73F4" w14:paraId="0CB46A28" w14:textId="77777777" w:rsidTr="00223F1E">
        <w:tc>
          <w:tcPr>
            <w:tcW w:w="7655" w:type="dxa"/>
            <w:gridSpan w:val="2"/>
            <w:tcBorders>
              <w:top w:val="single" w:sz="4" w:space="0" w:color="auto"/>
              <w:left w:val="single" w:sz="4" w:space="0" w:color="auto"/>
            </w:tcBorders>
            <w:shd w:val="clear" w:color="auto" w:fill="D9D9D9" w:themeFill="background1" w:themeFillShade="D9"/>
            <w:tcMar>
              <w:top w:w="100" w:type="dxa"/>
              <w:left w:w="100" w:type="dxa"/>
              <w:bottom w:w="100" w:type="dxa"/>
              <w:right w:w="100" w:type="dxa"/>
            </w:tcMar>
            <w:hideMark/>
          </w:tcPr>
          <w:p w14:paraId="6542A3DA" w14:textId="77777777" w:rsidR="00BF0F1D" w:rsidRPr="002E73F4" w:rsidRDefault="00BF0F1D" w:rsidP="00BF0F1D">
            <w:pPr>
              <w:spacing w:line="240" w:lineRule="auto"/>
              <w:rPr>
                <w:rFonts w:eastAsia="Times New Roman" w:cs="Arial"/>
                <w:szCs w:val="24"/>
              </w:rPr>
            </w:pPr>
            <w:r w:rsidRPr="002E73F4">
              <w:rPr>
                <w:rFonts w:eastAsia="Times New Roman" w:cs="Arial"/>
                <w:b/>
                <w:bCs/>
                <w:color w:val="000000"/>
                <w:szCs w:val="24"/>
              </w:rPr>
              <w:t xml:space="preserve">(1) Overall impacts on total welfare </w:t>
            </w:r>
          </w:p>
        </w:tc>
        <w:tc>
          <w:tcPr>
            <w:tcW w:w="2077" w:type="dxa"/>
            <w:tcBorders>
              <w:top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hideMark/>
          </w:tcPr>
          <w:p w14:paraId="4894CBB2" w14:textId="77777777" w:rsidR="00BF0F1D" w:rsidRPr="002E73F4" w:rsidRDefault="00BF0F1D" w:rsidP="00BF0F1D">
            <w:pPr>
              <w:spacing w:after="0" w:line="240" w:lineRule="auto"/>
              <w:rPr>
                <w:rFonts w:eastAsia="Times New Roman" w:cs="Arial"/>
                <w:b/>
                <w:bCs/>
                <w:color w:val="000000"/>
                <w:szCs w:val="24"/>
              </w:rPr>
            </w:pPr>
            <w:r w:rsidRPr="002E73F4">
              <w:rPr>
                <w:rFonts w:eastAsia="Times New Roman" w:cs="Arial"/>
                <w:b/>
                <w:bCs/>
                <w:color w:val="000000"/>
                <w:szCs w:val="24"/>
              </w:rPr>
              <w:t>Directional rating</w:t>
            </w:r>
          </w:p>
          <w:p w14:paraId="5D2FA4BC" w14:textId="77777777" w:rsidR="00E857BF" w:rsidRDefault="00E857BF" w:rsidP="00BF0F1D">
            <w:pPr>
              <w:spacing w:after="0" w:line="240" w:lineRule="auto"/>
              <w:rPr>
                <w:rFonts w:eastAsia="Times New Roman" w:cs="Arial"/>
                <w:b/>
                <w:bCs/>
                <w:color w:val="000000"/>
                <w:szCs w:val="24"/>
              </w:rPr>
            </w:pPr>
          </w:p>
          <w:p w14:paraId="0F573BEA" w14:textId="43603720" w:rsidR="00BF0F1D" w:rsidRPr="00182694" w:rsidRDefault="00BF0F1D" w:rsidP="00BF0F1D">
            <w:pPr>
              <w:spacing w:after="0" w:line="240" w:lineRule="auto"/>
              <w:rPr>
                <w:rFonts w:eastAsia="Times New Roman" w:cs="Arial"/>
                <w:b/>
                <w:bCs/>
                <w:color w:val="000000"/>
                <w:sz w:val="20"/>
                <w:szCs w:val="20"/>
              </w:rPr>
            </w:pPr>
            <w:r w:rsidRPr="00182694">
              <w:rPr>
                <w:rFonts w:eastAsia="Times New Roman" w:cs="Arial"/>
                <w:b/>
                <w:bCs/>
                <w:color w:val="000000"/>
                <w:sz w:val="20"/>
                <w:szCs w:val="20"/>
              </w:rPr>
              <w:t>N</w:t>
            </w:r>
            <w:r w:rsidR="00E857BF" w:rsidRPr="00182694">
              <w:rPr>
                <w:rFonts w:eastAsia="Times New Roman" w:cs="Arial"/>
                <w:b/>
                <w:bCs/>
                <w:color w:val="000000"/>
                <w:sz w:val="20"/>
                <w:szCs w:val="20"/>
              </w:rPr>
              <w:t>ote:</w:t>
            </w:r>
            <w:r w:rsidRPr="00182694">
              <w:rPr>
                <w:rFonts w:eastAsia="Times New Roman" w:cs="Arial"/>
                <w:b/>
                <w:bCs/>
                <w:color w:val="000000"/>
                <w:sz w:val="20"/>
                <w:szCs w:val="20"/>
              </w:rPr>
              <w:t xml:space="preserve"> Below are examples only</w:t>
            </w:r>
          </w:p>
          <w:p w14:paraId="20A24817" w14:textId="77777777" w:rsidR="00BF0F1D" w:rsidRPr="002E73F4" w:rsidRDefault="00BF0F1D" w:rsidP="00BF0F1D">
            <w:pPr>
              <w:spacing w:after="0" w:line="240" w:lineRule="auto"/>
              <w:rPr>
                <w:rFonts w:eastAsia="Times New Roman" w:cs="Arial"/>
                <w:szCs w:val="24"/>
              </w:rPr>
            </w:pPr>
          </w:p>
        </w:tc>
      </w:tr>
      <w:tr w:rsidR="00113C52" w:rsidRPr="002E73F4" w14:paraId="6E5D2113" w14:textId="77777777" w:rsidTr="00223F1E">
        <w:tc>
          <w:tcPr>
            <w:tcW w:w="1833" w:type="dxa"/>
            <w:tcBorders>
              <w:left w:val="single" w:sz="4" w:space="0" w:color="auto"/>
              <w:bottom w:val="single" w:sz="4" w:space="0" w:color="auto"/>
            </w:tcBorders>
            <w:tcMar>
              <w:top w:w="100" w:type="dxa"/>
              <w:left w:w="100" w:type="dxa"/>
              <w:bottom w:w="100" w:type="dxa"/>
              <w:right w:w="100" w:type="dxa"/>
            </w:tcMar>
            <w:hideMark/>
          </w:tcPr>
          <w:p w14:paraId="0059452B" w14:textId="39682C52" w:rsidR="00113C52" w:rsidRPr="002E73F4" w:rsidRDefault="00113C52" w:rsidP="00113C52">
            <w:pPr>
              <w:spacing w:after="0" w:line="240" w:lineRule="auto"/>
              <w:rPr>
                <w:rFonts w:eastAsia="Times New Roman" w:cs="Arial"/>
                <w:szCs w:val="24"/>
              </w:rPr>
            </w:pPr>
            <w:r w:rsidRPr="002E73F4">
              <w:rPr>
                <w:rFonts w:eastAsia="Times New Roman" w:cs="Arial"/>
                <w:b/>
                <w:bCs/>
                <w:color w:val="000000"/>
                <w:szCs w:val="24"/>
              </w:rPr>
              <w:t xml:space="preserve">Description of overall </w:t>
            </w:r>
            <w:r w:rsidR="00F43444">
              <w:rPr>
                <w:rFonts w:eastAsia="Times New Roman" w:cs="Arial"/>
                <w:b/>
                <w:bCs/>
                <w:color w:val="000000"/>
                <w:szCs w:val="24"/>
              </w:rPr>
              <w:t>expected</w:t>
            </w:r>
            <w:r w:rsidR="00F43444" w:rsidRPr="002E73F4">
              <w:rPr>
                <w:rFonts w:eastAsia="Times New Roman" w:cs="Arial"/>
                <w:b/>
                <w:bCs/>
                <w:color w:val="000000"/>
                <w:szCs w:val="24"/>
              </w:rPr>
              <w:t xml:space="preserve"> </w:t>
            </w:r>
            <w:r w:rsidRPr="002E73F4">
              <w:rPr>
                <w:rFonts w:eastAsia="Times New Roman" w:cs="Arial"/>
                <w:b/>
                <w:bCs/>
                <w:color w:val="000000"/>
                <w:szCs w:val="24"/>
              </w:rPr>
              <w:t>impact</w:t>
            </w:r>
          </w:p>
        </w:tc>
        <w:sdt>
          <w:sdtPr>
            <w:rPr>
              <w:rFonts w:eastAsia="Times New Roman" w:cs="Arial"/>
              <w:sz w:val="20"/>
              <w:szCs w:val="20"/>
            </w:rPr>
            <w:id w:val="1737586845"/>
            <w:placeholder>
              <w:docPart w:val="3364A372D5F3412F8EC7D6C740696BD1"/>
            </w:placeholder>
          </w:sdtPr>
          <w:sdtContent>
            <w:tc>
              <w:tcPr>
                <w:tcW w:w="5822" w:type="dxa"/>
                <w:tcMar>
                  <w:top w:w="100" w:type="dxa"/>
                  <w:left w:w="100" w:type="dxa"/>
                  <w:bottom w:w="100" w:type="dxa"/>
                  <w:right w:w="100" w:type="dxa"/>
                </w:tcMar>
                <w:hideMark/>
              </w:tcPr>
              <w:sdt>
                <w:sdtPr>
                  <w:rPr>
                    <w:rFonts w:eastAsia="Times New Roman" w:cs="Arial"/>
                    <w:sz w:val="20"/>
                    <w:szCs w:val="20"/>
                  </w:rPr>
                  <w:id w:val="-523860978"/>
                  <w:placeholder>
                    <w:docPart w:val="445D70EFC5424C6AABB7F6D73E819DAF"/>
                  </w:placeholder>
                </w:sdtPr>
                <w:sdtContent>
                  <w:p w14:paraId="399725AC" w14:textId="508E7F75" w:rsidR="00D13B4A" w:rsidRPr="00D13B4A" w:rsidRDefault="00504B91" w:rsidP="00D13B4A">
                    <w:pPr>
                      <w:rPr>
                        <w:rFonts w:eastAsia="Times New Roman" w:cs="Arial"/>
                        <w:sz w:val="20"/>
                        <w:szCs w:val="20"/>
                      </w:rPr>
                    </w:pPr>
                    <w:r>
                      <w:rPr>
                        <w:rFonts w:eastAsia="Times New Roman" w:cs="Arial"/>
                        <w:sz w:val="20"/>
                        <w:szCs w:val="20"/>
                      </w:rPr>
                      <w:t xml:space="preserve">The preferred option is intended to </w:t>
                    </w:r>
                    <w:r w:rsidRPr="00504B91">
                      <w:rPr>
                        <w:rFonts w:eastAsia="Times New Roman" w:cs="Arial"/>
                        <w:sz w:val="20"/>
                        <w:szCs w:val="20"/>
                      </w:rPr>
                      <w:t>reduce the likelihood of major accidents for the sectors in scope. This should provide further protection for the safety of offshore and pipeline workers and members of the public. This also limits the potential for damage to infrastructure and loss of production capacity, as well as avoided environmental costs. As such, this can be viewed as correcting an externality as there is the risk of an under-provision of safety mitigation due to businesses not internalising the costs to workers, households, government and broader industry in the event of an accident. Additionally, there is the correction of information failures by ensuring that operators fully understand risks and how to control for them.</w:t>
                    </w:r>
                  </w:p>
                  <w:p w14:paraId="437BB36F" w14:textId="0B3546CF" w:rsidR="00103F1F" w:rsidRDefault="00103F1F" w:rsidP="00D13B4A">
                    <w:pPr>
                      <w:rPr>
                        <w:rFonts w:eastAsia="Times New Roman" w:cs="Arial"/>
                        <w:sz w:val="20"/>
                        <w:szCs w:val="20"/>
                      </w:rPr>
                    </w:pPr>
                    <w:r>
                      <w:rPr>
                        <w:rFonts w:eastAsia="Times New Roman" w:cs="Arial"/>
                        <w:sz w:val="20"/>
                        <w:szCs w:val="20"/>
                      </w:rPr>
                      <w:t xml:space="preserve">Further benefits are expected </w:t>
                    </w:r>
                    <w:proofErr w:type="gramStart"/>
                    <w:r>
                      <w:rPr>
                        <w:rFonts w:eastAsia="Times New Roman" w:cs="Arial"/>
                        <w:sz w:val="20"/>
                        <w:szCs w:val="20"/>
                      </w:rPr>
                      <w:t>as a result of</w:t>
                    </w:r>
                    <w:proofErr w:type="gramEnd"/>
                    <w:r>
                      <w:rPr>
                        <w:rFonts w:eastAsia="Times New Roman" w:cs="Arial"/>
                        <w:sz w:val="20"/>
                        <w:szCs w:val="20"/>
                      </w:rPr>
                      <w:t xml:space="preserve"> improved clarity </w:t>
                    </w:r>
                    <w:r w:rsidR="006907E6">
                      <w:rPr>
                        <w:rFonts w:eastAsia="Times New Roman" w:cs="Arial"/>
                        <w:sz w:val="20"/>
                        <w:szCs w:val="20"/>
                      </w:rPr>
                      <w:t>in the requirements for businesses to ensure safety</w:t>
                    </w:r>
                    <w:r w:rsidR="00DE5AC7">
                      <w:rPr>
                        <w:rFonts w:eastAsia="Times New Roman" w:cs="Arial"/>
                        <w:sz w:val="20"/>
                        <w:szCs w:val="20"/>
                      </w:rPr>
                      <w:t xml:space="preserve">. This should improve public and investor confidence and </w:t>
                    </w:r>
                    <w:r w:rsidR="00B72DAF">
                      <w:rPr>
                        <w:rFonts w:eastAsia="Times New Roman" w:cs="Arial"/>
                        <w:sz w:val="20"/>
                        <w:szCs w:val="20"/>
                      </w:rPr>
                      <w:t>help the industry secure future investment.</w:t>
                    </w:r>
                  </w:p>
                  <w:p w14:paraId="5EEA885A" w14:textId="1E6D7F94" w:rsidR="00045EC5" w:rsidRPr="00D13B4A" w:rsidRDefault="00045EC5" w:rsidP="00D13B4A">
                    <w:pPr>
                      <w:rPr>
                        <w:rFonts w:eastAsia="Times New Roman" w:cs="Arial"/>
                        <w:sz w:val="20"/>
                        <w:szCs w:val="20"/>
                      </w:rPr>
                    </w:pPr>
                    <w:r>
                      <w:rPr>
                        <w:rFonts w:eastAsia="Times New Roman" w:cs="Arial"/>
                        <w:sz w:val="20"/>
                        <w:szCs w:val="20"/>
                      </w:rPr>
                      <w:t xml:space="preserve">The costs of the preferred option </w:t>
                    </w:r>
                    <w:proofErr w:type="gramStart"/>
                    <w:r>
                      <w:rPr>
                        <w:rFonts w:eastAsia="Times New Roman" w:cs="Arial"/>
                        <w:sz w:val="20"/>
                        <w:szCs w:val="20"/>
                      </w:rPr>
                      <w:t>is</w:t>
                    </w:r>
                    <w:proofErr w:type="gramEnd"/>
                    <w:r>
                      <w:rPr>
                        <w:rFonts w:eastAsia="Times New Roman" w:cs="Arial"/>
                        <w:sz w:val="20"/>
                        <w:szCs w:val="20"/>
                      </w:rPr>
                      <w:t xml:space="preserve"> incurred by businesses operating in the sector. These costs are in the form of compliance with regulatory requirements. </w:t>
                    </w:r>
                    <w:r w:rsidR="00485A83">
                      <w:rPr>
                        <w:rFonts w:eastAsia="Times New Roman" w:cs="Arial"/>
                        <w:sz w:val="20"/>
                        <w:szCs w:val="20"/>
                      </w:rPr>
                      <w:t>A detailed outline of the compliance costs is provided in the cost-benefit analysis.</w:t>
                    </w:r>
                  </w:p>
                  <w:p w14:paraId="65FE41CD" w14:textId="0DF06DCA" w:rsidR="00D13B4A" w:rsidRPr="00D13B4A" w:rsidRDefault="00B72DAF" w:rsidP="00D13B4A">
                    <w:pPr>
                      <w:rPr>
                        <w:rFonts w:eastAsia="Times New Roman" w:cs="Arial"/>
                        <w:sz w:val="20"/>
                        <w:szCs w:val="20"/>
                      </w:rPr>
                    </w:pPr>
                    <w:r>
                      <w:rPr>
                        <w:rFonts w:eastAsia="Times New Roman" w:cs="Arial"/>
                        <w:sz w:val="20"/>
                        <w:szCs w:val="20"/>
                      </w:rPr>
                      <w:t xml:space="preserve">As </w:t>
                    </w:r>
                    <w:r w:rsidR="00897F74">
                      <w:rPr>
                        <w:rFonts w:eastAsia="Times New Roman" w:cs="Arial"/>
                        <w:sz w:val="20"/>
                        <w:szCs w:val="20"/>
                      </w:rPr>
                      <w:t>it isn’t currently possible to quantify the</w:t>
                    </w:r>
                    <w:r>
                      <w:rPr>
                        <w:rFonts w:eastAsia="Times New Roman" w:cs="Arial"/>
                        <w:sz w:val="20"/>
                        <w:szCs w:val="20"/>
                      </w:rPr>
                      <w:t xml:space="preserve"> benefits</w:t>
                    </w:r>
                    <w:r w:rsidR="00897F74">
                      <w:rPr>
                        <w:rFonts w:eastAsia="Times New Roman" w:cs="Arial"/>
                        <w:sz w:val="20"/>
                        <w:szCs w:val="20"/>
                      </w:rPr>
                      <w:t>, it isn’t possible to determine with certainty whether the overall benefits are greater than, less than or equal to the expected costs.</w:t>
                    </w:r>
                    <w:r>
                      <w:rPr>
                        <w:rFonts w:eastAsia="Times New Roman" w:cs="Arial"/>
                        <w:sz w:val="20"/>
                        <w:szCs w:val="20"/>
                      </w:rPr>
                      <w:t xml:space="preserve"> </w:t>
                    </w:r>
                  </w:p>
                </w:sdtContent>
              </w:sdt>
              <w:p w14:paraId="7BBF44C8" w14:textId="7E5DA4C5" w:rsidR="00113C52" w:rsidRPr="0048710A" w:rsidRDefault="00113C52" w:rsidP="00573DBA">
                <w:pPr>
                  <w:rPr>
                    <w:rFonts w:eastAsia="Times New Roman" w:cs="Arial"/>
                    <w:sz w:val="20"/>
                    <w:szCs w:val="20"/>
                  </w:rPr>
                </w:pPr>
              </w:p>
            </w:tc>
          </w:sdtContent>
        </w:sdt>
        <w:tc>
          <w:tcPr>
            <w:tcW w:w="2077" w:type="dxa"/>
            <w:tcBorders>
              <w:bottom w:val="single" w:sz="4" w:space="0" w:color="auto"/>
              <w:right w:val="single" w:sz="4" w:space="0" w:color="auto"/>
            </w:tcBorders>
            <w:shd w:val="clear" w:color="auto" w:fill="00B0F0"/>
            <w:tcMar>
              <w:top w:w="100" w:type="dxa"/>
              <w:left w:w="100" w:type="dxa"/>
              <w:bottom w:w="100" w:type="dxa"/>
              <w:right w:w="100" w:type="dxa"/>
            </w:tcMar>
            <w:hideMark/>
          </w:tcPr>
          <w:sdt>
            <w:sdtPr>
              <w:rPr>
                <w:rFonts w:eastAsia="Arial" w:cs="Arial"/>
                <w:b/>
                <w:bCs/>
              </w:rPr>
              <w:alias w:val="Rating"/>
              <w:tag w:val="Rating"/>
              <w:id w:val="1434482813"/>
              <w:placeholder>
                <w:docPart w:val="EEC3156FB1A1459388BD1C4579943495"/>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73BE9568" w14:textId="2527AD87" w:rsidR="00113C52" w:rsidRPr="002E73F4" w:rsidRDefault="003D5E32" w:rsidP="00113C52">
                <w:pPr>
                  <w:spacing w:after="0" w:line="240" w:lineRule="auto"/>
                  <w:rPr>
                    <w:rFonts w:eastAsia="Arial" w:cs="Arial"/>
                    <w:b/>
                    <w:bCs/>
                    <w:szCs w:val="24"/>
                  </w:rPr>
                </w:pPr>
                <w:r>
                  <w:rPr>
                    <w:rFonts w:eastAsia="Arial" w:cs="Arial"/>
                    <w:b/>
                    <w:bCs/>
                  </w:rPr>
                  <w:t>Uncertain</w:t>
                </w:r>
              </w:p>
            </w:sdtContent>
          </w:sdt>
          <w:p w14:paraId="2D585FFE" w14:textId="77777777" w:rsidR="00113C52" w:rsidRDefault="00113C52" w:rsidP="00113C52">
            <w:pPr>
              <w:spacing w:after="0" w:line="240" w:lineRule="auto"/>
              <w:rPr>
                <w:rFonts w:eastAsia="Arial" w:cs="Arial"/>
                <w:b/>
                <w:bCs/>
                <w:sz w:val="20"/>
                <w:szCs w:val="20"/>
              </w:rPr>
            </w:pPr>
          </w:p>
          <w:p w14:paraId="71769C75" w14:textId="3E06FE59" w:rsidR="00113C52" w:rsidRPr="00DF36F8" w:rsidRDefault="00113C52" w:rsidP="00113C52">
            <w:pPr>
              <w:spacing w:after="0" w:line="240" w:lineRule="auto"/>
              <w:rPr>
                <w:rFonts w:eastAsia="Arial" w:cs="Arial"/>
                <w:b/>
                <w:bCs/>
                <w:sz w:val="20"/>
                <w:szCs w:val="20"/>
              </w:rPr>
            </w:pPr>
            <w:r w:rsidRPr="00DF36F8">
              <w:rPr>
                <w:rFonts w:eastAsia="Arial" w:cs="Arial"/>
                <w:b/>
                <w:bCs/>
                <w:sz w:val="20"/>
                <w:szCs w:val="20"/>
              </w:rPr>
              <w:t>Based on all impacts (incl. non-monetised)</w:t>
            </w:r>
          </w:p>
        </w:tc>
      </w:tr>
      <w:tr w:rsidR="00113C52" w:rsidRPr="002E73F4" w14:paraId="101FE04E" w14:textId="77777777" w:rsidTr="00223F1E">
        <w:tc>
          <w:tcPr>
            <w:tcW w:w="1833" w:type="dxa"/>
            <w:tcBorders>
              <w:left w:val="single" w:sz="4" w:space="0" w:color="auto"/>
            </w:tcBorders>
            <w:tcMar>
              <w:top w:w="100" w:type="dxa"/>
              <w:left w:w="100" w:type="dxa"/>
              <w:bottom w:w="100" w:type="dxa"/>
              <w:right w:w="100" w:type="dxa"/>
            </w:tcMar>
            <w:hideMark/>
          </w:tcPr>
          <w:p w14:paraId="05CAB763" w14:textId="77777777" w:rsidR="00113C52" w:rsidRPr="002E73F4" w:rsidRDefault="00113C52" w:rsidP="00113C52">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4CEA1094" w14:textId="77777777" w:rsidR="00113C52" w:rsidRPr="002E73F4" w:rsidRDefault="00113C52" w:rsidP="00113C52">
            <w:pPr>
              <w:spacing w:after="0" w:line="240" w:lineRule="auto"/>
              <w:rPr>
                <w:rFonts w:eastAsia="Times New Roman" w:cs="Arial"/>
                <w:szCs w:val="24"/>
              </w:rPr>
            </w:pPr>
          </w:p>
        </w:tc>
        <w:tc>
          <w:tcPr>
            <w:tcW w:w="5822" w:type="dxa"/>
            <w:tcMar>
              <w:top w:w="100" w:type="dxa"/>
              <w:left w:w="100" w:type="dxa"/>
              <w:bottom w:w="100" w:type="dxa"/>
              <w:right w:w="100" w:type="dxa"/>
            </w:tcMar>
            <w:hideMark/>
          </w:tcPr>
          <w:sdt>
            <w:sdtPr>
              <w:rPr>
                <w:rFonts w:eastAsia="Times New Roman" w:cs="Arial"/>
                <w:color w:val="000000"/>
                <w:sz w:val="20"/>
                <w:szCs w:val="20"/>
              </w:rPr>
              <w:id w:val="-272252721"/>
              <w:placeholder>
                <w:docPart w:val="706841EAF00F4584BFCEE473C17A60D4"/>
              </w:placeholder>
            </w:sdtPr>
            <w:sdtEndPr>
              <w:rPr>
                <w:color w:val="000000" w:themeColor="text1"/>
              </w:rPr>
            </w:sdtEndPr>
            <w:sdtContent>
              <w:p w14:paraId="4A8ADFC6" w14:textId="3DF1F716" w:rsidR="00113C52" w:rsidRPr="0048710A" w:rsidRDefault="0070651A" w:rsidP="00113C52">
                <w:pPr>
                  <w:spacing w:after="0" w:line="240" w:lineRule="auto"/>
                  <w:rPr>
                    <w:rFonts w:eastAsia="Times New Roman" w:cs="Arial"/>
                    <w:color w:val="000000"/>
                    <w:sz w:val="20"/>
                    <w:szCs w:val="20"/>
                  </w:rPr>
                </w:pPr>
                <w:r w:rsidRPr="6135320C">
                  <w:rPr>
                    <w:rFonts w:eastAsia="Times New Roman" w:cs="Arial"/>
                    <w:color w:val="000000" w:themeColor="text1"/>
                    <w:sz w:val="20"/>
                    <w:szCs w:val="20"/>
                  </w:rPr>
                  <w:t>Ten-year PV</w:t>
                </w:r>
                <w:r w:rsidR="002177A9" w:rsidRPr="6135320C">
                  <w:rPr>
                    <w:rFonts w:eastAsia="Times New Roman" w:cs="Arial"/>
                    <w:color w:val="000000" w:themeColor="text1"/>
                    <w:sz w:val="20"/>
                    <w:szCs w:val="20"/>
                  </w:rPr>
                  <w:t xml:space="preserve"> for CCUS sector:</w:t>
                </w:r>
                <w:r w:rsidR="00113C52" w:rsidRPr="6135320C">
                  <w:rPr>
                    <w:rFonts w:eastAsia="Times New Roman" w:cs="Arial"/>
                    <w:color w:val="000000" w:themeColor="text1"/>
                    <w:sz w:val="20"/>
                    <w:szCs w:val="20"/>
                  </w:rPr>
                  <w:t xml:space="preserve"> </w:t>
                </w:r>
                <w:r w:rsidRPr="6135320C">
                  <w:rPr>
                    <w:rFonts w:eastAsia="Times New Roman" w:cs="Arial"/>
                    <w:color w:val="000000" w:themeColor="text1"/>
                    <w:sz w:val="20"/>
                    <w:szCs w:val="20"/>
                  </w:rPr>
                  <w:t>-</w:t>
                </w:r>
                <w:r w:rsidR="00113C52" w:rsidRPr="6135320C">
                  <w:rPr>
                    <w:rFonts w:eastAsia="Times New Roman" w:cs="Arial"/>
                    <w:color w:val="000000" w:themeColor="text1"/>
                    <w:sz w:val="20"/>
                    <w:szCs w:val="20"/>
                  </w:rPr>
                  <w:t>£</w:t>
                </w:r>
                <w:r w:rsidRPr="6135320C">
                  <w:rPr>
                    <w:rFonts w:eastAsia="Times New Roman" w:cs="Arial"/>
                    <w:color w:val="000000" w:themeColor="text1"/>
                    <w:sz w:val="20"/>
                    <w:szCs w:val="20"/>
                  </w:rPr>
                  <w:t>2</w:t>
                </w:r>
                <w:r w:rsidR="00D10D38" w:rsidRPr="6135320C">
                  <w:rPr>
                    <w:rFonts w:eastAsia="Times New Roman" w:cs="Arial"/>
                    <w:color w:val="000000" w:themeColor="text1"/>
                    <w:sz w:val="20"/>
                    <w:szCs w:val="20"/>
                  </w:rPr>
                  <w:t>20</w:t>
                </w:r>
                <w:r w:rsidRPr="6135320C">
                  <w:rPr>
                    <w:rFonts w:eastAsia="Times New Roman" w:cs="Arial"/>
                    <w:color w:val="000000" w:themeColor="text1"/>
                    <w:sz w:val="20"/>
                    <w:szCs w:val="20"/>
                  </w:rPr>
                  <w:t>m</w:t>
                </w:r>
                <w:r w:rsidR="00ED0B31" w:rsidRPr="6135320C">
                  <w:rPr>
                    <w:rFonts w:eastAsia="Times New Roman" w:cs="Arial"/>
                    <w:color w:val="000000" w:themeColor="text1"/>
                    <w:sz w:val="20"/>
                    <w:szCs w:val="20"/>
                  </w:rPr>
                  <w:t xml:space="preserve"> (-£</w:t>
                </w:r>
                <w:r w:rsidR="00D10D38" w:rsidRPr="6135320C">
                  <w:rPr>
                    <w:rFonts w:eastAsia="Times New Roman" w:cs="Arial"/>
                    <w:color w:val="000000" w:themeColor="text1"/>
                    <w:sz w:val="20"/>
                    <w:szCs w:val="20"/>
                  </w:rPr>
                  <w:t>100</w:t>
                </w:r>
                <w:r w:rsidR="00ED0B31" w:rsidRPr="6135320C">
                  <w:rPr>
                    <w:rFonts w:eastAsia="Times New Roman" w:cs="Arial"/>
                    <w:color w:val="000000" w:themeColor="text1"/>
                    <w:sz w:val="20"/>
                    <w:szCs w:val="20"/>
                  </w:rPr>
                  <w:t>m to -£</w:t>
                </w:r>
                <w:r w:rsidR="003C5A88" w:rsidRPr="6135320C">
                  <w:rPr>
                    <w:rFonts w:eastAsia="Times New Roman" w:cs="Arial"/>
                    <w:color w:val="000000" w:themeColor="text1"/>
                    <w:sz w:val="20"/>
                    <w:szCs w:val="20"/>
                  </w:rPr>
                  <w:t>3</w:t>
                </w:r>
                <w:r w:rsidR="004523F2" w:rsidRPr="6135320C">
                  <w:rPr>
                    <w:rFonts w:eastAsia="Times New Roman" w:cs="Arial"/>
                    <w:color w:val="000000" w:themeColor="text1"/>
                    <w:sz w:val="20"/>
                    <w:szCs w:val="20"/>
                  </w:rPr>
                  <w:t>40m)</w:t>
                </w:r>
                <w:r w:rsidRPr="6135320C">
                  <w:rPr>
                    <w:rFonts w:eastAsia="Times New Roman" w:cs="Arial"/>
                    <w:color w:val="000000" w:themeColor="text1"/>
                    <w:sz w:val="20"/>
                    <w:szCs w:val="20"/>
                  </w:rPr>
                  <w:t xml:space="preserve"> </w:t>
                </w:r>
                <w:r w:rsidR="00113C52" w:rsidRPr="6135320C" w:rsidDel="00232D17">
                  <w:rPr>
                    <w:rFonts w:eastAsia="Times New Roman" w:cs="Arial"/>
                    <w:color w:val="000000" w:themeColor="text1"/>
                    <w:sz w:val="20"/>
                    <w:szCs w:val="20"/>
                  </w:rPr>
                  <w:t xml:space="preserve"> </w:t>
                </w:r>
              </w:p>
              <w:p w14:paraId="32DB9884" w14:textId="06A0CE41" w:rsidR="002177A9" w:rsidRDefault="002177A9" w:rsidP="00113C52">
                <w:pPr>
                  <w:spacing w:after="0" w:line="240" w:lineRule="auto"/>
                  <w:rPr>
                    <w:rFonts w:eastAsia="Times New Roman" w:cs="Arial"/>
                    <w:color w:val="000000"/>
                    <w:sz w:val="20"/>
                    <w:szCs w:val="20"/>
                  </w:rPr>
                </w:pPr>
                <w:r>
                  <w:rPr>
                    <w:rFonts w:eastAsia="Times New Roman" w:cs="Arial"/>
                    <w:color w:val="000000"/>
                    <w:sz w:val="20"/>
                    <w:szCs w:val="20"/>
                  </w:rPr>
                  <w:t xml:space="preserve">Ten-year PV </w:t>
                </w:r>
                <w:r w:rsidR="009111F8" w:rsidRPr="005675C5">
                  <w:rPr>
                    <w:rFonts w:eastAsia="Times New Roman" w:cs="Arial"/>
                    <w:i/>
                    <w:iCs/>
                    <w:color w:val="000000"/>
                    <w:sz w:val="20"/>
                    <w:szCs w:val="20"/>
                  </w:rPr>
                  <w:t>per</w:t>
                </w:r>
                <w:r w:rsidR="009111F8">
                  <w:rPr>
                    <w:rFonts w:eastAsia="Times New Roman" w:cs="Arial"/>
                    <w:color w:val="000000"/>
                    <w:sz w:val="20"/>
                    <w:szCs w:val="20"/>
                  </w:rPr>
                  <w:t xml:space="preserve"> CCUS pipeline: -£710k (</w:t>
                </w:r>
                <w:r w:rsidR="005130CC">
                  <w:rPr>
                    <w:rFonts w:eastAsia="Times New Roman" w:cs="Arial"/>
                    <w:color w:val="000000"/>
                    <w:sz w:val="20"/>
                    <w:szCs w:val="20"/>
                  </w:rPr>
                  <w:t>-£47k to -£2.3m)</w:t>
                </w:r>
              </w:p>
              <w:p w14:paraId="7664EB10" w14:textId="63D6C03A" w:rsidR="000535E0" w:rsidRPr="0084152B" w:rsidRDefault="000535E0" w:rsidP="00113C52">
                <w:pPr>
                  <w:spacing w:after="0" w:line="240" w:lineRule="auto"/>
                  <w:rPr>
                    <w:rFonts w:eastAsia="Times New Roman" w:cs="Arial"/>
                    <w:color w:val="000000"/>
                    <w:sz w:val="20"/>
                    <w:szCs w:val="20"/>
                  </w:rPr>
                </w:pPr>
                <w:r w:rsidRPr="0084152B">
                  <w:rPr>
                    <w:rFonts w:eastAsia="Times New Roman" w:cs="Arial"/>
                    <w:color w:val="000000"/>
                    <w:sz w:val="20"/>
                    <w:szCs w:val="20"/>
                  </w:rPr>
                  <w:t>Ten-year P</w:t>
                </w:r>
                <w:r w:rsidRPr="00E612AD">
                  <w:rPr>
                    <w:rFonts w:eastAsia="Times New Roman" w:cs="Arial"/>
                    <w:color w:val="000000"/>
                    <w:sz w:val="20"/>
                    <w:szCs w:val="20"/>
                  </w:rPr>
                  <w:t xml:space="preserve">V </w:t>
                </w:r>
                <w:r w:rsidRPr="005675C5">
                  <w:rPr>
                    <w:rFonts w:eastAsia="Times New Roman" w:cs="Arial"/>
                    <w:i/>
                    <w:iCs/>
                    <w:color w:val="000000"/>
                    <w:sz w:val="20"/>
                    <w:szCs w:val="20"/>
                  </w:rPr>
                  <w:t>per</w:t>
                </w:r>
                <w:r w:rsidRPr="0084152B">
                  <w:rPr>
                    <w:rFonts w:eastAsia="Times New Roman" w:cs="Arial"/>
                    <w:color w:val="000000"/>
                    <w:sz w:val="20"/>
                    <w:szCs w:val="20"/>
                  </w:rPr>
                  <w:t xml:space="preserve"> hydrogen installation: </w:t>
                </w:r>
                <w:r w:rsidR="009A0783" w:rsidRPr="0084152B">
                  <w:rPr>
                    <w:rFonts w:eastAsia="Times New Roman" w:cs="Arial"/>
                    <w:color w:val="000000"/>
                    <w:sz w:val="20"/>
                    <w:szCs w:val="20"/>
                  </w:rPr>
                  <w:t>-£12</w:t>
                </w:r>
                <w:r w:rsidR="003C5A88" w:rsidRPr="0084152B">
                  <w:rPr>
                    <w:rFonts w:eastAsia="Times New Roman" w:cs="Arial"/>
                    <w:color w:val="000000"/>
                    <w:sz w:val="20"/>
                    <w:szCs w:val="20"/>
                  </w:rPr>
                  <w:t>m (-£5.</w:t>
                </w:r>
                <w:r w:rsidR="00AC399A">
                  <w:rPr>
                    <w:rFonts w:eastAsia="Times New Roman" w:cs="Arial"/>
                    <w:color w:val="000000"/>
                    <w:sz w:val="20"/>
                    <w:szCs w:val="20"/>
                  </w:rPr>
                  <w:t>0</w:t>
                </w:r>
                <w:r w:rsidR="003C5A88" w:rsidRPr="0084152B">
                  <w:rPr>
                    <w:rFonts w:eastAsia="Times New Roman" w:cs="Arial"/>
                    <w:color w:val="000000"/>
                    <w:sz w:val="20"/>
                    <w:szCs w:val="20"/>
                  </w:rPr>
                  <w:t xml:space="preserve">m to </w:t>
                </w:r>
                <w:r w:rsidR="00204C6D" w:rsidRPr="0084152B">
                  <w:rPr>
                    <w:rFonts w:eastAsia="Times New Roman" w:cs="Arial"/>
                    <w:color w:val="000000"/>
                    <w:sz w:val="20"/>
                    <w:szCs w:val="20"/>
                  </w:rPr>
                  <w:t>-</w:t>
                </w:r>
                <w:r w:rsidR="003C5A88" w:rsidRPr="0084152B">
                  <w:rPr>
                    <w:rFonts w:eastAsia="Times New Roman" w:cs="Arial"/>
                    <w:color w:val="000000"/>
                    <w:sz w:val="20"/>
                    <w:szCs w:val="20"/>
                  </w:rPr>
                  <w:t>£</w:t>
                </w:r>
                <w:r w:rsidR="00204C6D" w:rsidRPr="0084152B">
                  <w:rPr>
                    <w:rFonts w:eastAsia="Times New Roman" w:cs="Arial"/>
                    <w:color w:val="000000"/>
                    <w:sz w:val="20"/>
                    <w:szCs w:val="20"/>
                  </w:rPr>
                  <w:t>18m)</w:t>
                </w:r>
              </w:p>
              <w:p w14:paraId="2DE2D46C" w14:textId="77777777" w:rsidR="00204C6D" w:rsidRPr="0084152B" w:rsidRDefault="00204C6D" w:rsidP="00113C52">
                <w:pPr>
                  <w:spacing w:after="0" w:line="240" w:lineRule="auto"/>
                  <w:rPr>
                    <w:rFonts w:eastAsia="Times New Roman" w:cs="Arial"/>
                    <w:color w:val="000000"/>
                    <w:sz w:val="20"/>
                    <w:szCs w:val="20"/>
                  </w:rPr>
                </w:pPr>
              </w:p>
              <w:p w14:paraId="453AF24A" w14:textId="1A08A0B0" w:rsidR="00582894" w:rsidRDefault="004F458D" w:rsidP="00113C52">
                <w:pPr>
                  <w:spacing w:after="0" w:line="240" w:lineRule="auto"/>
                  <w:rPr>
                    <w:rFonts w:eastAsia="Times New Roman" w:cs="Arial"/>
                    <w:color w:val="000000"/>
                    <w:sz w:val="20"/>
                    <w:szCs w:val="20"/>
                  </w:rPr>
                </w:pPr>
                <w:r w:rsidRPr="5073BAF7">
                  <w:rPr>
                    <w:rFonts w:eastAsia="Times New Roman" w:cs="Arial"/>
                    <w:color w:val="000000" w:themeColor="text1"/>
                    <w:sz w:val="20"/>
                    <w:szCs w:val="20"/>
                  </w:rPr>
                  <w:lastRenderedPageBreak/>
                  <w:t>These estimates cover the cost of compliance</w:t>
                </w:r>
                <w:r w:rsidR="00B15CA5" w:rsidRPr="5073BAF7">
                  <w:rPr>
                    <w:rFonts w:eastAsia="Times New Roman" w:cs="Arial"/>
                    <w:color w:val="000000" w:themeColor="text1"/>
                    <w:sz w:val="20"/>
                    <w:szCs w:val="20"/>
                  </w:rPr>
                  <w:t xml:space="preserve"> </w:t>
                </w:r>
                <w:r w:rsidRPr="5073BAF7">
                  <w:rPr>
                    <w:rFonts w:eastAsia="Times New Roman" w:cs="Arial"/>
                    <w:color w:val="000000" w:themeColor="text1"/>
                    <w:sz w:val="20"/>
                    <w:szCs w:val="20"/>
                  </w:rPr>
                  <w:t>with the regulations SCR, DCR, MAR, and PSR</w:t>
                </w:r>
                <w:r w:rsidR="00B15CA5" w:rsidRPr="5073BAF7">
                  <w:rPr>
                    <w:rFonts w:eastAsia="Times New Roman" w:cs="Arial"/>
                    <w:color w:val="000000" w:themeColor="text1"/>
                    <w:sz w:val="20"/>
                    <w:szCs w:val="20"/>
                  </w:rPr>
                  <w:t>, as well as the associated cost recovery</w:t>
                </w:r>
                <w:r w:rsidRPr="5073BAF7">
                  <w:rPr>
                    <w:rFonts w:eastAsia="Times New Roman" w:cs="Arial"/>
                    <w:color w:val="000000" w:themeColor="text1"/>
                    <w:sz w:val="20"/>
                    <w:szCs w:val="20"/>
                  </w:rPr>
                  <w:t xml:space="preserve">. </w:t>
                </w:r>
                <w:r w:rsidR="004D37B6" w:rsidRPr="5073BAF7">
                  <w:rPr>
                    <w:rFonts w:eastAsia="Times New Roman" w:cs="Arial"/>
                    <w:color w:val="000000" w:themeColor="text1"/>
                    <w:sz w:val="20"/>
                    <w:szCs w:val="20"/>
                  </w:rPr>
                  <w:t>Estimates have been developed on a per-unit basis</w:t>
                </w:r>
                <w:r w:rsidR="00BF7013" w:rsidRPr="5073BAF7">
                  <w:rPr>
                    <w:rFonts w:eastAsia="Times New Roman" w:cs="Arial"/>
                    <w:color w:val="000000" w:themeColor="text1"/>
                    <w:sz w:val="20"/>
                    <w:szCs w:val="20"/>
                  </w:rPr>
                  <w:t>. It has only been possible to extrapolate across the estimated size of industry for the offshore CCUS sector at this stage.</w:t>
                </w:r>
              </w:p>
              <w:p w14:paraId="4D591809" w14:textId="77777777" w:rsidR="00BF7013" w:rsidRDefault="00BF7013" w:rsidP="00113C52">
                <w:pPr>
                  <w:spacing w:after="0" w:line="240" w:lineRule="auto"/>
                  <w:rPr>
                    <w:rFonts w:eastAsia="Times New Roman" w:cs="Arial"/>
                    <w:color w:val="000000"/>
                    <w:sz w:val="20"/>
                    <w:szCs w:val="20"/>
                  </w:rPr>
                </w:pPr>
              </w:p>
              <w:p w14:paraId="4B07C6C5" w14:textId="25A3C2B0" w:rsidR="00BF7013" w:rsidRPr="004F458D" w:rsidRDefault="00A02D45" w:rsidP="00113C52">
                <w:pPr>
                  <w:spacing w:after="0" w:line="240" w:lineRule="auto"/>
                  <w:rPr>
                    <w:rFonts w:eastAsia="Times New Roman" w:cs="Arial"/>
                    <w:color w:val="000000"/>
                    <w:sz w:val="20"/>
                    <w:szCs w:val="20"/>
                  </w:rPr>
                </w:pPr>
                <w:r>
                  <w:rPr>
                    <w:rFonts w:eastAsia="Times New Roman" w:cs="Arial"/>
                    <w:color w:val="000000"/>
                    <w:sz w:val="20"/>
                    <w:szCs w:val="20"/>
                  </w:rPr>
                  <w:t>The benefits have not been monetised at this stage.</w:t>
                </w:r>
              </w:p>
              <w:p w14:paraId="35A55AA8" w14:textId="5F9C239C" w:rsidR="00113C52" w:rsidRPr="0048710A" w:rsidRDefault="00000000" w:rsidP="00113C52">
                <w:pPr>
                  <w:spacing w:after="0" w:line="240" w:lineRule="auto"/>
                  <w:rPr>
                    <w:rFonts w:eastAsia="Times New Roman" w:cs="Arial"/>
                    <w:sz w:val="20"/>
                    <w:szCs w:val="20"/>
                  </w:rPr>
                </w:pPr>
              </w:p>
            </w:sdtContent>
          </w:sdt>
        </w:tc>
        <w:tc>
          <w:tcPr>
            <w:tcW w:w="2077" w:type="dxa"/>
            <w:tcBorders>
              <w:bottom w:val="single" w:sz="4" w:space="0" w:color="auto"/>
              <w:right w:val="single" w:sz="4" w:space="0" w:color="auto"/>
            </w:tcBorders>
            <w:shd w:val="clear" w:color="auto" w:fill="FF0000"/>
            <w:tcMar>
              <w:top w:w="100" w:type="dxa"/>
              <w:left w:w="100" w:type="dxa"/>
              <w:bottom w:w="100" w:type="dxa"/>
              <w:right w:w="100" w:type="dxa"/>
            </w:tcMar>
            <w:hideMark/>
          </w:tcPr>
          <w:p w14:paraId="2393AFBB" w14:textId="3EFBEBE5" w:rsidR="00113C52" w:rsidRPr="002E73F4" w:rsidRDefault="002961F8" w:rsidP="00113C52">
            <w:pPr>
              <w:spacing w:after="0" w:line="240" w:lineRule="auto"/>
              <w:rPr>
                <w:rFonts w:eastAsia="Arial" w:cs="Arial"/>
                <w:b/>
                <w:bCs/>
                <w:szCs w:val="24"/>
              </w:rPr>
            </w:pPr>
            <w:r>
              <w:rPr>
                <w:rFonts w:eastAsia="Arial" w:cs="Arial"/>
                <w:b/>
                <w:bCs/>
                <w:szCs w:val="24"/>
              </w:rPr>
              <w:lastRenderedPageBreak/>
              <w:t>Negative</w:t>
            </w:r>
          </w:p>
          <w:p w14:paraId="59E372FF" w14:textId="77777777" w:rsidR="00113C52" w:rsidRDefault="00113C52" w:rsidP="00113C52">
            <w:pPr>
              <w:spacing w:after="0" w:line="240" w:lineRule="auto"/>
              <w:rPr>
                <w:rFonts w:eastAsia="Arial" w:cs="Arial"/>
                <w:b/>
                <w:bCs/>
                <w:sz w:val="20"/>
                <w:szCs w:val="20"/>
              </w:rPr>
            </w:pPr>
          </w:p>
          <w:p w14:paraId="73C96475" w14:textId="6452DC89" w:rsidR="00113C52" w:rsidRPr="006357B0" w:rsidRDefault="00113C52" w:rsidP="00113C52">
            <w:pPr>
              <w:spacing w:after="0" w:line="240" w:lineRule="auto"/>
              <w:rPr>
                <w:rFonts w:eastAsia="Times New Roman" w:cs="Arial"/>
                <w:sz w:val="20"/>
                <w:szCs w:val="20"/>
              </w:rPr>
            </w:pPr>
            <w:r w:rsidRPr="006357B0">
              <w:rPr>
                <w:rFonts w:eastAsia="Arial" w:cs="Arial"/>
                <w:b/>
                <w:bCs/>
                <w:sz w:val="20"/>
                <w:szCs w:val="20"/>
              </w:rPr>
              <w:t>Based on likely £NPSV</w:t>
            </w:r>
          </w:p>
        </w:tc>
      </w:tr>
      <w:tr w:rsidR="00097CFE" w:rsidRPr="002E73F4" w14:paraId="46B90362" w14:textId="77777777" w:rsidTr="00223F1E">
        <w:tc>
          <w:tcPr>
            <w:tcW w:w="1833" w:type="dxa"/>
            <w:tcBorders>
              <w:left w:val="single" w:sz="4" w:space="0" w:color="auto"/>
              <w:bottom w:val="single" w:sz="4" w:space="0" w:color="auto"/>
            </w:tcBorders>
            <w:tcMar>
              <w:top w:w="100" w:type="dxa"/>
              <w:left w:w="100" w:type="dxa"/>
              <w:bottom w:w="100" w:type="dxa"/>
              <w:right w:w="100" w:type="dxa"/>
            </w:tcMar>
            <w:hideMark/>
          </w:tcPr>
          <w:p w14:paraId="31ECD74B" w14:textId="77777777" w:rsidR="00097CFE" w:rsidRPr="002E73F4" w:rsidRDefault="00097CFE" w:rsidP="00097CFE">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822" w:type="dxa"/>
            <w:tcMar>
              <w:top w:w="100" w:type="dxa"/>
              <w:left w:w="100" w:type="dxa"/>
              <w:bottom w:w="100" w:type="dxa"/>
              <w:right w:w="100" w:type="dxa"/>
            </w:tcMar>
            <w:hideMark/>
          </w:tcPr>
          <w:sdt>
            <w:sdtPr>
              <w:rPr>
                <w:rFonts w:ascii="Arial" w:eastAsia="Calibri" w:hAnsi="Arial" w:cs="Arial"/>
                <w:color w:val="000000"/>
                <w:sz w:val="20"/>
                <w:szCs w:val="20"/>
              </w:rPr>
              <w:id w:val="485906269"/>
              <w:placeholder>
                <w:docPart w:val="C21B8C48F01A46F3B75889ED1F78B43B"/>
              </w:placeholder>
            </w:sdtPr>
            <w:sdtEndPr>
              <w:rPr>
                <w:color w:val="000000" w:themeColor="text1"/>
              </w:rPr>
            </w:sdtEndPr>
            <w:sdtContent>
              <w:p w14:paraId="072BC23C" w14:textId="00F4E6B4" w:rsidR="00486ACE" w:rsidRDefault="00486ACE" w:rsidP="00687ACB">
                <w:pPr>
                  <w:pStyle w:val="NormalWeb"/>
                  <w:spacing w:before="0" w:beforeAutospacing="0" w:after="0" w:afterAutospacing="0"/>
                  <w:rPr>
                    <w:rFonts w:ascii="Arial" w:eastAsia="Calibri" w:hAnsi="Arial" w:cs="Arial"/>
                    <w:color w:val="000000"/>
                    <w:sz w:val="20"/>
                    <w:szCs w:val="20"/>
                  </w:rPr>
                </w:pPr>
                <w:r w:rsidRPr="00486ACE">
                  <w:rPr>
                    <w:rFonts w:ascii="Arial" w:eastAsia="Calibri" w:hAnsi="Arial" w:cs="Arial"/>
                    <w:color w:val="000000"/>
                    <w:sz w:val="20"/>
                    <w:szCs w:val="20"/>
                  </w:rPr>
                  <w:t xml:space="preserve">There is an expected benefit to business in terms of the reduction in the </w:t>
                </w:r>
                <w:r w:rsidR="00EC51D2">
                  <w:rPr>
                    <w:rFonts w:ascii="Arial" w:eastAsia="Calibri" w:hAnsi="Arial" w:cs="Arial"/>
                    <w:color w:val="000000"/>
                    <w:sz w:val="20"/>
                    <w:szCs w:val="20"/>
                  </w:rPr>
                  <w:t>potential for</w:t>
                </w:r>
                <w:r w:rsidRPr="00486ACE">
                  <w:rPr>
                    <w:rFonts w:ascii="Arial" w:eastAsia="Calibri" w:hAnsi="Arial" w:cs="Arial"/>
                    <w:color w:val="000000"/>
                    <w:sz w:val="20"/>
                    <w:szCs w:val="20"/>
                  </w:rPr>
                  <w:t xml:space="preserve"> a major accident. A major accident would result in significant costs to business, and so prevention of an accident is a significant benefit.</w:t>
                </w:r>
                <w:r w:rsidR="00212466">
                  <w:rPr>
                    <w:rFonts w:ascii="Arial" w:eastAsia="Calibri" w:hAnsi="Arial" w:cs="Arial"/>
                    <w:color w:val="000000"/>
                    <w:sz w:val="20"/>
                    <w:szCs w:val="20"/>
                  </w:rPr>
                  <w:t xml:space="preserve"> This </w:t>
                </w:r>
                <w:r w:rsidR="007524F0">
                  <w:rPr>
                    <w:rFonts w:ascii="Arial" w:eastAsia="Calibri" w:hAnsi="Arial" w:cs="Arial"/>
                    <w:color w:val="000000"/>
                    <w:sz w:val="20"/>
                    <w:szCs w:val="20"/>
                  </w:rPr>
                  <w:t xml:space="preserve">includes </w:t>
                </w:r>
                <w:r w:rsidR="00853011">
                  <w:rPr>
                    <w:rFonts w:ascii="Arial" w:eastAsia="Calibri" w:hAnsi="Arial" w:cs="Arial"/>
                    <w:color w:val="000000"/>
                    <w:sz w:val="20"/>
                    <w:szCs w:val="20"/>
                  </w:rPr>
                  <w:t>capital costs caused by damage</w:t>
                </w:r>
                <w:r w:rsidR="007524F0">
                  <w:rPr>
                    <w:rFonts w:ascii="Arial" w:eastAsia="Calibri" w:hAnsi="Arial" w:cs="Arial"/>
                    <w:color w:val="000000"/>
                    <w:sz w:val="20"/>
                    <w:szCs w:val="20"/>
                  </w:rPr>
                  <w:t>, financial costs due to shutdown of operations and the cost (</w:t>
                </w:r>
                <w:r w:rsidR="00F90F4F">
                  <w:rPr>
                    <w:rFonts w:ascii="Arial" w:eastAsia="Calibri" w:hAnsi="Arial" w:cs="Arial"/>
                    <w:color w:val="000000"/>
                    <w:sz w:val="20"/>
                    <w:szCs w:val="20"/>
                  </w:rPr>
                  <w:t xml:space="preserve">hiring, </w:t>
                </w:r>
                <w:r w:rsidR="007524F0">
                  <w:rPr>
                    <w:rFonts w:ascii="Arial" w:eastAsia="Calibri" w:hAnsi="Arial" w:cs="Arial"/>
                    <w:color w:val="000000"/>
                    <w:sz w:val="20"/>
                    <w:szCs w:val="20"/>
                  </w:rPr>
                  <w:t>retraining</w:t>
                </w:r>
                <w:r w:rsidR="00F90F4F">
                  <w:rPr>
                    <w:rFonts w:ascii="Arial" w:eastAsia="Calibri" w:hAnsi="Arial" w:cs="Arial"/>
                    <w:color w:val="000000"/>
                    <w:sz w:val="20"/>
                    <w:szCs w:val="20"/>
                  </w:rPr>
                  <w:t xml:space="preserve"> etc)</w:t>
                </w:r>
                <w:r w:rsidR="007524F0">
                  <w:rPr>
                    <w:rFonts w:ascii="Arial" w:eastAsia="Calibri" w:hAnsi="Arial" w:cs="Arial"/>
                    <w:color w:val="000000"/>
                    <w:sz w:val="20"/>
                    <w:szCs w:val="20"/>
                  </w:rPr>
                  <w:t xml:space="preserve"> of impacts to their workforce caused by injuries or fatalities.</w:t>
                </w:r>
                <w:r w:rsidR="00F90F4F">
                  <w:rPr>
                    <w:rFonts w:ascii="Arial" w:eastAsia="Calibri" w:hAnsi="Arial" w:cs="Arial"/>
                    <w:color w:val="000000"/>
                    <w:sz w:val="20"/>
                    <w:szCs w:val="20"/>
                  </w:rPr>
                  <w:t xml:space="preserve"> Additionally, avoiding an accident avoids </w:t>
                </w:r>
                <w:r w:rsidR="00457AE6">
                  <w:rPr>
                    <w:rFonts w:ascii="Arial" w:eastAsia="Calibri" w:hAnsi="Arial" w:cs="Arial"/>
                    <w:color w:val="000000"/>
                    <w:sz w:val="20"/>
                    <w:szCs w:val="20"/>
                  </w:rPr>
                  <w:t>costs to wider industry caused by reduced confidence in safety of the technology.</w:t>
                </w:r>
              </w:p>
              <w:p w14:paraId="03F11D56" w14:textId="77777777" w:rsidR="00486ACE" w:rsidRDefault="00486ACE" w:rsidP="00687ACB">
                <w:pPr>
                  <w:pStyle w:val="NormalWeb"/>
                  <w:spacing w:before="0" w:beforeAutospacing="0" w:after="0" w:afterAutospacing="0"/>
                  <w:rPr>
                    <w:rFonts w:ascii="Arial" w:eastAsia="Calibri" w:hAnsi="Arial" w:cs="Arial"/>
                    <w:color w:val="000000"/>
                    <w:sz w:val="20"/>
                    <w:szCs w:val="20"/>
                  </w:rPr>
                </w:pPr>
              </w:p>
              <w:p w14:paraId="6741F374" w14:textId="61FF5A28" w:rsidR="00B24906" w:rsidRDefault="001C7E53" w:rsidP="00687ACB">
                <w:pPr>
                  <w:pStyle w:val="NormalWeb"/>
                  <w:spacing w:before="0" w:beforeAutospacing="0" w:after="0" w:afterAutospacing="0"/>
                  <w:rPr>
                    <w:rFonts w:ascii="Arial" w:eastAsia="Calibri" w:hAnsi="Arial" w:cs="Arial"/>
                    <w:color w:val="000000"/>
                    <w:sz w:val="20"/>
                    <w:szCs w:val="20"/>
                  </w:rPr>
                </w:pPr>
                <w:r>
                  <w:rPr>
                    <w:rFonts w:ascii="Arial" w:eastAsia="Calibri" w:hAnsi="Arial" w:cs="Arial"/>
                    <w:color w:val="000000" w:themeColor="text1"/>
                    <w:sz w:val="20"/>
                    <w:szCs w:val="20"/>
                  </w:rPr>
                  <w:t>Application of the regulatory regime</w:t>
                </w:r>
                <w:r w:rsidR="00B24906" w:rsidRPr="4C4B015B">
                  <w:rPr>
                    <w:rFonts w:ascii="Arial" w:eastAsia="Calibri" w:hAnsi="Arial" w:cs="Arial"/>
                    <w:color w:val="000000" w:themeColor="text1"/>
                    <w:sz w:val="20"/>
                    <w:szCs w:val="20"/>
                  </w:rPr>
                  <w:t xml:space="preserve"> </w:t>
                </w:r>
                <w:r w:rsidR="00B41B37">
                  <w:rPr>
                    <w:rFonts w:ascii="Arial" w:eastAsia="Calibri" w:hAnsi="Arial" w:cs="Arial"/>
                    <w:color w:val="000000" w:themeColor="text1"/>
                    <w:sz w:val="20"/>
                    <w:szCs w:val="20"/>
                  </w:rPr>
                  <w:t xml:space="preserve">should </w:t>
                </w:r>
                <w:r w:rsidR="00C12BB0">
                  <w:rPr>
                    <w:rFonts w:ascii="Arial" w:eastAsia="Calibri" w:hAnsi="Arial" w:cs="Arial"/>
                    <w:color w:val="000000" w:themeColor="text1"/>
                    <w:sz w:val="20"/>
                    <w:szCs w:val="20"/>
                  </w:rPr>
                  <w:t xml:space="preserve">also </w:t>
                </w:r>
                <w:r w:rsidR="00B41B37">
                  <w:rPr>
                    <w:rFonts w:ascii="Arial" w:eastAsia="Calibri" w:hAnsi="Arial" w:cs="Arial"/>
                    <w:color w:val="000000" w:themeColor="text1"/>
                    <w:sz w:val="20"/>
                    <w:szCs w:val="20"/>
                  </w:rPr>
                  <w:t xml:space="preserve">provide greater clarity around requirements and assurance around safety. </w:t>
                </w:r>
                <w:r w:rsidR="00B24906" w:rsidRPr="4C4B015B">
                  <w:rPr>
                    <w:rFonts w:ascii="Arial" w:eastAsia="Calibri" w:hAnsi="Arial" w:cs="Arial"/>
                    <w:color w:val="000000" w:themeColor="text1"/>
                    <w:sz w:val="20"/>
                    <w:szCs w:val="20"/>
                  </w:rPr>
                  <w:t xml:space="preserve">This will </w:t>
                </w:r>
                <w:r w:rsidR="00954333" w:rsidRPr="4C4B015B">
                  <w:rPr>
                    <w:rFonts w:ascii="Arial" w:eastAsia="Calibri" w:hAnsi="Arial" w:cs="Arial"/>
                    <w:color w:val="000000" w:themeColor="text1"/>
                    <w:sz w:val="20"/>
                    <w:szCs w:val="20"/>
                  </w:rPr>
                  <w:t>contribute to</w:t>
                </w:r>
                <w:r w:rsidR="00B24906" w:rsidRPr="4C4B015B">
                  <w:rPr>
                    <w:rFonts w:ascii="Arial" w:eastAsia="Calibri" w:hAnsi="Arial" w:cs="Arial"/>
                    <w:color w:val="000000" w:themeColor="text1"/>
                    <w:sz w:val="20"/>
                    <w:szCs w:val="20"/>
                  </w:rPr>
                  <w:t xml:space="preserve"> greater assurance to </w:t>
                </w:r>
                <w:r w:rsidR="000D6FB4">
                  <w:rPr>
                    <w:rFonts w:ascii="Arial" w:eastAsia="Calibri" w:hAnsi="Arial" w:cs="Arial"/>
                    <w:color w:val="000000" w:themeColor="text1"/>
                    <w:sz w:val="20"/>
                    <w:szCs w:val="20"/>
                  </w:rPr>
                  <w:t xml:space="preserve">the public, investors and </w:t>
                </w:r>
                <w:r w:rsidR="00B24906" w:rsidRPr="4C4B015B">
                  <w:rPr>
                    <w:rFonts w:ascii="Arial" w:eastAsia="Calibri" w:hAnsi="Arial" w:cs="Arial"/>
                    <w:color w:val="000000" w:themeColor="text1"/>
                    <w:sz w:val="20"/>
                    <w:szCs w:val="20"/>
                  </w:rPr>
                  <w:t>HM Government (which is provid</w:t>
                </w:r>
                <w:r w:rsidR="00954333" w:rsidRPr="4C4B015B">
                  <w:rPr>
                    <w:rFonts w:ascii="Arial" w:eastAsia="Calibri" w:hAnsi="Arial" w:cs="Arial"/>
                    <w:color w:val="000000" w:themeColor="text1"/>
                    <w:sz w:val="20"/>
                    <w:szCs w:val="20"/>
                  </w:rPr>
                  <w:t>ing fundi</w:t>
                </w:r>
                <w:r w:rsidR="00B24906" w:rsidRPr="4C4B015B">
                  <w:rPr>
                    <w:rFonts w:ascii="Arial" w:eastAsia="Calibri" w:hAnsi="Arial" w:cs="Arial"/>
                    <w:color w:val="000000" w:themeColor="text1"/>
                    <w:sz w:val="20"/>
                    <w:szCs w:val="20"/>
                  </w:rPr>
                  <w:t xml:space="preserve">ng to </w:t>
                </w:r>
                <w:r w:rsidR="00954333" w:rsidRPr="4C4B015B">
                  <w:rPr>
                    <w:rFonts w:ascii="Arial" w:eastAsia="Calibri" w:hAnsi="Arial" w:cs="Arial"/>
                    <w:color w:val="000000" w:themeColor="text1"/>
                    <w:sz w:val="20"/>
                    <w:szCs w:val="20"/>
                  </w:rPr>
                  <w:t xml:space="preserve">some projects) that new technologies will be </w:t>
                </w:r>
                <w:r w:rsidR="00863B83" w:rsidRPr="4C4B015B">
                  <w:rPr>
                    <w:rFonts w:ascii="Arial" w:eastAsia="Calibri" w:hAnsi="Arial" w:cs="Arial"/>
                    <w:color w:val="000000" w:themeColor="text1"/>
                    <w:sz w:val="20"/>
                    <w:szCs w:val="20"/>
                  </w:rPr>
                  <w:t>managed safely and appropriately regulated</w:t>
                </w:r>
                <w:r w:rsidR="00835682">
                  <w:rPr>
                    <w:rFonts w:ascii="Arial" w:eastAsia="Calibri" w:hAnsi="Arial" w:cs="Arial"/>
                    <w:color w:val="000000" w:themeColor="text1"/>
                    <w:sz w:val="20"/>
                    <w:szCs w:val="20"/>
                  </w:rPr>
                  <w:t xml:space="preserve">. </w:t>
                </w:r>
                <w:r w:rsidR="009B2CE7">
                  <w:rPr>
                    <w:rFonts w:ascii="Arial" w:eastAsia="Calibri" w:hAnsi="Arial" w:cs="Arial"/>
                    <w:color w:val="000000" w:themeColor="text1"/>
                    <w:sz w:val="20"/>
                    <w:szCs w:val="20"/>
                  </w:rPr>
                  <w:t xml:space="preserve">In turn this should </w:t>
                </w:r>
                <w:r w:rsidR="000E5C77">
                  <w:rPr>
                    <w:rFonts w:ascii="Arial" w:eastAsia="Calibri" w:hAnsi="Arial" w:cs="Arial"/>
                    <w:color w:val="000000" w:themeColor="text1"/>
                    <w:sz w:val="20"/>
                    <w:szCs w:val="20"/>
                  </w:rPr>
                  <w:t>result in a</w:t>
                </w:r>
                <w:r w:rsidR="00B63905">
                  <w:rPr>
                    <w:rFonts w:ascii="Arial" w:eastAsia="Calibri" w:hAnsi="Arial" w:cs="Arial"/>
                    <w:color w:val="000000" w:themeColor="text1"/>
                    <w:sz w:val="20"/>
                    <w:szCs w:val="20"/>
                  </w:rPr>
                  <w:t xml:space="preserve"> better environment for </w:t>
                </w:r>
                <w:r w:rsidR="00486ACE">
                  <w:rPr>
                    <w:rFonts w:ascii="Arial" w:eastAsia="Calibri" w:hAnsi="Arial" w:cs="Arial"/>
                    <w:color w:val="000000" w:themeColor="text1"/>
                    <w:sz w:val="20"/>
                    <w:szCs w:val="20"/>
                  </w:rPr>
                  <w:t>investment and innovation in the sector.</w:t>
                </w:r>
              </w:p>
              <w:p w14:paraId="660C329C" w14:textId="1D396AA8" w:rsidR="00097CFE" w:rsidRPr="0048710A" w:rsidRDefault="00000000" w:rsidP="00097CFE">
                <w:pPr>
                  <w:spacing w:after="0" w:line="240" w:lineRule="auto"/>
                  <w:rPr>
                    <w:rFonts w:eastAsia="Times New Roman" w:cs="Arial"/>
                    <w:sz w:val="20"/>
                    <w:szCs w:val="20"/>
                  </w:rPr>
                </w:pPr>
              </w:p>
            </w:sdtContent>
          </w:sdt>
        </w:tc>
        <w:tc>
          <w:tcPr>
            <w:tcW w:w="2077" w:type="dxa"/>
            <w:tcBorders>
              <w:right w:val="single" w:sz="4" w:space="0" w:color="auto"/>
            </w:tcBorders>
            <w:shd w:val="clear" w:color="auto" w:fill="00B050"/>
            <w:tcMar>
              <w:top w:w="100" w:type="dxa"/>
              <w:left w:w="100" w:type="dxa"/>
              <w:bottom w:w="100" w:type="dxa"/>
              <w:right w:w="100" w:type="dxa"/>
            </w:tcMar>
            <w:hideMark/>
          </w:tcPr>
          <w:sdt>
            <w:sdtPr>
              <w:rPr>
                <w:rFonts w:eastAsia="Arial" w:cs="Arial"/>
                <w:b/>
                <w:bCs/>
              </w:rPr>
              <w:alias w:val="Rating"/>
              <w:tag w:val="Rating"/>
              <w:id w:val="1297717301"/>
              <w:placeholder>
                <w:docPart w:val="29DCFADF38D9474C8F5797849B6683E3"/>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43486A03" w14:textId="1DDF74F0" w:rsidR="00097CFE" w:rsidRDefault="000172F0" w:rsidP="00097CFE">
                <w:pPr>
                  <w:rPr>
                    <w:rFonts w:eastAsia="Arial" w:cs="Arial"/>
                    <w:b/>
                    <w:bCs/>
                    <w:szCs w:val="24"/>
                  </w:rPr>
                </w:pPr>
                <w:r>
                  <w:rPr>
                    <w:rFonts w:eastAsia="Arial" w:cs="Arial"/>
                    <w:b/>
                    <w:bCs/>
                    <w:szCs w:val="24"/>
                  </w:rPr>
                  <w:t>Positive</w:t>
                </w:r>
              </w:p>
            </w:sdtContent>
          </w:sdt>
          <w:p w14:paraId="7CFE66C1" w14:textId="77777777" w:rsidR="00097CFE" w:rsidRPr="002E73F4" w:rsidRDefault="00097CFE" w:rsidP="00097CFE">
            <w:pPr>
              <w:spacing w:after="0" w:line="240" w:lineRule="auto"/>
              <w:rPr>
                <w:rFonts w:eastAsia="Times New Roman" w:cs="Arial"/>
                <w:szCs w:val="24"/>
              </w:rPr>
            </w:pPr>
          </w:p>
        </w:tc>
      </w:tr>
      <w:tr w:rsidR="00113C52" w:rsidRPr="002E73F4" w14:paraId="1AD2CDAD" w14:textId="77777777" w:rsidTr="00223F1E">
        <w:tc>
          <w:tcPr>
            <w:tcW w:w="1833" w:type="dxa"/>
            <w:tcBorders>
              <w:left w:val="single" w:sz="4" w:space="0" w:color="auto"/>
            </w:tcBorders>
            <w:tcMar>
              <w:top w:w="100" w:type="dxa"/>
              <w:left w:w="100" w:type="dxa"/>
              <w:bottom w:w="100" w:type="dxa"/>
              <w:right w:w="100" w:type="dxa"/>
            </w:tcMar>
            <w:hideMark/>
          </w:tcPr>
          <w:p w14:paraId="42C39773" w14:textId="77777777" w:rsidR="00113C52" w:rsidRPr="002E73F4" w:rsidRDefault="00113C52" w:rsidP="00113C52">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822" w:type="dxa"/>
            <w:tcMar>
              <w:top w:w="100" w:type="dxa"/>
              <w:left w:w="100" w:type="dxa"/>
              <w:bottom w:w="100" w:type="dxa"/>
              <w:right w:w="100" w:type="dxa"/>
            </w:tcMar>
            <w:hideMark/>
          </w:tcPr>
          <w:sdt>
            <w:sdtPr>
              <w:rPr>
                <w:rFonts w:eastAsia="Times New Roman" w:cs="Arial"/>
                <w:color w:val="000000"/>
                <w:sz w:val="20"/>
                <w:szCs w:val="20"/>
              </w:rPr>
              <w:id w:val="512027483"/>
              <w:placeholder>
                <w:docPart w:val="706841EAF00F4584BFCEE473C17A60D4"/>
              </w:placeholder>
            </w:sdtPr>
            <w:sdtEndPr>
              <w:rPr>
                <w:color w:val="000000" w:themeColor="text1"/>
              </w:rPr>
            </w:sdtEndPr>
            <w:sdtContent>
              <w:p w14:paraId="6495F03D" w14:textId="141148D2" w:rsidR="00113C52" w:rsidRPr="0048710A" w:rsidRDefault="00113C52" w:rsidP="00113C52">
                <w:pPr>
                  <w:spacing w:after="0" w:line="240" w:lineRule="auto"/>
                  <w:rPr>
                    <w:rFonts w:eastAsia="Times New Roman" w:cs="Arial"/>
                    <w:sz w:val="20"/>
                    <w:szCs w:val="20"/>
                  </w:rPr>
                </w:pPr>
                <w:r w:rsidRPr="0048710A">
                  <w:rPr>
                    <w:rFonts w:eastAsia="Times New Roman" w:cs="Arial"/>
                    <w:color w:val="000000"/>
                    <w:sz w:val="20"/>
                    <w:szCs w:val="20"/>
                  </w:rPr>
                  <w:t>No</w:t>
                </w:r>
                <w:r w:rsidRPr="0048710A">
                  <w:rPr>
                    <w:rFonts w:eastAsia="Times New Roman" w:cs="Arial"/>
                    <w:color w:val="000000"/>
                    <w:sz w:val="20"/>
                    <w:szCs w:val="20"/>
                  </w:rPr>
                  <w:br/>
                </w:r>
              </w:p>
              <w:p w14:paraId="672E4FB7" w14:textId="7623630C" w:rsidR="00113C52" w:rsidRPr="0048710A" w:rsidRDefault="00000000" w:rsidP="00113C52">
                <w:pPr>
                  <w:spacing w:after="0" w:line="240" w:lineRule="auto"/>
                  <w:rPr>
                    <w:rFonts w:eastAsia="Times New Roman" w:cs="Arial"/>
                    <w:sz w:val="20"/>
                    <w:szCs w:val="20"/>
                  </w:rPr>
                </w:pPr>
              </w:p>
            </w:sdtContent>
          </w:sdt>
        </w:tc>
        <w:tc>
          <w:tcPr>
            <w:tcW w:w="2077" w:type="dxa"/>
            <w:shd w:val="clear" w:color="auto" w:fill="0070C0"/>
            <w:tcMar>
              <w:top w:w="100" w:type="dxa"/>
              <w:left w:w="100" w:type="dxa"/>
              <w:bottom w:w="100" w:type="dxa"/>
              <w:right w:w="100" w:type="dxa"/>
            </w:tcMar>
            <w:hideMark/>
          </w:tcPr>
          <w:sdt>
            <w:sdtPr>
              <w:rPr>
                <w:rFonts w:eastAsia="Arial" w:cs="Arial"/>
                <w:b/>
                <w:bCs/>
              </w:rPr>
              <w:alias w:val="Rating"/>
              <w:tag w:val="Rating"/>
              <w:id w:val="-407616792"/>
              <w:placeholder>
                <w:docPart w:val="B1255EFC7902445196EBAA92E6199980"/>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04FBA4BD" w14:textId="0A9A8DAE" w:rsidR="00113C52" w:rsidRDefault="00DB648A" w:rsidP="00113C52">
                <w:pPr>
                  <w:rPr>
                    <w:rFonts w:eastAsia="Arial" w:cs="Arial"/>
                    <w:b/>
                    <w:bCs/>
                    <w:szCs w:val="24"/>
                  </w:rPr>
                </w:pPr>
                <w:r>
                  <w:rPr>
                    <w:rFonts w:eastAsia="Arial" w:cs="Arial"/>
                    <w:b/>
                    <w:bCs/>
                    <w:szCs w:val="24"/>
                  </w:rPr>
                  <w:t>Neutral</w:t>
                </w:r>
              </w:p>
            </w:sdtContent>
          </w:sdt>
          <w:p w14:paraId="76B50D79" w14:textId="77777777" w:rsidR="00113C52" w:rsidRPr="002E73F4" w:rsidRDefault="00113C52" w:rsidP="00113C52">
            <w:pPr>
              <w:spacing w:after="0" w:line="240" w:lineRule="auto"/>
              <w:rPr>
                <w:rFonts w:eastAsia="Times New Roman" w:cs="Arial"/>
                <w:szCs w:val="24"/>
              </w:rPr>
            </w:pPr>
          </w:p>
        </w:tc>
      </w:tr>
    </w:tbl>
    <w:p w14:paraId="6148BF52" w14:textId="77777777" w:rsidR="00BF0F1D" w:rsidRDefault="00BF0F1D" w:rsidP="0005065B">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D25793" w:rsidRPr="002E73F4" w14:paraId="529FAEE0" w14:textId="77777777" w:rsidTr="00223F1E">
        <w:tc>
          <w:tcPr>
            <w:tcW w:w="9732" w:type="dxa"/>
            <w:gridSpan w:val="3"/>
            <w:tcBorders>
              <w:top w:val="single" w:sz="4" w:space="0" w:color="auto"/>
              <w:left w:val="single" w:sz="4" w:space="0" w:color="auto"/>
              <w:right w:val="single" w:sz="4" w:space="0" w:color="auto"/>
            </w:tcBorders>
            <w:shd w:val="clear" w:color="auto" w:fill="D9D9D9" w:themeFill="background1" w:themeFillShade="D9"/>
            <w:tcMar>
              <w:top w:w="100" w:type="dxa"/>
              <w:left w:w="100" w:type="dxa"/>
              <w:bottom w:w="100" w:type="dxa"/>
              <w:right w:w="100" w:type="dxa"/>
            </w:tcMar>
            <w:hideMark/>
          </w:tcPr>
          <w:p w14:paraId="5E392DD2" w14:textId="0580423D" w:rsidR="00D25793" w:rsidRPr="002E73F4" w:rsidRDefault="00D25793" w:rsidP="0005065B">
            <w:pPr>
              <w:spacing w:after="0" w:line="240" w:lineRule="auto"/>
              <w:rPr>
                <w:rFonts w:eastAsia="Times New Roman" w:cs="Arial"/>
                <w:szCs w:val="24"/>
              </w:rPr>
            </w:pPr>
            <w:r w:rsidRPr="002E73F4">
              <w:rPr>
                <w:rFonts w:eastAsia="Times New Roman" w:cs="Arial"/>
                <w:b/>
                <w:bCs/>
                <w:color w:val="000000"/>
                <w:szCs w:val="24"/>
              </w:rPr>
              <w:t xml:space="preserve">(2) Expected impacts on businesses </w:t>
            </w:r>
          </w:p>
        </w:tc>
      </w:tr>
      <w:tr w:rsidR="00805ABC" w:rsidRPr="002E73F4" w14:paraId="2A935C3E" w14:textId="77777777" w:rsidTr="00223F1E">
        <w:tc>
          <w:tcPr>
            <w:tcW w:w="1833" w:type="dxa"/>
            <w:tcBorders>
              <w:left w:val="single" w:sz="4" w:space="0" w:color="auto"/>
              <w:bottom w:val="single" w:sz="4" w:space="0" w:color="auto"/>
            </w:tcBorders>
            <w:shd w:val="clear" w:color="auto" w:fill="FFFFFF"/>
            <w:tcMar>
              <w:top w:w="100" w:type="dxa"/>
              <w:left w:w="100" w:type="dxa"/>
              <w:bottom w:w="100" w:type="dxa"/>
              <w:right w:w="100" w:type="dxa"/>
            </w:tcMar>
            <w:hideMark/>
          </w:tcPr>
          <w:p w14:paraId="53049C31"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t>Description of overall business impact</w:t>
            </w:r>
          </w:p>
        </w:tc>
        <w:tc>
          <w:tcPr>
            <w:tcW w:w="5710" w:type="dxa"/>
            <w:shd w:val="clear" w:color="auto" w:fill="FFFFFF"/>
            <w:tcMar>
              <w:top w:w="100" w:type="dxa"/>
              <w:left w:w="100" w:type="dxa"/>
              <w:bottom w:w="100" w:type="dxa"/>
              <w:right w:w="100" w:type="dxa"/>
            </w:tcMar>
            <w:hideMark/>
          </w:tcPr>
          <w:sdt>
            <w:sdtPr>
              <w:rPr>
                <w:rFonts w:cs="Arial"/>
                <w:color w:val="000000"/>
                <w:sz w:val="20"/>
                <w:szCs w:val="20"/>
              </w:rPr>
              <w:id w:val="-1660452781"/>
              <w:placeholder>
                <w:docPart w:val="DefaultPlaceholder_-1854013440"/>
              </w:placeholder>
            </w:sdtPr>
            <w:sdtContent>
              <w:sdt>
                <w:sdtPr>
                  <w:rPr>
                    <w:rFonts w:eastAsia="Times New Roman" w:cs="Arial"/>
                    <w:sz w:val="20"/>
                    <w:szCs w:val="20"/>
                  </w:rPr>
                  <w:id w:val="-395444540"/>
                  <w:placeholder>
                    <w:docPart w:val="C6A0CCE262294C66B8156353DEB71B69"/>
                  </w:placeholder>
                </w:sdtPr>
                <w:sdtContent>
                  <w:p w14:paraId="10DE1ADF" w14:textId="7C873581" w:rsidR="00F43444" w:rsidRDefault="00F43444" w:rsidP="00F43444">
                    <w:pPr>
                      <w:rPr>
                        <w:rFonts w:eastAsia="Times New Roman" w:cs="Arial"/>
                        <w:sz w:val="20"/>
                        <w:szCs w:val="20"/>
                      </w:rPr>
                    </w:pPr>
                    <w:r>
                      <w:rPr>
                        <w:rFonts w:eastAsia="Times New Roman" w:cs="Arial"/>
                        <w:sz w:val="20"/>
                        <w:szCs w:val="20"/>
                      </w:rPr>
                      <w:t xml:space="preserve">Measure will extend and clarify the scope of existing major hazard legislation to fully apply to the transport </w:t>
                    </w:r>
                    <w:r w:rsidRPr="00E86BA0">
                      <w:rPr>
                        <w:rFonts w:eastAsia="Times New Roman" w:cs="Arial"/>
                        <w:sz w:val="20"/>
                        <w:szCs w:val="20"/>
                      </w:rPr>
                      <w:t xml:space="preserve">of </w:t>
                    </w:r>
                    <w:r w:rsidR="005C0D1E" w:rsidRPr="00851617">
                      <w:rPr>
                        <w:sz w:val="20"/>
                        <w:szCs w:val="20"/>
                      </w:rPr>
                      <w:t>CO</w:t>
                    </w:r>
                    <w:r w:rsidR="005C0D1E" w:rsidRPr="00851617">
                      <w:rPr>
                        <w:sz w:val="20"/>
                        <w:szCs w:val="20"/>
                        <w:vertAlign w:val="subscript"/>
                      </w:rPr>
                      <w:t>2</w:t>
                    </w:r>
                    <w:r w:rsidRPr="00E86BA0">
                      <w:rPr>
                        <w:rFonts w:eastAsia="Times New Roman" w:cs="Arial"/>
                        <w:sz w:val="20"/>
                        <w:szCs w:val="20"/>
                      </w:rPr>
                      <w:t xml:space="preserve"> in pipelines and offshore storage of </w:t>
                    </w:r>
                    <w:r w:rsidR="005C0D1E" w:rsidRPr="00851617">
                      <w:rPr>
                        <w:sz w:val="20"/>
                        <w:szCs w:val="20"/>
                      </w:rPr>
                      <w:t>CO</w:t>
                    </w:r>
                    <w:r w:rsidR="005C0D1E" w:rsidRPr="00851617">
                      <w:rPr>
                        <w:sz w:val="20"/>
                        <w:szCs w:val="20"/>
                        <w:vertAlign w:val="subscript"/>
                      </w:rPr>
                      <w:t>2</w:t>
                    </w:r>
                    <w:r w:rsidRPr="00E86BA0">
                      <w:rPr>
                        <w:rFonts w:eastAsia="Times New Roman" w:cs="Arial"/>
                        <w:sz w:val="20"/>
                        <w:szCs w:val="20"/>
                      </w:rPr>
                      <w:t xml:space="preserve"> related to c</w:t>
                    </w:r>
                    <w:r>
                      <w:rPr>
                        <w:rFonts w:eastAsia="Times New Roman" w:cs="Arial"/>
                        <w:sz w:val="20"/>
                        <w:szCs w:val="20"/>
                      </w:rPr>
                      <w:t xml:space="preserve">arbon capture and storage technology, and to the offshore production of hydrogen. </w:t>
                    </w:r>
                  </w:p>
                  <w:p w14:paraId="33B99595" w14:textId="77777777" w:rsidR="00F43444" w:rsidRDefault="00F43444" w:rsidP="00F43444">
                    <w:pPr>
                      <w:rPr>
                        <w:rFonts w:eastAsia="Times New Roman" w:cs="Arial"/>
                        <w:sz w:val="20"/>
                        <w:szCs w:val="20"/>
                      </w:rPr>
                    </w:pPr>
                    <w:r>
                      <w:rPr>
                        <w:rFonts w:eastAsia="Times New Roman" w:cs="Arial"/>
                        <w:sz w:val="20"/>
                        <w:szCs w:val="20"/>
                      </w:rPr>
                      <w:t>Operators will need to comply with major hazard regulation which is more prescriptive than general health and safety legislation including notifying HSE of specified activities, producing a Safety Case addressing the risks and mitigation measures of their operations and emergency planning arrangements.</w:t>
                    </w:r>
                  </w:p>
                  <w:p w14:paraId="71AC5449" w14:textId="65769EC4" w:rsidR="00F43444" w:rsidRDefault="00F43444" w:rsidP="00F43444">
                    <w:pPr>
                      <w:rPr>
                        <w:rFonts w:eastAsia="Times New Roman" w:cs="Arial"/>
                        <w:sz w:val="20"/>
                        <w:szCs w:val="20"/>
                      </w:rPr>
                    </w:pPr>
                    <w:r>
                      <w:rPr>
                        <w:rFonts w:eastAsia="Times New Roman" w:cs="Arial"/>
                        <w:sz w:val="20"/>
                        <w:szCs w:val="20"/>
                      </w:rPr>
                      <w:t xml:space="preserve">Businesses will incur costs </w:t>
                    </w:r>
                    <w:proofErr w:type="gramStart"/>
                    <w:r>
                      <w:rPr>
                        <w:rFonts w:eastAsia="Times New Roman" w:cs="Arial"/>
                        <w:sz w:val="20"/>
                        <w:szCs w:val="20"/>
                      </w:rPr>
                      <w:t>in order to</w:t>
                    </w:r>
                    <w:proofErr w:type="gramEnd"/>
                    <w:r>
                      <w:rPr>
                        <w:rFonts w:eastAsia="Times New Roman" w:cs="Arial"/>
                        <w:sz w:val="20"/>
                        <w:szCs w:val="20"/>
                      </w:rPr>
                      <w:t xml:space="preserve"> comply with the legislation. These costs have been monetised and outlined in detail in the CBA. There is an expected benefit to business in terms of the reduction in the </w:t>
                    </w:r>
                    <w:r w:rsidR="00095147">
                      <w:rPr>
                        <w:rFonts w:eastAsia="Times New Roman" w:cs="Arial"/>
                        <w:sz w:val="20"/>
                        <w:szCs w:val="20"/>
                      </w:rPr>
                      <w:t>potential for</w:t>
                    </w:r>
                    <w:r>
                      <w:rPr>
                        <w:rFonts w:eastAsia="Times New Roman" w:cs="Arial"/>
                        <w:sz w:val="20"/>
                        <w:szCs w:val="20"/>
                      </w:rPr>
                      <w:t xml:space="preserve"> a major accident. A major accident would result in significant costs to business, and so prevention of an accident is a significant benefit. </w:t>
                    </w:r>
                    <w:proofErr w:type="gramStart"/>
                    <w:r>
                      <w:rPr>
                        <w:rFonts w:eastAsia="Times New Roman" w:cs="Arial"/>
                        <w:sz w:val="20"/>
                        <w:szCs w:val="20"/>
                      </w:rPr>
                      <w:t>Additionally</w:t>
                    </w:r>
                    <w:proofErr w:type="gramEnd"/>
                    <w:r>
                      <w:rPr>
                        <w:rFonts w:eastAsia="Times New Roman" w:cs="Arial"/>
                        <w:sz w:val="20"/>
                        <w:szCs w:val="20"/>
                      </w:rPr>
                      <w:t xml:space="preserve"> there will be benefits to business in terms of increased clarity around requirements and improved public confidence in safety. This should help businesses attract investment. As it is not possible to quantify the reduction in </w:t>
                    </w:r>
                    <w:r>
                      <w:rPr>
                        <w:rFonts w:eastAsia="Times New Roman" w:cs="Arial"/>
                        <w:sz w:val="20"/>
                        <w:szCs w:val="20"/>
                      </w:rPr>
                      <w:lastRenderedPageBreak/>
                      <w:t>risk or value investor confidence, the impact net of compliance costs is unclear.</w:t>
                    </w:r>
                  </w:p>
                  <w:p w14:paraId="2D80A961" w14:textId="467FBAE6" w:rsidR="0077467D" w:rsidRDefault="00F43444" w:rsidP="007C47D0">
                    <w:pPr>
                      <w:rPr>
                        <w:rFonts w:cs="Arial"/>
                        <w:color w:val="000000"/>
                        <w:sz w:val="20"/>
                        <w:szCs w:val="20"/>
                      </w:rPr>
                    </w:pPr>
                    <w:r w:rsidRPr="006D7895">
                      <w:rPr>
                        <w:sz w:val="20"/>
                        <w:szCs w:val="20"/>
                      </w:rPr>
                      <w:t xml:space="preserve">It is commonplace for health and safety legislation to have a negative net impact on business </w:t>
                    </w:r>
                    <w:proofErr w:type="gramStart"/>
                    <w:r w:rsidRPr="006D7895">
                      <w:rPr>
                        <w:sz w:val="20"/>
                        <w:szCs w:val="20"/>
                      </w:rPr>
                      <w:t>in order to</w:t>
                    </w:r>
                    <w:proofErr w:type="gramEnd"/>
                    <w:r w:rsidRPr="006D7895">
                      <w:rPr>
                        <w:sz w:val="20"/>
                        <w:szCs w:val="20"/>
                      </w:rPr>
                      <w:t xml:space="preserve"> deliver societal net benefits. In cases where there is a positive impact to business, legislation should not be required </w:t>
                    </w:r>
                    <w:proofErr w:type="gramStart"/>
                    <w:r w:rsidRPr="006D7895">
                      <w:rPr>
                        <w:sz w:val="20"/>
                        <w:szCs w:val="20"/>
                      </w:rPr>
                      <w:t>in order to</w:t>
                    </w:r>
                    <w:proofErr w:type="gramEnd"/>
                    <w:r w:rsidRPr="006D7895">
                      <w:rPr>
                        <w:sz w:val="20"/>
                        <w:szCs w:val="20"/>
                      </w:rPr>
                      <w:t xml:space="preserve"> ensure businesses comply with the requirements, as it would be in their own interest. While HSE believe some businesses may prefer to comply with the requirements voluntarily, there is insufficient evidence to make the claim that businesses would comply voluntarily due to the requirements benefitting them overall</w:t>
                    </w:r>
                    <w:r>
                      <w:rPr>
                        <w:sz w:val="20"/>
                        <w:szCs w:val="20"/>
                      </w:rPr>
                      <w:t>.</w:t>
                    </w:r>
                  </w:p>
                </w:sdtContent>
              </w:sdt>
              <w:p w14:paraId="72E8F550" w14:textId="6974D732" w:rsidR="00805ABC" w:rsidRPr="00BD75BB" w:rsidRDefault="00000000" w:rsidP="0005065B">
                <w:pPr>
                  <w:spacing w:after="0" w:line="240" w:lineRule="auto"/>
                  <w:rPr>
                    <w:rFonts w:eastAsia="Times New Roman" w:cs="Arial"/>
                    <w:sz w:val="20"/>
                    <w:szCs w:val="20"/>
                  </w:rPr>
                </w:pPr>
              </w:p>
            </w:sdtContent>
          </w:sdt>
        </w:tc>
        <w:tc>
          <w:tcPr>
            <w:tcW w:w="2189" w:type="dxa"/>
            <w:tcBorders>
              <w:bottom w:val="single" w:sz="4" w:space="0" w:color="auto"/>
              <w:right w:val="single" w:sz="4" w:space="0" w:color="auto"/>
            </w:tcBorders>
            <w:shd w:val="clear" w:color="auto" w:fill="00B0F0"/>
            <w:tcMar>
              <w:top w:w="100" w:type="dxa"/>
              <w:left w:w="100" w:type="dxa"/>
              <w:bottom w:w="100" w:type="dxa"/>
              <w:right w:w="100" w:type="dxa"/>
            </w:tcMar>
            <w:hideMark/>
          </w:tcPr>
          <w:p w14:paraId="1E4DE6D0" w14:textId="121DE82C" w:rsidR="00A63AA9" w:rsidRDefault="00A63AA9" w:rsidP="00A63AA9">
            <w:pPr>
              <w:rPr>
                <w:rFonts w:eastAsia="Arial" w:cs="Arial"/>
                <w:b/>
                <w:bCs/>
                <w:szCs w:val="24"/>
              </w:rPr>
            </w:pPr>
          </w:p>
          <w:p w14:paraId="6E180561" w14:textId="77777777" w:rsidR="00805ABC" w:rsidRPr="002E73F4" w:rsidRDefault="00805ABC" w:rsidP="0005065B">
            <w:pPr>
              <w:spacing w:after="0" w:line="240" w:lineRule="auto"/>
              <w:rPr>
                <w:rFonts w:eastAsia="Times New Roman" w:cs="Arial"/>
                <w:szCs w:val="24"/>
              </w:rPr>
            </w:pPr>
          </w:p>
        </w:tc>
      </w:tr>
      <w:tr w:rsidR="00805ABC" w:rsidRPr="002E73F4" w14:paraId="3C272544" w14:textId="77777777" w:rsidTr="00223F1E">
        <w:tc>
          <w:tcPr>
            <w:tcW w:w="1833" w:type="dxa"/>
            <w:tcBorders>
              <w:left w:val="single" w:sz="4" w:space="0" w:color="auto"/>
              <w:bottom w:val="single" w:sz="4" w:space="0" w:color="auto"/>
            </w:tcBorders>
            <w:shd w:val="clear" w:color="auto" w:fill="FFFFFF"/>
            <w:tcMar>
              <w:top w:w="100" w:type="dxa"/>
              <w:left w:w="100" w:type="dxa"/>
              <w:bottom w:w="100" w:type="dxa"/>
              <w:right w:w="100" w:type="dxa"/>
            </w:tcMar>
            <w:hideMark/>
          </w:tcPr>
          <w:p w14:paraId="72466FB1" w14:textId="77777777" w:rsidR="00805ABC" w:rsidRPr="002E73F4" w:rsidRDefault="00805ABC" w:rsidP="0005065B">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1337C9D9" w14:textId="77777777" w:rsidR="00805ABC" w:rsidRPr="002E73F4" w:rsidRDefault="00805ABC" w:rsidP="0005065B">
            <w:pPr>
              <w:spacing w:after="0" w:line="240" w:lineRule="auto"/>
              <w:rPr>
                <w:rFonts w:eastAsia="Times New Roman" w:cs="Arial"/>
                <w:szCs w:val="24"/>
              </w:rPr>
            </w:pP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347563319"/>
              <w:placeholder>
                <w:docPart w:val="DefaultPlaceholder_-1854013440"/>
              </w:placeholder>
            </w:sdtPr>
            <w:sdtContent>
              <w:p w14:paraId="77C56E05" w14:textId="70E6B023" w:rsidR="0033642F" w:rsidRPr="0048710A" w:rsidRDefault="0033642F" w:rsidP="0033642F">
                <w:pPr>
                  <w:spacing w:after="0" w:line="240" w:lineRule="auto"/>
                  <w:rPr>
                    <w:rFonts w:eastAsia="Times New Roman" w:cs="Arial"/>
                    <w:color w:val="000000"/>
                    <w:sz w:val="20"/>
                    <w:szCs w:val="20"/>
                  </w:rPr>
                </w:pPr>
                <w:r>
                  <w:rPr>
                    <w:rFonts w:eastAsia="Times New Roman" w:cs="Arial"/>
                    <w:color w:val="000000"/>
                    <w:sz w:val="20"/>
                    <w:szCs w:val="20"/>
                  </w:rPr>
                  <w:t>Ten-year PV for CCUS sector:</w:t>
                </w:r>
                <w:r w:rsidRPr="0048710A">
                  <w:rPr>
                    <w:rFonts w:eastAsia="Times New Roman" w:cs="Arial"/>
                    <w:color w:val="000000"/>
                    <w:sz w:val="20"/>
                    <w:szCs w:val="20"/>
                  </w:rPr>
                  <w:t xml:space="preserve"> </w:t>
                </w:r>
                <w:r>
                  <w:rPr>
                    <w:rFonts w:eastAsia="Times New Roman" w:cs="Arial"/>
                    <w:color w:val="000000"/>
                    <w:sz w:val="20"/>
                    <w:szCs w:val="20"/>
                  </w:rPr>
                  <w:t>-</w:t>
                </w:r>
                <w:r w:rsidRPr="0048710A">
                  <w:rPr>
                    <w:rFonts w:eastAsia="Times New Roman" w:cs="Arial"/>
                    <w:color w:val="000000"/>
                    <w:sz w:val="20"/>
                    <w:szCs w:val="20"/>
                  </w:rPr>
                  <w:t>£</w:t>
                </w:r>
                <w:r w:rsidR="009D09DE">
                  <w:rPr>
                    <w:rFonts w:eastAsia="Times New Roman" w:cs="Arial"/>
                    <w:color w:val="000000"/>
                    <w:sz w:val="20"/>
                    <w:szCs w:val="20"/>
                  </w:rPr>
                  <w:t>2</w:t>
                </w:r>
                <w:r w:rsidR="00CB18CA">
                  <w:rPr>
                    <w:rFonts w:eastAsia="Times New Roman" w:cs="Arial"/>
                    <w:color w:val="000000"/>
                    <w:sz w:val="20"/>
                    <w:szCs w:val="20"/>
                  </w:rPr>
                  <w:t>20</w:t>
                </w:r>
                <w:r>
                  <w:rPr>
                    <w:rFonts w:eastAsia="Times New Roman" w:cs="Arial"/>
                    <w:color w:val="000000"/>
                    <w:sz w:val="20"/>
                    <w:szCs w:val="20"/>
                  </w:rPr>
                  <w:t xml:space="preserve">m (-£100m to -£340m) </w:t>
                </w:r>
                <w:r w:rsidRPr="0048710A">
                  <w:rPr>
                    <w:rFonts w:eastAsia="Times New Roman" w:cs="Arial"/>
                    <w:color w:val="000000"/>
                    <w:sz w:val="20"/>
                    <w:szCs w:val="20"/>
                  </w:rPr>
                  <w:t xml:space="preserve"> </w:t>
                </w:r>
              </w:p>
              <w:p w14:paraId="6C1AB09F" w14:textId="5D002A1F" w:rsidR="0033642F" w:rsidRDefault="0033642F" w:rsidP="0033642F">
                <w:pPr>
                  <w:spacing w:after="0" w:line="240" w:lineRule="auto"/>
                  <w:rPr>
                    <w:rFonts w:eastAsia="Times New Roman" w:cs="Arial"/>
                    <w:color w:val="000000"/>
                    <w:sz w:val="20"/>
                    <w:szCs w:val="20"/>
                  </w:rPr>
                </w:pPr>
                <w:r>
                  <w:rPr>
                    <w:rFonts w:eastAsia="Times New Roman" w:cs="Arial"/>
                    <w:color w:val="000000"/>
                    <w:sz w:val="20"/>
                    <w:szCs w:val="20"/>
                  </w:rPr>
                  <w:t xml:space="preserve">Ten-year PV </w:t>
                </w:r>
                <w:r w:rsidRPr="00A71753">
                  <w:rPr>
                    <w:rFonts w:eastAsia="Times New Roman" w:cs="Arial"/>
                    <w:i/>
                    <w:iCs/>
                    <w:color w:val="000000"/>
                    <w:sz w:val="20"/>
                    <w:szCs w:val="20"/>
                  </w:rPr>
                  <w:t>per</w:t>
                </w:r>
                <w:r>
                  <w:rPr>
                    <w:rFonts w:eastAsia="Times New Roman" w:cs="Arial"/>
                    <w:color w:val="000000"/>
                    <w:sz w:val="20"/>
                    <w:szCs w:val="20"/>
                  </w:rPr>
                  <w:t xml:space="preserve"> CCUS pipeline: -£710k (-£47k to -£2.3m)</w:t>
                </w:r>
              </w:p>
              <w:p w14:paraId="3334413D" w14:textId="16B91B1B" w:rsidR="0033642F" w:rsidRDefault="0033642F" w:rsidP="0033642F">
                <w:pPr>
                  <w:spacing w:after="0" w:line="240" w:lineRule="auto"/>
                  <w:rPr>
                    <w:rFonts w:eastAsia="Times New Roman" w:cs="Arial"/>
                    <w:color w:val="000000"/>
                    <w:sz w:val="20"/>
                    <w:szCs w:val="20"/>
                  </w:rPr>
                </w:pPr>
                <w:r w:rsidRPr="00420141">
                  <w:rPr>
                    <w:rFonts w:eastAsia="Times New Roman" w:cs="Arial"/>
                    <w:color w:val="000000"/>
                    <w:sz w:val="20"/>
                    <w:szCs w:val="20"/>
                  </w:rPr>
                  <w:t xml:space="preserve">Ten-year PV </w:t>
                </w:r>
                <w:r w:rsidRPr="00420141">
                  <w:rPr>
                    <w:rFonts w:eastAsia="Times New Roman" w:cs="Arial"/>
                    <w:i/>
                    <w:iCs/>
                    <w:color w:val="000000"/>
                    <w:sz w:val="20"/>
                    <w:szCs w:val="20"/>
                  </w:rPr>
                  <w:t>per</w:t>
                </w:r>
                <w:r w:rsidRPr="00420141">
                  <w:rPr>
                    <w:rFonts w:eastAsia="Times New Roman" w:cs="Arial"/>
                    <w:color w:val="000000"/>
                    <w:sz w:val="20"/>
                    <w:szCs w:val="20"/>
                  </w:rPr>
                  <w:t xml:space="preserve"> hydrogen installation: -£</w:t>
                </w:r>
                <w:r w:rsidR="00E543EC">
                  <w:rPr>
                    <w:rFonts w:eastAsia="Times New Roman" w:cs="Arial"/>
                    <w:color w:val="000000"/>
                    <w:sz w:val="20"/>
                    <w:szCs w:val="20"/>
                  </w:rPr>
                  <w:t>12</w:t>
                </w:r>
                <w:r w:rsidRPr="00420141">
                  <w:rPr>
                    <w:rFonts w:eastAsia="Times New Roman" w:cs="Arial"/>
                    <w:color w:val="000000"/>
                    <w:sz w:val="20"/>
                    <w:szCs w:val="20"/>
                  </w:rPr>
                  <w:t>m (-£5.</w:t>
                </w:r>
                <w:r w:rsidR="00494C7E">
                  <w:rPr>
                    <w:rFonts w:eastAsia="Times New Roman" w:cs="Arial"/>
                    <w:color w:val="000000"/>
                    <w:sz w:val="20"/>
                    <w:szCs w:val="20"/>
                  </w:rPr>
                  <w:t>0</w:t>
                </w:r>
                <w:r w:rsidRPr="00420141">
                  <w:rPr>
                    <w:rFonts w:eastAsia="Times New Roman" w:cs="Arial"/>
                    <w:color w:val="000000"/>
                    <w:sz w:val="20"/>
                    <w:szCs w:val="20"/>
                  </w:rPr>
                  <w:t>m to -£18m)</w:t>
                </w:r>
              </w:p>
              <w:p w14:paraId="0AB1A3FB" w14:textId="77777777" w:rsidR="0033642F" w:rsidRDefault="0033642F" w:rsidP="0033642F">
                <w:pPr>
                  <w:spacing w:after="0" w:line="240" w:lineRule="auto"/>
                  <w:rPr>
                    <w:rFonts w:eastAsia="Times New Roman" w:cs="Arial"/>
                    <w:color w:val="000000"/>
                    <w:sz w:val="20"/>
                    <w:szCs w:val="20"/>
                  </w:rPr>
                </w:pPr>
              </w:p>
              <w:p w14:paraId="4B727D68" w14:textId="0E43C638" w:rsidR="0033642F" w:rsidRPr="0048710A" w:rsidRDefault="0033642F" w:rsidP="0033642F">
                <w:pPr>
                  <w:spacing w:after="0" w:line="240" w:lineRule="auto"/>
                  <w:rPr>
                    <w:rFonts w:eastAsia="Times New Roman" w:cs="Arial"/>
                    <w:color w:val="000000"/>
                    <w:sz w:val="20"/>
                    <w:szCs w:val="20"/>
                  </w:rPr>
                </w:pPr>
                <w:r>
                  <w:rPr>
                    <w:rFonts w:eastAsia="Times New Roman" w:cs="Arial"/>
                    <w:color w:val="000000"/>
                    <w:sz w:val="20"/>
                    <w:szCs w:val="20"/>
                  </w:rPr>
                  <w:t>EANDCB for CCUS sector:</w:t>
                </w:r>
                <w:r w:rsidRPr="0048710A">
                  <w:rPr>
                    <w:rFonts w:eastAsia="Times New Roman" w:cs="Arial"/>
                    <w:color w:val="000000"/>
                    <w:sz w:val="20"/>
                    <w:szCs w:val="20"/>
                  </w:rPr>
                  <w:t xml:space="preserve"> </w:t>
                </w:r>
                <w:r>
                  <w:rPr>
                    <w:rFonts w:eastAsia="Times New Roman" w:cs="Arial"/>
                    <w:color w:val="000000"/>
                    <w:sz w:val="20"/>
                    <w:szCs w:val="20"/>
                  </w:rPr>
                  <w:t>-</w:t>
                </w:r>
                <w:r w:rsidRPr="0048710A">
                  <w:rPr>
                    <w:rFonts w:eastAsia="Times New Roman" w:cs="Arial"/>
                    <w:color w:val="000000"/>
                    <w:sz w:val="20"/>
                    <w:szCs w:val="20"/>
                  </w:rPr>
                  <w:t>£</w:t>
                </w:r>
                <w:r w:rsidR="00283DBB">
                  <w:rPr>
                    <w:rFonts w:eastAsia="Times New Roman" w:cs="Arial"/>
                    <w:color w:val="000000"/>
                    <w:sz w:val="20"/>
                    <w:szCs w:val="20"/>
                  </w:rPr>
                  <w:t>26</w:t>
                </w:r>
                <w:r>
                  <w:rPr>
                    <w:rFonts w:eastAsia="Times New Roman" w:cs="Arial"/>
                    <w:color w:val="000000"/>
                    <w:sz w:val="20"/>
                    <w:szCs w:val="20"/>
                  </w:rPr>
                  <w:t>m (-£</w:t>
                </w:r>
                <w:r w:rsidR="00283DBB">
                  <w:rPr>
                    <w:rFonts w:eastAsia="Times New Roman" w:cs="Arial"/>
                    <w:color w:val="000000"/>
                    <w:sz w:val="20"/>
                    <w:szCs w:val="20"/>
                  </w:rPr>
                  <w:t>12</w:t>
                </w:r>
                <w:r>
                  <w:rPr>
                    <w:rFonts w:eastAsia="Times New Roman" w:cs="Arial"/>
                    <w:color w:val="000000"/>
                    <w:sz w:val="20"/>
                    <w:szCs w:val="20"/>
                  </w:rPr>
                  <w:t>m to -£</w:t>
                </w:r>
                <w:r w:rsidR="00FA3CF0">
                  <w:rPr>
                    <w:rFonts w:eastAsia="Times New Roman" w:cs="Arial"/>
                    <w:color w:val="000000"/>
                    <w:sz w:val="20"/>
                    <w:szCs w:val="20"/>
                  </w:rPr>
                  <w:t>40</w:t>
                </w:r>
                <w:r>
                  <w:rPr>
                    <w:rFonts w:eastAsia="Times New Roman" w:cs="Arial"/>
                    <w:color w:val="000000"/>
                    <w:sz w:val="20"/>
                    <w:szCs w:val="20"/>
                  </w:rPr>
                  <w:t xml:space="preserve">m) </w:t>
                </w:r>
                <w:r w:rsidRPr="0048710A">
                  <w:rPr>
                    <w:rFonts w:eastAsia="Times New Roman" w:cs="Arial"/>
                    <w:color w:val="000000"/>
                    <w:sz w:val="20"/>
                    <w:szCs w:val="20"/>
                  </w:rPr>
                  <w:t xml:space="preserve"> </w:t>
                </w:r>
              </w:p>
              <w:p w14:paraId="0241D003" w14:textId="5DCD264E" w:rsidR="0033642F" w:rsidRDefault="0033642F" w:rsidP="0033642F">
                <w:pPr>
                  <w:spacing w:after="0" w:line="240" w:lineRule="auto"/>
                  <w:rPr>
                    <w:rFonts w:eastAsia="Times New Roman" w:cs="Arial"/>
                    <w:color w:val="000000"/>
                    <w:sz w:val="20"/>
                    <w:szCs w:val="20"/>
                  </w:rPr>
                </w:pPr>
                <w:r>
                  <w:rPr>
                    <w:rFonts w:eastAsia="Times New Roman" w:cs="Arial"/>
                    <w:color w:val="000000"/>
                    <w:sz w:val="20"/>
                    <w:szCs w:val="20"/>
                  </w:rPr>
                  <w:t xml:space="preserve">EANDCB </w:t>
                </w:r>
                <w:r w:rsidRPr="00A71753">
                  <w:rPr>
                    <w:rFonts w:eastAsia="Times New Roman" w:cs="Arial"/>
                    <w:i/>
                    <w:iCs/>
                    <w:color w:val="000000"/>
                    <w:sz w:val="20"/>
                    <w:szCs w:val="20"/>
                  </w:rPr>
                  <w:t>per</w:t>
                </w:r>
                <w:r>
                  <w:rPr>
                    <w:rFonts w:eastAsia="Times New Roman" w:cs="Arial"/>
                    <w:color w:val="000000"/>
                    <w:sz w:val="20"/>
                    <w:szCs w:val="20"/>
                  </w:rPr>
                  <w:t xml:space="preserve"> CCUS pipeline: -£</w:t>
                </w:r>
                <w:r w:rsidR="00FF4273">
                  <w:rPr>
                    <w:rFonts w:eastAsia="Times New Roman" w:cs="Arial"/>
                    <w:color w:val="000000"/>
                    <w:sz w:val="20"/>
                    <w:szCs w:val="20"/>
                  </w:rPr>
                  <w:t>83</w:t>
                </w:r>
                <w:r>
                  <w:rPr>
                    <w:rFonts w:eastAsia="Times New Roman" w:cs="Arial"/>
                    <w:color w:val="000000"/>
                    <w:sz w:val="20"/>
                    <w:szCs w:val="20"/>
                  </w:rPr>
                  <w:t>k (-£</w:t>
                </w:r>
                <w:r w:rsidR="00332E22">
                  <w:rPr>
                    <w:rFonts w:eastAsia="Times New Roman" w:cs="Arial"/>
                    <w:color w:val="000000"/>
                    <w:sz w:val="20"/>
                    <w:szCs w:val="20"/>
                  </w:rPr>
                  <w:t>5.4</w:t>
                </w:r>
                <w:r>
                  <w:rPr>
                    <w:rFonts w:eastAsia="Times New Roman" w:cs="Arial"/>
                    <w:color w:val="000000"/>
                    <w:sz w:val="20"/>
                    <w:szCs w:val="20"/>
                  </w:rPr>
                  <w:t>k to -£</w:t>
                </w:r>
                <w:r w:rsidR="003B3A53">
                  <w:rPr>
                    <w:rFonts w:eastAsia="Times New Roman" w:cs="Arial"/>
                    <w:color w:val="000000"/>
                    <w:sz w:val="20"/>
                    <w:szCs w:val="20"/>
                  </w:rPr>
                  <w:t>260k</w:t>
                </w:r>
                <w:r>
                  <w:rPr>
                    <w:rFonts w:eastAsia="Times New Roman" w:cs="Arial"/>
                    <w:color w:val="000000"/>
                    <w:sz w:val="20"/>
                    <w:szCs w:val="20"/>
                  </w:rPr>
                  <w:t>)</w:t>
                </w:r>
              </w:p>
              <w:p w14:paraId="31D5A34F" w14:textId="73D5D04D" w:rsidR="0033642F" w:rsidRPr="007C47D0" w:rsidRDefault="0033642F" w:rsidP="0033642F">
                <w:pPr>
                  <w:spacing w:after="0" w:line="240" w:lineRule="auto"/>
                  <w:rPr>
                    <w:rFonts w:eastAsia="Times New Roman" w:cs="Arial"/>
                    <w:color w:val="000000"/>
                    <w:sz w:val="20"/>
                    <w:szCs w:val="20"/>
                    <w:lang w:val="sv-SE"/>
                  </w:rPr>
                </w:pPr>
                <w:r w:rsidRPr="007C47D0">
                  <w:rPr>
                    <w:rFonts w:eastAsia="Times New Roman" w:cs="Arial"/>
                    <w:color w:val="000000"/>
                    <w:sz w:val="20"/>
                    <w:szCs w:val="20"/>
                    <w:lang w:val="sv-SE"/>
                  </w:rPr>
                  <w:t xml:space="preserve">EANDCB </w:t>
                </w:r>
                <w:r w:rsidRPr="007C47D0">
                  <w:rPr>
                    <w:rFonts w:eastAsia="Times New Roman" w:cs="Arial"/>
                    <w:i/>
                    <w:iCs/>
                    <w:color w:val="000000"/>
                    <w:sz w:val="20"/>
                    <w:szCs w:val="20"/>
                    <w:lang w:val="sv-SE"/>
                  </w:rPr>
                  <w:t>per</w:t>
                </w:r>
                <w:r w:rsidRPr="007C47D0">
                  <w:rPr>
                    <w:rFonts w:eastAsia="Times New Roman" w:cs="Arial"/>
                    <w:color w:val="000000"/>
                    <w:sz w:val="20"/>
                    <w:szCs w:val="20"/>
                    <w:lang w:val="sv-SE"/>
                  </w:rPr>
                  <w:t xml:space="preserve"> hydrogen installation: -£</w:t>
                </w:r>
                <w:r w:rsidR="00C34F54">
                  <w:rPr>
                    <w:rFonts w:eastAsia="Times New Roman" w:cs="Arial"/>
                    <w:color w:val="000000"/>
                    <w:sz w:val="20"/>
                    <w:szCs w:val="20"/>
                    <w:lang w:val="sv-SE"/>
                  </w:rPr>
                  <w:t>1.3m</w:t>
                </w:r>
                <w:r w:rsidRPr="007C47D0">
                  <w:rPr>
                    <w:rFonts w:eastAsia="Times New Roman" w:cs="Arial"/>
                    <w:color w:val="000000"/>
                    <w:sz w:val="20"/>
                    <w:szCs w:val="20"/>
                    <w:lang w:val="sv-SE"/>
                  </w:rPr>
                  <w:t xml:space="preserve"> (-£5</w:t>
                </w:r>
                <w:r w:rsidR="00BB1C4E">
                  <w:rPr>
                    <w:rFonts w:eastAsia="Times New Roman" w:cs="Arial"/>
                    <w:color w:val="000000"/>
                    <w:sz w:val="20"/>
                    <w:szCs w:val="20"/>
                    <w:lang w:val="sv-SE"/>
                  </w:rPr>
                  <w:t>90k</w:t>
                </w:r>
                <w:r w:rsidRPr="007C47D0">
                  <w:rPr>
                    <w:rFonts w:eastAsia="Times New Roman" w:cs="Arial"/>
                    <w:color w:val="000000"/>
                    <w:sz w:val="20"/>
                    <w:szCs w:val="20"/>
                    <w:lang w:val="sv-SE"/>
                  </w:rPr>
                  <w:t xml:space="preserve"> to -£</w:t>
                </w:r>
                <w:r w:rsidR="004A1117">
                  <w:rPr>
                    <w:rFonts w:eastAsia="Times New Roman" w:cs="Arial"/>
                    <w:color w:val="000000"/>
                    <w:sz w:val="20"/>
                    <w:szCs w:val="20"/>
                    <w:lang w:val="sv-SE"/>
                  </w:rPr>
                  <w:t>2.1</w:t>
                </w:r>
                <w:r w:rsidRPr="007C47D0">
                  <w:rPr>
                    <w:rFonts w:eastAsia="Times New Roman" w:cs="Arial"/>
                    <w:color w:val="000000"/>
                    <w:sz w:val="20"/>
                    <w:szCs w:val="20"/>
                    <w:lang w:val="sv-SE"/>
                  </w:rPr>
                  <w:t>m)</w:t>
                </w:r>
              </w:p>
              <w:p w14:paraId="5E4736B6" w14:textId="45343971" w:rsidR="00805ABC" w:rsidRPr="00C377DF" w:rsidRDefault="00805ABC" w:rsidP="0033642F">
                <w:pPr>
                  <w:spacing w:after="0" w:line="240" w:lineRule="auto"/>
                  <w:rPr>
                    <w:rFonts w:eastAsia="Times New Roman" w:cs="Arial"/>
                    <w:b/>
                    <w:bCs/>
                    <w:color w:val="000000"/>
                    <w:sz w:val="20"/>
                    <w:szCs w:val="20"/>
                    <w:lang w:val="sv-SE"/>
                  </w:rPr>
                </w:pPr>
              </w:p>
              <w:p w14:paraId="54C39C86" w14:textId="7F0D6FF2" w:rsidR="00805ABC" w:rsidRPr="00BD75BB" w:rsidRDefault="00FE1EA3" w:rsidP="0005065B">
                <w:pPr>
                  <w:spacing w:after="0" w:line="240" w:lineRule="auto"/>
                  <w:rPr>
                    <w:rFonts w:eastAsia="Times New Roman" w:cs="Arial"/>
                    <w:color w:val="000000"/>
                    <w:sz w:val="20"/>
                    <w:szCs w:val="20"/>
                  </w:rPr>
                </w:pPr>
                <w:r>
                  <w:rPr>
                    <w:rFonts w:eastAsia="Times New Roman" w:cs="Arial"/>
                    <w:color w:val="000000"/>
                    <w:sz w:val="20"/>
                    <w:szCs w:val="20"/>
                  </w:rPr>
                  <w:t>No pass</w:t>
                </w:r>
                <w:r w:rsidR="00AC5847">
                  <w:rPr>
                    <w:rFonts w:eastAsia="Times New Roman" w:cs="Arial"/>
                    <w:color w:val="000000"/>
                    <w:sz w:val="20"/>
                    <w:szCs w:val="20"/>
                  </w:rPr>
                  <w:t>-</w:t>
                </w:r>
                <w:r>
                  <w:rPr>
                    <w:rFonts w:eastAsia="Times New Roman" w:cs="Arial"/>
                    <w:color w:val="000000"/>
                    <w:sz w:val="20"/>
                    <w:szCs w:val="20"/>
                  </w:rPr>
                  <w:t xml:space="preserve">through to households has been </w:t>
                </w:r>
                <w:r w:rsidR="0033642F">
                  <w:rPr>
                    <w:rFonts w:eastAsia="Times New Roman" w:cs="Arial"/>
                    <w:color w:val="000000"/>
                    <w:sz w:val="20"/>
                    <w:szCs w:val="20"/>
                  </w:rPr>
                  <w:t>included in this estimate.</w:t>
                </w:r>
              </w:p>
            </w:sdtContent>
          </w:sdt>
        </w:tc>
        <w:tc>
          <w:tcPr>
            <w:tcW w:w="2189" w:type="dxa"/>
            <w:tcBorders>
              <w:bottom w:val="single" w:sz="4" w:space="0" w:color="auto"/>
              <w:right w:val="single" w:sz="4" w:space="0" w:color="auto"/>
            </w:tcBorders>
            <w:shd w:val="clear" w:color="auto" w:fill="FF0000"/>
            <w:tcMar>
              <w:top w:w="100" w:type="dxa"/>
              <w:left w:w="100" w:type="dxa"/>
              <w:bottom w:w="100" w:type="dxa"/>
              <w:right w:w="100" w:type="dxa"/>
            </w:tcMar>
            <w:hideMark/>
          </w:tcPr>
          <w:p w14:paraId="6F58945F" w14:textId="476D0FF5" w:rsidR="00805ABC" w:rsidRPr="002E73F4" w:rsidRDefault="0033642F" w:rsidP="0005065B">
            <w:pPr>
              <w:tabs>
                <w:tab w:val="right" w:pos="1970"/>
              </w:tabs>
              <w:spacing w:after="0" w:line="240" w:lineRule="auto"/>
              <w:rPr>
                <w:rFonts w:eastAsia="Arial" w:cs="Arial"/>
                <w:b/>
                <w:bCs/>
                <w:szCs w:val="24"/>
              </w:rPr>
            </w:pPr>
            <w:r>
              <w:rPr>
                <w:rFonts w:eastAsia="Arial" w:cs="Arial"/>
                <w:b/>
                <w:bCs/>
                <w:szCs w:val="24"/>
              </w:rPr>
              <w:t>Negative</w:t>
            </w:r>
            <w:r w:rsidR="00805ABC" w:rsidRPr="002E73F4">
              <w:rPr>
                <w:rFonts w:eastAsia="Arial" w:cs="Arial"/>
                <w:b/>
                <w:bCs/>
                <w:szCs w:val="24"/>
              </w:rPr>
              <w:tab/>
            </w:r>
          </w:p>
          <w:p w14:paraId="44AFC82B" w14:textId="639474B7" w:rsidR="006357B0" w:rsidRDefault="006357B0" w:rsidP="0005065B">
            <w:pPr>
              <w:spacing w:after="0" w:line="240" w:lineRule="auto"/>
              <w:rPr>
                <w:rFonts w:eastAsia="Arial" w:cs="Arial"/>
                <w:b/>
                <w:bCs/>
                <w:szCs w:val="24"/>
              </w:rPr>
            </w:pPr>
          </w:p>
          <w:p w14:paraId="7229A9C1" w14:textId="77777777" w:rsidR="00805ABC" w:rsidRDefault="00805ABC" w:rsidP="0005065B">
            <w:pPr>
              <w:spacing w:after="0" w:line="240" w:lineRule="auto"/>
              <w:rPr>
                <w:rFonts w:eastAsia="Arial" w:cs="Arial"/>
                <w:b/>
                <w:bCs/>
                <w:sz w:val="20"/>
                <w:szCs w:val="20"/>
              </w:rPr>
            </w:pPr>
            <w:r w:rsidRPr="006357B0">
              <w:rPr>
                <w:rFonts w:eastAsia="Arial" w:cs="Arial"/>
                <w:b/>
                <w:bCs/>
                <w:sz w:val="20"/>
                <w:szCs w:val="20"/>
              </w:rPr>
              <w:t>Based on likely business £NPV</w:t>
            </w:r>
          </w:p>
          <w:p w14:paraId="2E719B31" w14:textId="77777777" w:rsidR="0033642F" w:rsidRDefault="0033642F" w:rsidP="00420141">
            <w:pPr>
              <w:jc w:val="center"/>
              <w:rPr>
                <w:rFonts w:eastAsia="Arial" w:cs="Arial"/>
                <w:b/>
                <w:bCs/>
                <w:sz w:val="20"/>
                <w:szCs w:val="20"/>
              </w:rPr>
            </w:pPr>
          </w:p>
          <w:p w14:paraId="3440FC98" w14:textId="30298A6A" w:rsidR="0033642F" w:rsidRPr="0033642F" w:rsidRDefault="0033642F" w:rsidP="00420141">
            <w:pPr>
              <w:rPr>
                <w:rFonts w:eastAsia="Times New Roman" w:cs="Arial"/>
                <w:sz w:val="20"/>
                <w:szCs w:val="20"/>
              </w:rPr>
            </w:pPr>
          </w:p>
        </w:tc>
      </w:tr>
      <w:tr w:rsidR="00805ABC" w:rsidRPr="002E73F4" w14:paraId="5F79A291" w14:textId="77777777" w:rsidTr="00223F1E">
        <w:trPr>
          <w:trHeight w:val="410"/>
        </w:trPr>
        <w:tc>
          <w:tcPr>
            <w:tcW w:w="1833" w:type="dxa"/>
            <w:tcBorders>
              <w:left w:val="single" w:sz="4" w:space="0" w:color="auto"/>
              <w:bottom w:val="single" w:sz="4" w:space="0" w:color="auto"/>
            </w:tcBorders>
            <w:shd w:val="clear" w:color="auto" w:fill="FFFFFF"/>
            <w:tcMar>
              <w:top w:w="100" w:type="dxa"/>
              <w:left w:w="100" w:type="dxa"/>
              <w:bottom w:w="100" w:type="dxa"/>
              <w:right w:w="100" w:type="dxa"/>
            </w:tcMar>
            <w:hideMark/>
          </w:tcPr>
          <w:p w14:paraId="44CD7792"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847329840"/>
              <w:placeholder>
                <w:docPart w:val="DefaultPlaceholder_-1854013440"/>
              </w:placeholder>
            </w:sdtPr>
            <w:sdtContent>
              <w:p w14:paraId="28C395BF" w14:textId="734AC9DC" w:rsidR="00D56D8A" w:rsidRDefault="00D56D8A" w:rsidP="0005065B">
                <w:pPr>
                  <w:spacing w:after="0" w:line="240" w:lineRule="auto"/>
                  <w:rPr>
                    <w:rFonts w:eastAsia="Times New Roman" w:cs="Arial"/>
                    <w:color w:val="000000"/>
                    <w:sz w:val="20"/>
                    <w:szCs w:val="20"/>
                  </w:rPr>
                </w:pPr>
                <w:r w:rsidRPr="00D56D8A">
                  <w:rPr>
                    <w:rFonts w:eastAsia="Times New Roman" w:cs="Arial"/>
                    <w:color w:val="000000"/>
                    <w:sz w:val="20"/>
                    <w:szCs w:val="20"/>
                  </w:rPr>
                  <w:t xml:space="preserve">There is an expected benefit to business in terms of the reduction in the risk of a major accident. A major accident would result in significant costs to business, and so prevention of an accident is a significant benefit. </w:t>
                </w:r>
                <w:proofErr w:type="gramStart"/>
                <w:r w:rsidRPr="00D56D8A">
                  <w:rPr>
                    <w:rFonts w:eastAsia="Times New Roman" w:cs="Arial"/>
                    <w:color w:val="000000"/>
                    <w:sz w:val="20"/>
                    <w:szCs w:val="20"/>
                  </w:rPr>
                  <w:t>Additionally</w:t>
                </w:r>
                <w:proofErr w:type="gramEnd"/>
                <w:r w:rsidRPr="00D56D8A">
                  <w:rPr>
                    <w:rFonts w:eastAsia="Times New Roman" w:cs="Arial"/>
                    <w:color w:val="000000"/>
                    <w:sz w:val="20"/>
                    <w:szCs w:val="20"/>
                  </w:rPr>
                  <w:t xml:space="preserve"> there will be benefits to business in terms of increased clarity around requirements and improved public confidence in safety. This should help businesses attract investment.</w:t>
                </w:r>
              </w:p>
              <w:p w14:paraId="6EFF6229" w14:textId="77777777" w:rsidR="00D56D8A" w:rsidRDefault="00D56D8A" w:rsidP="0005065B">
                <w:pPr>
                  <w:spacing w:after="0" w:line="240" w:lineRule="auto"/>
                  <w:rPr>
                    <w:rFonts w:eastAsia="Times New Roman" w:cs="Arial"/>
                    <w:color w:val="000000"/>
                    <w:sz w:val="20"/>
                    <w:szCs w:val="20"/>
                  </w:rPr>
                </w:pPr>
              </w:p>
              <w:p w14:paraId="1970FC06" w14:textId="166EA8DA" w:rsidR="00805ABC" w:rsidRPr="00BD75BB" w:rsidRDefault="00000000" w:rsidP="0005065B">
                <w:pPr>
                  <w:spacing w:after="0" w:line="240" w:lineRule="auto"/>
                  <w:rPr>
                    <w:rFonts w:eastAsia="Times New Roman" w:cs="Arial"/>
                    <w:sz w:val="20"/>
                    <w:szCs w:val="20"/>
                  </w:rPr>
                </w:pPr>
              </w:p>
            </w:sdtContent>
          </w:sdt>
        </w:tc>
        <w:tc>
          <w:tcPr>
            <w:tcW w:w="2189" w:type="dxa"/>
            <w:tcBorders>
              <w:right w:val="single" w:sz="4" w:space="0" w:color="auto"/>
            </w:tcBorders>
            <w:shd w:val="clear" w:color="auto" w:fill="00B050"/>
            <w:tcMar>
              <w:top w:w="100" w:type="dxa"/>
              <w:left w:w="100" w:type="dxa"/>
              <w:bottom w:w="100" w:type="dxa"/>
              <w:right w:w="100" w:type="dxa"/>
            </w:tcMar>
            <w:hideMark/>
          </w:tcPr>
          <w:sdt>
            <w:sdtPr>
              <w:rPr>
                <w:rFonts w:eastAsia="Arial" w:cs="Arial"/>
                <w:b/>
                <w:bCs/>
                <w:szCs w:val="24"/>
              </w:rPr>
              <w:alias w:val="Rating"/>
              <w:tag w:val="Rating"/>
              <w:id w:val="915286750"/>
              <w:placeholder>
                <w:docPart w:val="666D42474B594B07A05BED09FFB63FB8"/>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727CB961" w14:textId="7D05D579" w:rsidR="005E55AA" w:rsidRDefault="00F46938" w:rsidP="005E55AA">
                <w:pPr>
                  <w:rPr>
                    <w:rFonts w:eastAsia="Arial" w:cs="Arial"/>
                    <w:b/>
                    <w:bCs/>
                    <w:szCs w:val="24"/>
                  </w:rPr>
                </w:pPr>
                <w:r>
                  <w:rPr>
                    <w:rFonts w:eastAsia="Arial" w:cs="Arial"/>
                    <w:b/>
                    <w:bCs/>
                    <w:szCs w:val="24"/>
                  </w:rPr>
                  <w:t>Positive</w:t>
                </w:r>
              </w:p>
            </w:sdtContent>
          </w:sdt>
          <w:p w14:paraId="1E813FCF" w14:textId="77777777" w:rsidR="00805ABC" w:rsidRPr="002E73F4" w:rsidRDefault="00805ABC" w:rsidP="0005065B">
            <w:pPr>
              <w:spacing w:after="0" w:line="240" w:lineRule="auto"/>
              <w:rPr>
                <w:rFonts w:eastAsia="Times New Roman" w:cs="Arial"/>
                <w:szCs w:val="24"/>
              </w:rPr>
            </w:pPr>
          </w:p>
        </w:tc>
      </w:tr>
      <w:tr w:rsidR="00805ABC" w:rsidRPr="002E73F4" w14:paraId="686739A0" w14:textId="77777777" w:rsidTr="00223F1E">
        <w:trPr>
          <w:trHeight w:val="23"/>
        </w:trPr>
        <w:tc>
          <w:tcPr>
            <w:tcW w:w="1833" w:type="dxa"/>
            <w:tcBorders>
              <w:left w:val="single" w:sz="4" w:space="0" w:color="auto"/>
            </w:tcBorders>
            <w:shd w:val="clear" w:color="auto" w:fill="FFFFFF"/>
            <w:tcMar>
              <w:top w:w="100" w:type="dxa"/>
              <w:left w:w="100" w:type="dxa"/>
              <w:bottom w:w="100" w:type="dxa"/>
              <w:right w:w="100" w:type="dxa"/>
            </w:tcMar>
            <w:hideMark/>
          </w:tcPr>
          <w:p w14:paraId="585E819F"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1618825394"/>
              <w:placeholder>
                <w:docPart w:val="DefaultPlaceholder_-1854013440"/>
              </w:placeholder>
            </w:sdtPr>
            <w:sdtContent>
              <w:p w14:paraId="4585DA5A" w14:textId="0B7528F2" w:rsidR="00805ABC" w:rsidRPr="00BD75BB" w:rsidRDefault="00805ABC" w:rsidP="0005065B">
                <w:pPr>
                  <w:spacing w:after="0" w:line="240" w:lineRule="auto"/>
                  <w:rPr>
                    <w:rFonts w:eastAsia="Times New Roman" w:cs="Arial"/>
                    <w:color w:val="000000"/>
                    <w:sz w:val="20"/>
                    <w:szCs w:val="20"/>
                  </w:rPr>
                </w:pPr>
                <w:r w:rsidRPr="00BD75BB">
                  <w:rPr>
                    <w:rFonts w:eastAsia="Times New Roman" w:cs="Arial"/>
                    <w:color w:val="000000"/>
                    <w:sz w:val="20"/>
                    <w:szCs w:val="20"/>
                  </w:rPr>
                  <w:t>N</w:t>
                </w:r>
                <w:r w:rsidR="00D12A0E" w:rsidRPr="00BD75BB">
                  <w:rPr>
                    <w:rFonts w:eastAsia="Times New Roman" w:cs="Arial"/>
                    <w:color w:val="000000"/>
                    <w:sz w:val="20"/>
                    <w:szCs w:val="20"/>
                  </w:rPr>
                  <w:t>o</w:t>
                </w:r>
                <w:r w:rsidRPr="00BD75BB">
                  <w:rPr>
                    <w:rFonts w:eastAsia="Times New Roman" w:cs="Arial"/>
                    <w:color w:val="000000"/>
                    <w:sz w:val="20"/>
                    <w:szCs w:val="20"/>
                  </w:rPr>
                  <w:t xml:space="preserve"> </w:t>
                </w:r>
                <w:r w:rsidRPr="00BD75BB">
                  <w:rPr>
                    <w:rFonts w:eastAsia="Times New Roman" w:cs="Arial"/>
                    <w:color w:val="000000"/>
                    <w:sz w:val="20"/>
                    <w:szCs w:val="20"/>
                  </w:rPr>
                  <w:br/>
                </w:r>
                <w:r w:rsidRPr="00BD75BB">
                  <w:rPr>
                    <w:rFonts w:eastAsia="Times New Roman" w:cs="Arial"/>
                    <w:color w:val="000000"/>
                    <w:sz w:val="20"/>
                    <w:szCs w:val="20"/>
                  </w:rPr>
                  <w:br/>
                  <w:t xml:space="preserve">SaMBA impacts and mitigations are </w:t>
                </w:r>
                <w:r w:rsidR="004E42F4">
                  <w:rPr>
                    <w:rFonts w:eastAsia="Times New Roman" w:cs="Arial"/>
                    <w:color w:val="000000"/>
                    <w:sz w:val="20"/>
                    <w:szCs w:val="20"/>
                  </w:rPr>
                  <w:t>detailed</w:t>
                </w:r>
                <w:r w:rsidR="004E42F4" w:rsidRPr="00BD75BB">
                  <w:rPr>
                    <w:rFonts w:eastAsia="Times New Roman" w:cs="Arial"/>
                    <w:color w:val="000000"/>
                    <w:sz w:val="20"/>
                    <w:szCs w:val="20"/>
                  </w:rPr>
                  <w:t xml:space="preserve"> </w:t>
                </w:r>
                <w:r w:rsidRPr="00BD75BB">
                  <w:rPr>
                    <w:rFonts w:eastAsia="Times New Roman" w:cs="Arial"/>
                    <w:color w:val="000000"/>
                    <w:sz w:val="20"/>
                    <w:szCs w:val="20"/>
                  </w:rPr>
                  <w:t xml:space="preserve">in </w:t>
                </w:r>
                <w:r w:rsidR="00245FB9">
                  <w:rPr>
                    <w:rFonts w:eastAsia="Times New Roman" w:cs="Arial"/>
                    <w:color w:val="000000"/>
                    <w:sz w:val="20"/>
                    <w:szCs w:val="20"/>
                  </w:rPr>
                  <w:t>S</w:t>
                </w:r>
                <w:r w:rsidRPr="00BD75BB">
                  <w:rPr>
                    <w:rFonts w:eastAsia="Times New Roman" w:cs="Arial"/>
                    <w:color w:val="000000"/>
                    <w:sz w:val="20"/>
                    <w:szCs w:val="20"/>
                  </w:rPr>
                  <w:t xml:space="preserve">ections 5 </w:t>
                </w:r>
                <w:r w:rsidR="00EF2361" w:rsidRPr="00BD75BB">
                  <w:rPr>
                    <w:rFonts w:eastAsia="Times New Roman" w:cs="Arial"/>
                    <w:color w:val="000000"/>
                    <w:sz w:val="20"/>
                    <w:szCs w:val="20"/>
                  </w:rPr>
                  <w:t>and</w:t>
                </w:r>
                <w:r w:rsidRPr="00BD75BB">
                  <w:rPr>
                    <w:rFonts w:eastAsia="Times New Roman" w:cs="Arial"/>
                    <w:color w:val="000000"/>
                    <w:sz w:val="20"/>
                    <w:szCs w:val="20"/>
                  </w:rPr>
                  <w:t xml:space="preserve"> 6 </w:t>
                </w:r>
                <w:r w:rsidR="004E42F4">
                  <w:rPr>
                    <w:rFonts w:eastAsia="Times New Roman" w:cs="Arial"/>
                    <w:color w:val="000000"/>
                    <w:sz w:val="20"/>
                    <w:szCs w:val="20"/>
                  </w:rPr>
                  <w:t>of this OA</w:t>
                </w:r>
                <w:r w:rsidR="00971575">
                  <w:rPr>
                    <w:rFonts w:eastAsia="Times New Roman" w:cs="Arial"/>
                    <w:color w:val="000000"/>
                    <w:sz w:val="20"/>
                    <w:szCs w:val="20"/>
                  </w:rPr>
                  <w:t>.</w:t>
                </w:r>
              </w:p>
            </w:sdtContent>
          </w:sdt>
        </w:tc>
        <w:tc>
          <w:tcPr>
            <w:tcW w:w="2189" w:type="dxa"/>
            <w:shd w:val="clear" w:color="auto" w:fill="0070C0"/>
            <w:tcMar>
              <w:top w:w="100" w:type="dxa"/>
              <w:left w:w="100" w:type="dxa"/>
              <w:bottom w:w="100" w:type="dxa"/>
              <w:right w:w="100" w:type="dxa"/>
            </w:tcMar>
            <w:hideMark/>
          </w:tcPr>
          <w:sdt>
            <w:sdtPr>
              <w:rPr>
                <w:rFonts w:eastAsia="Arial" w:cs="Arial"/>
                <w:b/>
                <w:bCs/>
                <w:szCs w:val="24"/>
              </w:rPr>
              <w:alias w:val="Rating"/>
              <w:tag w:val="Rating"/>
              <w:id w:val="-1892874031"/>
              <w:placeholder>
                <w:docPart w:val="BDCC071A264141E1BEA53DDE08A2086E"/>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3E183D03" w14:textId="05B7384A" w:rsidR="005E55AA" w:rsidRDefault="00174E64" w:rsidP="005E55AA">
                <w:pPr>
                  <w:rPr>
                    <w:rFonts w:eastAsia="Arial" w:cs="Arial"/>
                    <w:b/>
                    <w:bCs/>
                    <w:szCs w:val="24"/>
                  </w:rPr>
                </w:pPr>
                <w:r>
                  <w:rPr>
                    <w:rFonts w:eastAsia="Arial" w:cs="Arial"/>
                    <w:b/>
                    <w:bCs/>
                    <w:szCs w:val="24"/>
                  </w:rPr>
                  <w:t>Neutral</w:t>
                </w:r>
              </w:p>
            </w:sdtContent>
          </w:sdt>
          <w:p w14:paraId="3B167A86" w14:textId="77777777" w:rsidR="00805ABC" w:rsidRPr="002E73F4" w:rsidRDefault="00805ABC" w:rsidP="0005065B">
            <w:pPr>
              <w:spacing w:after="0" w:line="240" w:lineRule="auto"/>
              <w:rPr>
                <w:rFonts w:eastAsia="Times New Roman" w:cs="Arial"/>
                <w:szCs w:val="24"/>
              </w:rPr>
            </w:pPr>
          </w:p>
        </w:tc>
      </w:tr>
    </w:tbl>
    <w:p w14:paraId="3A3B7210" w14:textId="77777777" w:rsidR="00805ABC" w:rsidRDefault="00805ABC" w:rsidP="0005065B">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805ABC" w:rsidRPr="002E73F4" w14:paraId="264E277A" w14:textId="77777777" w:rsidTr="00223F1E">
        <w:tc>
          <w:tcPr>
            <w:tcW w:w="9732" w:type="dxa"/>
            <w:gridSpan w:val="3"/>
            <w:tcBorders>
              <w:top w:val="single" w:sz="4" w:space="0" w:color="auto"/>
              <w:left w:val="single" w:sz="4" w:space="0" w:color="auto"/>
              <w:right w:val="single" w:sz="4" w:space="0" w:color="auto"/>
            </w:tcBorders>
            <w:shd w:val="clear" w:color="auto" w:fill="D9D9D9" w:themeFill="background1" w:themeFillShade="D9"/>
            <w:tcMar>
              <w:top w:w="100" w:type="dxa"/>
              <w:left w:w="100" w:type="dxa"/>
              <w:bottom w:w="100" w:type="dxa"/>
              <w:right w:w="100" w:type="dxa"/>
            </w:tcMar>
            <w:hideMark/>
          </w:tcPr>
          <w:p w14:paraId="01048AD1" w14:textId="77777777" w:rsidR="00805ABC" w:rsidRPr="002E73F4" w:rsidRDefault="00805ABC" w:rsidP="0005065B">
            <w:pPr>
              <w:spacing w:line="240" w:lineRule="auto"/>
              <w:rPr>
                <w:rFonts w:eastAsia="Times New Roman" w:cs="Arial"/>
                <w:szCs w:val="24"/>
              </w:rPr>
            </w:pPr>
            <w:r w:rsidRPr="002E73F4">
              <w:rPr>
                <w:rFonts w:eastAsia="Times New Roman" w:cs="Arial"/>
                <w:b/>
                <w:bCs/>
                <w:color w:val="000000"/>
                <w:szCs w:val="24"/>
              </w:rPr>
              <w:t>(3) Expected impacts on households</w:t>
            </w:r>
          </w:p>
        </w:tc>
      </w:tr>
      <w:tr w:rsidR="00805ABC" w:rsidRPr="002E73F4" w14:paraId="4636407C" w14:textId="77777777" w:rsidTr="00223F1E">
        <w:trPr>
          <w:trHeight w:val="650"/>
        </w:trPr>
        <w:tc>
          <w:tcPr>
            <w:tcW w:w="1833" w:type="dxa"/>
            <w:tcBorders>
              <w:left w:val="single" w:sz="4" w:space="0" w:color="auto"/>
              <w:bottom w:val="single" w:sz="4" w:space="0" w:color="auto"/>
            </w:tcBorders>
            <w:tcMar>
              <w:top w:w="100" w:type="dxa"/>
              <w:left w:w="100" w:type="dxa"/>
              <w:bottom w:w="100" w:type="dxa"/>
              <w:right w:w="100" w:type="dxa"/>
            </w:tcMar>
            <w:hideMark/>
          </w:tcPr>
          <w:p w14:paraId="1F4D4BF7"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t>Description of overall business impact</w:t>
            </w:r>
          </w:p>
        </w:tc>
        <w:tc>
          <w:tcPr>
            <w:tcW w:w="5710" w:type="dxa"/>
            <w:tcMar>
              <w:top w:w="100" w:type="dxa"/>
              <w:left w:w="100" w:type="dxa"/>
              <w:bottom w:w="100" w:type="dxa"/>
              <w:right w:w="100" w:type="dxa"/>
            </w:tcMar>
            <w:hideMark/>
          </w:tcPr>
          <w:sdt>
            <w:sdtPr>
              <w:rPr>
                <w:rFonts w:eastAsia="Times New Roman" w:cs="Arial"/>
                <w:color w:val="000000"/>
                <w:sz w:val="20"/>
                <w:szCs w:val="20"/>
              </w:rPr>
              <w:id w:val="1965464187"/>
              <w:placeholder>
                <w:docPart w:val="DefaultPlaceholder_-1854013440"/>
              </w:placeholder>
            </w:sdtPr>
            <w:sdtContent>
              <w:p w14:paraId="7367FD22" w14:textId="6EB33BA1" w:rsidR="00805ABC" w:rsidRPr="00BD75BB" w:rsidRDefault="002D5FCF" w:rsidP="0005065B">
                <w:pPr>
                  <w:spacing w:after="0" w:line="240" w:lineRule="auto"/>
                  <w:rPr>
                    <w:rFonts w:eastAsia="Times New Roman" w:cs="Arial"/>
                    <w:sz w:val="20"/>
                    <w:szCs w:val="20"/>
                  </w:rPr>
                </w:pPr>
                <w:r>
                  <w:rPr>
                    <w:rFonts w:eastAsia="Times New Roman" w:cs="Arial"/>
                    <w:color w:val="000000"/>
                    <w:sz w:val="20"/>
                    <w:szCs w:val="20"/>
                  </w:rPr>
                  <w:t xml:space="preserve">This measure is focused solely on regulation of businesses, therefore there are no </w:t>
                </w:r>
                <w:r w:rsidR="004F4B93">
                  <w:rPr>
                    <w:rFonts w:eastAsia="Times New Roman" w:cs="Arial"/>
                    <w:color w:val="000000"/>
                    <w:sz w:val="20"/>
                    <w:szCs w:val="20"/>
                  </w:rPr>
                  <w:t xml:space="preserve">impacts on </w:t>
                </w:r>
                <w:r>
                  <w:rPr>
                    <w:rFonts w:eastAsia="Times New Roman" w:cs="Arial"/>
                    <w:color w:val="000000"/>
                    <w:sz w:val="20"/>
                    <w:szCs w:val="20"/>
                  </w:rPr>
                  <w:t>household</w:t>
                </w:r>
                <w:r w:rsidR="004F4B93">
                  <w:rPr>
                    <w:rFonts w:eastAsia="Times New Roman" w:cs="Arial"/>
                    <w:color w:val="000000"/>
                    <w:sz w:val="20"/>
                    <w:szCs w:val="20"/>
                  </w:rPr>
                  <w:t>s</w:t>
                </w:r>
                <w:r>
                  <w:rPr>
                    <w:rFonts w:eastAsia="Times New Roman" w:cs="Arial"/>
                    <w:color w:val="000000"/>
                    <w:sz w:val="20"/>
                    <w:szCs w:val="20"/>
                  </w:rPr>
                  <w:t>.</w:t>
                </w:r>
              </w:p>
            </w:sdtContent>
          </w:sdt>
        </w:tc>
        <w:tc>
          <w:tcPr>
            <w:tcW w:w="2189" w:type="dxa"/>
            <w:shd w:val="clear" w:color="auto" w:fill="0070C0"/>
            <w:tcMar>
              <w:top w:w="100" w:type="dxa"/>
              <w:left w:w="100" w:type="dxa"/>
              <w:bottom w:w="100" w:type="dxa"/>
              <w:right w:w="100" w:type="dxa"/>
            </w:tcMar>
            <w:hideMark/>
          </w:tcPr>
          <w:sdt>
            <w:sdtPr>
              <w:rPr>
                <w:rFonts w:eastAsia="Arial" w:cs="Arial"/>
                <w:b/>
                <w:bCs/>
                <w:szCs w:val="24"/>
              </w:rPr>
              <w:alias w:val="Rating"/>
              <w:tag w:val="Rating"/>
              <w:id w:val="-1737008051"/>
              <w:placeholder>
                <w:docPart w:val="B0A89D06134A44A59692EBD646B78959"/>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1D642043" w14:textId="68AE810B" w:rsidR="005E55AA" w:rsidRDefault="002D5FCF" w:rsidP="005E55AA">
                <w:pPr>
                  <w:rPr>
                    <w:rFonts w:eastAsia="Arial" w:cs="Arial"/>
                    <w:b/>
                    <w:bCs/>
                    <w:szCs w:val="24"/>
                  </w:rPr>
                </w:pPr>
                <w:r>
                  <w:rPr>
                    <w:rFonts w:eastAsia="Arial" w:cs="Arial"/>
                    <w:b/>
                    <w:bCs/>
                    <w:szCs w:val="24"/>
                  </w:rPr>
                  <w:t>Neutral</w:t>
                </w:r>
              </w:p>
            </w:sdtContent>
          </w:sdt>
          <w:p w14:paraId="776704F6" w14:textId="77777777" w:rsidR="00805ABC" w:rsidRPr="002E73F4" w:rsidRDefault="00805ABC" w:rsidP="0005065B">
            <w:pPr>
              <w:spacing w:after="0" w:line="240" w:lineRule="auto"/>
              <w:rPr>
                <w:rFonts w:eastAsia="Times New Roman" w:cs="Arial"/>
                <w:szCs w:val="24"/>
              </w:rPr>
            </w:pPr>
          </w:p>
        </w:tc>
      </w:tr>
      <w:tr w:rsidR="00805ABC" w:rsidRPr="002E73F4" w14:paraId="1073A25F" w14:textId="77777777" w:rsidTr="00223F1E">
        <w:tc>
          <w:tcPr>
            <w:tcW w:w="1833" w:type="dxa"/>
            <w:tcBorders>
              <w:left w:val="single" w:sz="4" w:space="0" w:color="auto"/>
              <w:bottom w:val="single" w:sz="4" w:space="0" w:color="auto"/>
            </w:tcBorders>
            <w:tcMar>
              <w:top w:w="100" w:type="dxa"/>
              <w:left w:w="100" w:type="dxa"/>
              <w:bottom w:w="100" w:type="dxa"/>
              <w:right w:w="100" w:type="dxa"/>
            </w:tcMar>
            <w:hideMark/>
          </w:tcPr>
          <w:p w14:paraId="2A54BD46" w14:textId="77777777" w:rsidR="00805ABC" w:rsidRPr="002E73F4" w:rsidRDefault="00805ABC" w:rsidP="0005065B">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0FEDF34F" w14:textId="77777777" w:rsidR="00805ABC" w:rsidRPr="002E73F4" w:rsidRDefault="00805ABC" w:rsidP="0005065B">
            <w:pPr>
              <w:spacing w:after="0" w:line="240" w:lineRule="auto"/>
              <w:rPr>
                <w:rFonts w:eastAsia="Times New Roman" w:cs="Arial"/>
                <w:szCs w:val="24"/>
              </w:rPr>
            </w:pPr>
          </w:p>
        </w:tc>
        <w:tc>
          <w:tcPr>
            <w:tcW w:w="5710" w:type="dxa"/>
            <w:tcMar>
              <w:top w:w="100" w:type="dxa"/>
              <w:left w:w="100" w:type="dxa"/>
              <w:bottom w:w="100" w:type="dxa"/>
              <w:right w:w="100" w:type="dxa"/>
            </w:tcMar>
            <w:hideMark/>
          </w:tcPr>
          <w:sdt>
            <w:sdtPr>
              <w:rPr>
                <w:rFonts w:eastAsia="Times New Roman" w:cs="Arial"/>
                <w:color w:val="000000"/>
                <w:sz w:val="20"/>
                <w:szCs w:val="20"/>
              </w:rPr>
              <w:id w:val="799336026"/>
              <w:placeholder>
                <w:docPart w:val="DefaultPlaceholder_-1854013440"/>
              </w:placeholder>
            </w:sdtPr>
            <w:sdtContent>
              <w:p w14:paraId="5055F1DE" w14:textId="409F15D2" w:rsidR="00805ABC" w:rsidRPr="00BD75BB" w:rsidRDefault="00594683" w:rsidP="00594683">
                <w:pPr>
                  <w:spacing w:after="0" w:line="240" w:lineRule="auto"/>
                  <w:rPr>
                    <w:rFonts w:eastAsia="Times New Roman" w:cs="Arial"/>
                    <w:color w:val="000000"/>
                    <w:sz w:val="20"/>
                    <w:szCs w:val="20"/>
                  </w:rPr>
                </w:pPr>
                <w:r>
                  <w:rPr>
                    <w:rFonts w:eastAsia="Times New Roman" w:cs="Arial"/>
                    <w:color w:val="000000"/>
                    <w:sz w:val="20"/>
                    <w:szCs w:val="20"/>
                  </w:rPr>
                  <w:t>There are no monetised costs to households in this assessment.</w:t>
                </w:r>
              </w:p>
            </w:sdtContent>
          </w:sdt>
          <w:p w14:paraId="0C2CBF32" w14:textId="77777777" w:rsidR="00805ABC" w:rsidRPr="00BD75BB" w:rsidRDefault="00805ABC" w:rsidP="0005065B">
            <w:pPr>
              <w:spacing w:after="0" w:line="240" w:lineRule="auto"/>
              <w:rPr>
                <w:rFonts w:eastAsia="Times New Roman" w:cs="Arial"/>
                <w:sz w:val="20"/>
                <w:szCs w:val="20"/>
              </w:rPr>
            </w:pPr>
          </w:p>
        </w:tc>
        <w:tc>
          <w:tcPr>
            <w:tcW w:w="2189" w:type="dxa"/>
            <w:shd w:val="clear" w:color="auto" w:fill="0070C0"/>
            <w:tcMar>
              <w:top w:w="100" w:type="dxa"/>
              <w:left w:w="100" w:type="dxa"/>
              <w:bottom w:w="100" w:type="dxa"/>
              <w:right w:w="100" w:type="dxa"/>
            </w:tcMar>
            <w:hideMark/>
          </w:tcPr>
          <w:p w14:paraId="1667EBA9" w14:textId="77777777" w:rsidR="001A71CB" w:rsidRDefault="001A71CB" w:rsidP="0005065B">
            <w:pPr>
              <w:spacing w:after="0" w:line="240" w:lineRule="auto"/>
              <w:rPr>
                <w:rFonts w:eastAsia="Arial" w:cs="Arial"/>
                <w:b/>
                <w:bCs/>
                <w:sz w:val="20"/>
                <w:szCs w:val="20"/>
              </w:rPr>
            </w:pPr>
          </w:p>
          <w:p w14:paraId="5AD4C86E" w14:textId="2164A3F0" w:rsidR="001A71CB" w:rsidRPr="002E73F4" w:rsidRDefault="001A71CB" w:rsidP="0005065B">
            <w:pPr>
              <w:spacing w:after="0" w:line="240" w:lineRule="auto"/>
              <w:rPr>
                <w:rFonts w:eastAsia="Arial" w:cs="Arial"/>
                <w:b/>
                <w:bCs/>
                <w:szCs w:val="24"/>
              </w:rPr>
            </w:pPr>
            <w:r>
              <w:rPr>
                <w:rFonts w:eastAsia="Arial" w:cs="Arial"/>
                <w:b/>
                <w:bCs/>
                <w:szCs w:val="24"/>
              </w:rPr>
              <w:t>Neutral</w:t>
            </w:r>
          </w:p>
          <w:p w14:paraId="3C5BE007" w14:textId="5A7DD2B7" w:rsidR="006357B0" w:rsidRDefault="006357B0" w:rsidP="001A71CB">
            <w:pPr>
              <w:spacing w:after="0" w:line="240" w:lineRule="auto"/>
              <w:rPr>
                <w:rFonts w:eastAsia="Arial" w:cs="Arial"/>
                <w:b/>
                <w:bCs/>
                <w:sz w:val="20"/>
                <w:szCs w:val="20"/>
              </w:rPr>
            </w:pPr>
          </w:p>
          <w:p w14:paraId="0D1C4444" w14:textId="2713C43B" w:rsidR="00805ABC" w:rsidRPr="006357B0" w:rsidRDefault="00805ABC" w:rsidP="0005065B">
            <w:pPr>
              <w:spacing w:after="0" w:line="240" w:lineRule="auto"/>
              <w:rPr>
                <w:rFonts w:eastAsia="Times New Roman" w:cs="Arial"/>
                <w:sz w:val="20"/>
                <w:szCs w:val="20"/>
              </w:rPr>
            </w:pPr>
            <w:r w:rsidRPr="006357B0">
              <w:rPr>
                <w:rFonts w:eastAsia="Arial" w:cs="Arial"/>
                <w:b/>
                <w:bCs/>
                <w:sz w:val="20"/>
                <w:szCs w:val="20"/>
              </w:rPr>
              <w:t>Based on likely household £NPV</w:t>
            </w:r>
          </w:p>
        </w:tc>
      </w:tr>
      <w:tr w:rsidR="00805ABC" w:rsidRPr="002E73F4" w14:paraId="03207871" w14:textId="77777777" w:rsidTr="00223F1E">
        <w:tc>
          <w:tcPr>
            <w:tcW w:w="1833" w:type="dxa"/>
            <w:tcBorders>
              <w:left w:val="single" w:sz="4" w:space="0" w:color="auto"/>
            </w:tcBorders>
            <w:tcMar>
              <w:top w:w="100" w:type="dxa"/>
              <w:left w:w="100" w:type="dxa"/>
              <w:bottom w:w="100" w:type="dxa"/>
              <w:right w:w="100" w:type="dxa"/>
            </w:tcMar>
            <w:hideMark/>
          </w:tcPr>
          <w:p w14:paraId="3F28DCCB"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lastRenderedPageBreak/>
              <w:t>Non-monetised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1615704061"/>
              <w:placeholder>
                <w:docPart w:val="DefaultPlaceholder_-1854013440"/>
              </w:placeholder>
            </w:sdtPr>
            <w:sdtContent>
              <w:p w14:paraId="1DAB4020" w14:textId="37092FF7" w:rsidR="00805ABC" w:rsidRPr="00BD75BB" w:rsidRDefault="002D5FCF" w:rsidP="0005065B">
                <w:pPr>
                  <w:spacing w:after="0" w:line="240" w:lineRule="auto"/>
                  <w:rPr>
                    <w:rFonts w:eastAsia="Times New Roman" w:cs="Arial"/>
                    <w:sz w:val="20"/>
                    <w:szCs w:val="20"/>
                  </w:rPr>
                </w:pPr>
                <w:r>
                  <w:rPr>
                    <w:rFonts w:eastAsia="Times New Roman" w:cs="Arial"/>
                    <w:color w:val="000000"/>
                    <w:sz w:val="20"/>
                    <w:szCs w:val="20"/>
                  </w:rPr>
                  <w:t xml:space="preserve">This measure is focused solely on regulation of businesses, therefore there are no </w:t>
                </w:r>
                <w:r w:rsidR="004F4B93">
                  <w:rPr>
                    <w:rFonts w:eastAsia="Times New Roman" w:cs="Arial"/>
                    <w:color w:val="000000"/>
                    <w:sz w:val="20"/>
                    <w:szCs w:val="20"/>
                  </w:rPr>
                  <w:t xml:space="preserve">impacts on </w:t>
                </w:r>
                <w:r>
                  <w:rPr>
                    <w:rFonts w:eastAsia="Times New Roman" w:cs="Arial"/>
                    <w:color w:val="000000"/>
                    <w:sz w:val="20"/>
                    <w:szCs w:val="20"/>
                  </w:rPr>
                  <w:t>household</w:t>
                </w:r>
                <w:r w:rsidR="004F4B93">
                  <w:rPr>
                    <w:rFonts w:eastAsia="Times New Roman" w:cs="Arial"/>
                    <w:color w:val="000000"/>
                    <w:sz w:val="20"/>
                    <w:szCs w:val="20"/>
                  </w:rPr>
                  <w:t>s</w:t>
                </w:r>
                <w:r>
                  <w:rPr>
                    <w:rFonts w:eastAsia="Times New Roman" w:cs="Arial"/>
                    <w:color w:val="000000"/>
                    <w:sz w:val="20"/>
                    <w:szCs w:val="20"/>
                  </w:rPr>
                  <w:t>.</w:t>
                </w:r>
              </w:p>
            </w:sdtContent>
          </w:sdt>
        </w:tc>
        <w:tc>
          <w:tcPr>
            <w:tcW w:w="2189" w:type="dxa"/>
            <w:shd w:val="clear" w:color="auto" w:fill="0070C0"/>
            <w:tcMar>
              <w:top w:w="100" w:type="dxa"/>
              <w:left w:w="100" w:type="dxa"/>
              <w:bottom w:w="100" w:type="dxa"/>
              <w:right w:w="100" w:type="dxa"/>
            </w:tcMar>
            <w:hideMark/>
          </w:tcPr>
          <w:sdt>
            <w:sdtPr>
              <w:rPr>
                <w:rFonts w:eastAsia="Arial" w:cs="Arial"/>
                <w:b/>
                <w:bCs/>
                <w:szCs w:val="24"/>
              </w:rPr>
              <w:alias w:val="Rating"/>
              <w:tag w:val="Rating"/>
              <w:id w:val="-81076012"/>
              <w:placeholder>
                <w:docPart w:val="E58822EB64114F878C34AB472B49958A"/>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4EBA8BC1" w14:textId="153D4D64" w:rsidR="005E55AA" w:rsidRDefault="002D5FCF" w:rsidP="005E55AA">
                <w:pPr>
                  <w:rPr>
                    <w:rFonts w:eastAsia="Arial" w:cs="Arial"/>
                    <w:b/>
                    <w:bCs/>
                    <w:szCs w:val="24"/>
                  </w:rPr>
                </w:pPr>
                <w:r>
                  <w:rPr>
                    <w:rFonts w:eastAsia="Arial" w:cs="Arial"/>
                    <w:b/>
                    <w:bCs/>
                    <w:szCs w:val="24"/>
                  </w:rPr>
                  <w:t>Neutral</w:t>
                </w:r>
              </w:p>
            </w:sdtContent>
          </w:sdt>
          <w:p w14:paraId="4DC7C013" w14:textId="77777777" w:rsidR="00805ABC" w:rsidRPr="002E73F4" w:rsidRDefault="00805ABC" w:rsidP="0005065B">
            <w:pPr>
              <w:spacing w:after="0" w:line="240" w:lineRule="auto"/>
              <w:rPr>
                <w:rFonts w:eastAsia="Times New Roman" w:cs="Arial"/>
                <w:szCs w:val="24"/>
              </w:rPr>
            </w:pPr>
          </w:p>
        </w:tc>
      </w:tr>
      <w:tr w:rsidR="00805ABC" w:rsidRPr="002E73F4" w14:paraId="0E9A903B" w14:textId="77777777" w:rsidTr="00223F1E">
        <w:tc>
          <w:tcPr>
            <w:tcW w:w="1833" w:type="dxa"/>
            <w:tcBorders>
              <w:left w:val="single" w:sz="4" w:space="0" w:color="auto"/>
            </w:tcBorders>
            <w:tcMar>
              <w:top w:w="100" w:type="dxa"/>
              <w:left w:w="100" w:type="dxa"/>
              <w:bottom w:w="100" w:type="dxa"/>
              <w:right w:w="100" w:type="dxa"/>
            </w:tcMar>
            <w:hideMark/>
          </w:tcPr>
          <w:p w14:paraId="0FB92ADF" w14:textId="77777777" w:rsidR="00805ABC" w:rsidRPr="002E73F4" w:rsidRDefault="00805ABC" w:rsidP="0005065B">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1241287469"/>
              <w:placeholder>
                <w:docPart w:val="DefaultPlaceholder_-1854013440"/>
              </w:placeholder>
            </w:sdtPr>
            <w:sdtContent>
              <w:p w14:paraId="4DAE59BF" w14:textId="09674106" w:rsidR="00805ABC" w:rsidRPr="00BD75BB" w:rsidRDefault="00805ABC" w:rsidP="0005065B">
                <w:pPr>
                  <w:spacing w:after="0" w:line="240" w:lineRule="auto"/>
                  <w:rPr>
                    <w:rFonts w:eastAsia="Times New Roman" w:cs="Arial"/>
                    <w:color w:val="000000"/>
                    <w:sz w:val="20"/>
                    <w:szCs w:val="20"/>
                  </w:rPr>
                </w:pPr>
                <w:r w:rsidRPr="00BD75BB">
                  <w:rPr>
                    <w:rFonts w:eastAsia="Times New Roman" w:cs="Arial"/>
                    <w:color w:val="000000"/>
                    <w:sz w:val="20"/>
                    <w:szCs w:val="20"/>
                  </w:rPr>
                  <w:t>N</w:t>
                </w:r>
                <w:r w:rsidR="00D12A0E" w:rsidRPr="00BD75BB">
                  <w:rPr>
                    <w:rFonts w:eastAsia="Times New Roman" w:cs="Arial"/>
                    <w:color w:val="000000"/>
                    <w:sz w:val="20"/>
                    <w:szCs w:val="20"/>
                  </w:rPr>
                  <w:t>o</w:t>
                </w:r>
              </w:p>
              <w:p w14:paraId="34B5CFBA" w14:textId="64A2F73F" w:rsidR="00805ABC" w:rsidRPr="00BD75BB" w:rsidRDefault="00805ABC" w:rsidP="0005065B">
                <w:pPr>
                  <w:spacing w:after="0" w:line="240" w:lineRule="auto"/>
                  <w:rPr>
                    <w:rFonts w:eastAsia="Times New Roman" w:cs="Arial"/>
                    <w:sz w:val="20"/>
                    <w:szCs w:val="20"/>
                  </w:rPr>
                </w:pPr>
                <w:r w:rsidRPr="00BD75BB">
                  <w:rPr>
                    <w:rFonts w:eastAsia="Times New Roman" w:cs="Arial"/>
                    <w:color w:val="000000"/>
                    <w:sz w:val="20"/>
                    <w:szCs w:val="20"/>
                  </w:rPr>
                  <w:br/>
                </w:r>
              </w:p>
            </w:sdtContent>
          </w:sdt>
        </w:tc>
        <w:tc>
          <w:tcPr>
            <w:tcW w:w="2189" w:type="dxa"/>
            <w:shd w:val="clear" w:color="auto" w:fill="0070C0"/>
            <w:tcMar>
              <w:top w:w="100" w:type="dxa"/>
              <w:left w:w="100" w:type="dxa"/>
              <w:bottom w:w="100" w:type="dxa"/>
              <w:right w:w="100" w:type="dxa"/>
            </w:tcMar>
            <w:hideMark/>
          </w:tcPr>
          <w:sdt>
            <w:sdtPr>
              <w:rPr>
                <w:rFonts w:eastAsia="Arial" w:cs="Arial"/>
                <w:b/>
                <w:bCs/>
                <w:szCs w:val="24"/>
              </w:rPr>
              <w:alias w:val="Rating"/>
              <w:tag w:val="Rating"/>
              <w:id w:val="1146858760"/>
              <w:placeholder>
                <w:docPart w:val="3B37AE43510A4A1AA1BBBAAA0570BE22"/>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3E201AD5" w14:textId="61CF9631" w:rsidR="005E55AA" w:rsidRDefault="002D5C16" w:rsidP="005E55AA">
                <w:pPr>
                  <w:rPr>
                    <w:rFonts w:eastAsia="Arial" w:cs="Arial"/>
                    <w:b/>
                    <w:bCs/>
                    <w:szCs w:val="24"/>
                  </w:rPr>
                </w:pPr>
                <w:r>
                  <w:rPr>
                    <w:rFonts w:eastAsia="Arial" w:cs="Arial"/>
                    <w:b/>
                    <w:bCs/>
                    <w:szCs w:val="24"/>
                  </w:rPr>
                  <w:t>Neutral</w:t>
                </w:r>
              </w:p>
            </w:sdtContent>
          </w:sdt>
          <w:p w14:paraId="3DEED628" w14:textId="77777777" w:rsidR="00805ABC" w:rsidRPr="002E73F4" w:rsidRDefault="00805ABC" w:rsidP="0005065B">
            <w:pPr>
              <w:spacing w:after="0" w:line="240" w:lineRule="auto"/>
              <w:rPr>
                <w:rFonts w:eastAsia="Times New Roman" w:cs="Arial"/>
                <w:szCs w:val="24"/>
              </w:rPr>
            </w:pPr>
          </w:p>
        </w:tc>
      </w:tr>
    </w:tbl>
    <w:p w14:paraId="703967FF" w14:textId="77777777" w:rsidR="00805ABC" w:rsidRDefault="00805ABC" w:rsidP="0005065B">
      <w:pPr>
        <w:rPr>
          <w:rFonts w:eastAsia="Arial" w:cs="Arial"/>
          <w:b/>
        </w:rPr>
      </w:pPr>
    </w:p>
    <w:p w14:paraId="3EE08DE6" w14:textId="77777777" w:rsidR="00BF0F1D" w:rsidRDefault="00BF0F1D" w:rsidP="00795E21">
      <w:pPr>
        <w:pStyle w:val="Heading3"/>
        <w:widowControl w:val="0"/>
        <w:rPr>
          <w:sz w:val="20"/>
          <w:szCs w:val="20"/>
        </w:rPr>
      </w:pPr>
      <w:r>
        <w:lastRenderedPageBreak/>
        <w:t>Part B: Impacts on wider government priorities</w:t>
      </w:r>
    </w:p>
    <w:tbl>
      <w:tblPr>
        <w:tblW w:w="952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Caption w:val="Part B: Impact on wider government priorities"/>
      </w:tblPr>
      <w:tblGrid>
        <w:gridCol w:w="2550"/>
        <w:gridCol w:w="5235"/>
        <w:gridCol w:w="1740"/>
      </w:tblGrid>
      <w:tr w:rsidR="00393579" w:rsidRPr="009742C9" w14:paraId="009A0879" w14:textId="77777777" w:rsidTr="00223F1E">
        <w:trPr>
          <w:trHeight w:val="495"/>
        </w:trPr>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12C5B70C" w14:textId="77777777" w:rsidR="00393579" w:rsidRPr="009742C9" w:rsidRDefault="00393579" w:rsidP="00795E21">
            <w:pPr>
              <w:keepNext/>
              <w:keepLines/>
              <w:widowControl w:val="0"/>
              <w:spacing w:after="0" w:line="276" w:lineRule="auto"/>
              <w:rPr>
                <w:rFonts w:eastAsia="Arial" w:cs="Arial"/>
                <w:szCs w:val="24"/>
              </w:rPr>
            </w:pPr>
            <w:r w:rsidRPr="009742C9">
              <w:rPr>
                <w:rFonts w:eastAsia="Arial" w:cs="Arial"/>
                <w:b/>
                <w:szCs w:val="24"/>
              </w:rPr>
              <w:t>Category</w:t>
            </w:r>
          </w:p>
        </w:tc>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460C0E51" w14:textId="75ED8134" w:rsidR="00393579" w:rsidRPr="009742C9" w:rsidRDefault="00393579" w:rsidP="00795E21">
            <w:pPr>
              <w:keepNext/>
              <w:keepLines/>
              <w:widowControl w:val="0"/>
              <w:spacing w:after="0" w:line="276" w:lineRule="auto"/>
              <w:rPr>
                <w:rFonts w:eastAsia="Arial" w:cs="Arial"/>
                <w:szCs w:val="24"/>
              </w:rPr>
            </w:pPr>
            <w:r w:rsidRPr="009742C9">
              <w:rPr>
                <w:rFonts w:eastAsia="Arial" w:cs="Arial"/>
                <w:b/>
                <w:szCs w:val="24"/>
              </w:rPr>
              <w:t xml:space="preserve">Description of </w:t>
            </w:r>
            <w:r w:rsidR="00456FD9">
              <w:rPr>
                <w:rFonts w:eastAsia="Arial" w:cs="Arial"/>
                <w:b/>
                <w:szCs w:val="24"/>
              </w:rPr>
              <w:t>i</w:t>
            </w:r>
            <w:r w:rsidRPr="009742C9">
              <w:rPr>
                <w:rFonts w:eastAsia="Arial" w:cs="Arial"/>
                <w:b/>
                <w:szCs w:val="24"/>
              </w:rPr>
              <w:t>mpact</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578E13CA" w14:textId="77777777" w:rsidR="00393579" w:rsidRPr="009742C9" w:rsidRDefault="00393579" w:rsidP="00795E21">
            <w:pPr>
              <w:keepNext/>
              <w:keepLines/>
              <w:widowControl w:val="0"/>
              <w:spacing w:after="0" w:line="276" w:lineRule="auto"/>
              <w:rPr>
                <w:rFonts w:eastAsia="Arial" w:cs="Arial"/>
                <w:szCs w:val="24"/>
              </w:rPr>
            </w:pPr>
            <w:r w:rsidRPr="009742C9">
              <w:rPr>
                <w:rFonts w:eastAsia="Arial" w:cs="Arial"/>
                <w:b/>
                <w:szCs w:val="24"/>
              </w:rPr>
              <w:t>Directional rating</w:t>
            </w:r>
          </w:p>
        </w:tc>
      </w:tr>
      <w:tr w:rsidR="00393579" w:rsidRPr="009742C9" w14:paraId="56459C90" w14:textId="77777777" w:rsidTr="00223F1E">
        <w:trPr>
          <w:trHeight w:val="2065"/>
        </w:trPr>
        <w:tc>
          <w:tcPr>
            <w:tcW w:w="25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043C680" w14:textId="77777777" w:rsidR="00393579" w:rsidRPr="009742C9" w:rsidRDefault="00393579" w:rsidP="00795E21">
            <w:pPr>
              <w:keepNext/>
              <w:keepLines/>
              <w:widowControl w:val="0"/>
              <w:spacing w:after="0" w:line="276" w:lineRule="auto"/>
              <w:rPr>
                <w:rFonts w:eastAsia="Arial" w:cs="Arial"/>
                <w:b/>
                <w:szCs w:val="24"/>
              </w:rPr>
            </w:pPr>
            <w:r w:rsidRPr="009742C9">
              <w:rPr>
                <w:rFonts w:eastAsia="Arial" w:cs="Arial"/>
                <w:b/>
                <w:szCs w:val="24"/>
              </w:rPr>
              <w:t>Business environment:</w:t>
            </w:r>
          </w:p>
          <w:p w14:paraId="3322ED5A" w14:textId="77777777" w:rsidR="00393579" w:rsidRPr="00BD75BB" w:rsidRDefault="00393579" w:rsidP="00795E21">
            <w:pPr>
              <w:keepNext/>
              <w:keepLines/>
              <w:widowControl w:val="0"/>
              <w:spacing w:after="0" w:line="276" w:lineRule="auto"/>
              <w:rPr>
                <w:rFonts w:eastAsia="Arial" w:cs="Arial"/>
                <w:sz w:val="20"/>
                <w:szCs w:val="20"/>
              </w:rPr>
            </w:pPr>
            <w:r w:rsidRPr="00BD75BB">
              <w:rPr>
                <w:rFonts w:eastAsia="Arial" w:cs="Arial"/>
                <w:sz w:val="20"/>
                <w:szCs w:val="20"/>
              </w:rPr>
              <w:t xml:space="preserve">Does the measure </w:t>
            </w:r>
            <w:r w:rsidRPr="00BD75BB">
              <w:rPr>
                <w:rFonts w:eastAsia="Arial" w:cs="Arial"/>
                <w:color w:val="000000" w:themeColor="text1"/>
                <w:sz w:val="20"/>
                <w:szCs w:val="20"/>
              </w:rPr>
              <w:t>impact on the ease of doing business in the UK?</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sdt>
            <w:sdtPr>
              <w:rPr>
                <w:rFonts w:eastAsia="Arial" w:cs="Arial"/>
                <w:sz w:val="20"/>
                <w:szCs w:val="20"/>
              </w:rPr>
              <w:id w:val="-1432044689"/>
              <w:placeholder>
                <w:docPart w:val="B88BEC981B2C47429A6227C06A11F53F"/>
              </w:placeholder>
            </w:sdtPr>
            <w:sdtEndPr>
              <w:rPr>
                <w:color w:val="000000" w:themeColor="text1"/>
              </w:rPr>
            </w:sdtEndPr>
            <w:sdtContent>
              <w:p w14:paraId="5DFA14CA" w14:textId="758F0F07" w:rsidR="00D83224" w:rsidRDefault="00BA0354" w:rsidP="00795E21">
                <w:pPr>
                  <w:keepNext/>
                  <w:keepLines/>
                  <w:widowControl w:val="0"/>
                  <w:spacing w:after="0" w:line="276" w:lineRule="auto"/>
                  <w:rPr>
                    <w:rFonts w:eastAsia="Arial" w:cs="Arial"/>
                    <w:sz w:val="20"/>
                    <w:szCs w:val="20"/>
                  </w:rPr>
                </w:pPr>
                <w:r>
                  <w:rPr>
                    <w:rFonts w:eastAsia="Arial" w:cs="Arial"/>
                    <w:sz w:val="20"/>
                    <w:szCs w:val="20"/>
                  </w:rPr>
                  <w:t xml:space="preserve">Introducing </w:t>
                </w:r>
                <w:r w:rsidR="008F0C59">
                  <w:rPr>
                    <w:rFonts w:eastAsia="Arial" w:cs="Arial"/>
                    <w:sz w:val="20"/>
                    <w:szCs w:val="20"/>
                  </w:rPr>
                  <w:t>regulatory costs to businesses creates a potential barrier to entry</w:t>
                </w:r>
                <w:r w:rsidR="002360EE">
                  <w:rPr>
                    <w:rFonts w:eastAsia="Arial" w:cs="Arial"/>
                    <w:sz w:val="20"/>
                    <w:szCs w:val="20"/>
                  </w:rPr>
                  <w:t xml:space="preserve">. Businesses will need to be able to meet these costs </w:t>
                </w:r>
                <w:proofErr w:type="gramStart"/>
                <w:r w:rsidR="002360EE">
                  <w:rPr>
                    <w:rFonts w:eastAsia="Arial" w:cs="Arial"/>
                    <w:sz w:val="20"/>
                    <w:szCs w:val="20"/>
                  </w:rPr>
                  <w:t>in order to</w:t>
                </w:r>
                <w:proofErr w:type="gramEnd"/>
                <w:r w:rsidR="002360EE">
                  <w:rPr>
                    <w:rFonts w:eastAsia="Arial" w:cs="Arial"/>
                    <w:sz w:val="20"/>
                    <w:szCs w:val="20"/>
                  </w:rPr>
                  <w:t xml:space="preserve"> operate.</w:t>
                </w:r>
              </w:p>
              <w:p w14:paraId="75960495" w14:textId="77777777" w:rsidR="0099525D" w:rsidRDefault="0099525D" w:rsidP="00795E21">
                <w:pPr>
                  <w:keepNext/>
                  <w:keepLines/>
                  <w:widowControl w:val="0"/>
                  <w:spacing w:after="0" w:line="276" w:lineRule="auto"/>
                  <w:rPr>
                    <w:rFonts w:eastAsia="Arial" w:cs="Arial"/>
                    <w:sz w:val="20"/>
                    <w:szCs w:val="20"/>
                  </w:rPr>
                </w:pPr>
              </w:p>
              <w:p w14:paraId="140DBEB9" w14:textId="01962441" w:rsidR="002360EE" w:rsidRPr="00BD75BB" w:rsidRDefault="00046C21" w:rsidP="00795E21">
                <w:pPr>
                  <w:keepNext/>
                  <w:keepLines/>
                  <w:widowControl w:val="0"/>
                  <w:spacing w:after="0" w:line="276" w:lineRule="auto"/>
                  <w:rPr>
                    <w:rFonts w:eastAsia="Arial" w:cs="Arial"/>
                    <w:color w:val="000000" w:themeColor="text1"/>
                    <w:sz w:val="20"/>
                    <w:szCs w:val="20"/>
                  </w:rPr>
                </w:pPr>
                <w:r>
                  <w:rPr>
                    <w:rFonts w:eastAsia="Arial" w:cs="Arial"/>
                    <w:sz w:val="20"/>
                    <w:szCs w:val="20"/>
                  </w:rPr>
                  <w:t xml:space="preserve">It is important to note that </w:t>
                </w:r>
                <w:proofErr w:type="gramStart"/>
                <w:r>
                  <w:rPr>
                    <w:rFonts w:eastAsia="Arial" w:cs="Arial"/>
                    <w:sz w:val="20"/>
                    <w:szCs w:val="20"/>
                  </w:rPr>
                  <w:t>the majority of</w:t>
                </w:r>
                <w:proofErr w:type="gramEnd"/>
                <w:r>
                  <w:rPr>
                    <w:rFonts w:eastAsia="Arial" w:cs="Arial"/>
                    <w:sz w:val="20"/>
                    <w:szCs w:val="20"/>
                  </w:rPr>
                  <w:t xml:space="preserve"> operators are expected to be businesses already operating in the offshore and major hazard pipeline sectors and so are already </w:t>
                </w:r>
                <w:r w:rsidR="0099525D">
                  <w:rPr>
                    <w:rFonts w:eastAsia="Arial" w:cs="Arial"/>
                    <w:sz w:val="20"/>
                    <w:szCs w:val="20"/>
                  </w:rPr>
                  <w:t xml:space="preserve">familiar with and capable of meeting these requirements. </w:t>
                </w:r>
                <w:r w:rsidR="001D5387">
                  <w:rPr>
                    <w:rFonts w:eastAsia="Arial" w:cs="Arial"/>
                    <w:sz w:val="20"/>
                    <w:szCs w:val="20"/>
                  </w:rPr>
                  <w:t xml:space="preserve">The sector </w:t>
                </w:r>
                <w:r w:rsidR="00295CA7">
                  <w:rPr>
                    <w:rFonts w:eastAsia="Arial" w:cs="Arial"/>
                    <w:sz w:val="20"/>
                    <w:szCs w:val="20"/>
                  </w:rPr>
                  <w:t xml:space="preserve">also </w:t>
                </w:r>
                <w:r w:rsidR="003E4502">
                  <w:rPr>
                    <w:rFonts w:eastAsia="Arial" w:cs="Arial"/>
                    <w:sz w:val="20"/>
                    <w:szCs w:val="20"/>
                  </w:rPr>
                  <w:t xml:space="preserve">has high </w:t>
                </w:r>
                <w:r w:rsidR="00C371F5">
                  <w:rPr>
                    <w:rFonts w:eastAsia="Arial" w:cs="Arial"/>
                    <w:sz w:val="20"/>
                    <w:szCs w:val="20"/>
                  </w:rPr>
                  <w:t xml:space="preserve">entry costs regardless of health and safety costs due </w:t>
                </w:r>
                <w:r w:rsidR="00510842">
                  <w:rPr>
                    <w:rFonts w:eastAsia="Arial" w:cs="Arial"/>
                    <w:sz w:val="20"/>
                    <w:szCs w:val="20"/>
                  </w:rPr>
                  <w:t>large capital costs</w:t>
                </w:r>
                <w:r w:rsidR="00C03DDA">
                  <w:rPr>
                    <w:rFonts w:eastAsia="Arial" w:cs="Arial"/>
                    <w:sz w:val="20"/>
                    <w:szCs w:val="20"/>
                  </w:rPr>
                  <w:t xml:space="preserve">. It is not likely that the cost of complying with the health and safety requirements will </w:t>
                </w:r>
                <w:r w:rsidR="00261FF0">
                  <w:rPr>
                    <w:rFonts w:eastAsia="Arial" w:cs="Arial"/>
                    <w:sz w:val="20"/>
                    <w:szCs w:val="20"/>
                  </w:rPr>
                  <w:t>make the difference in terms of businesses decision to operate.</w:t>
                </w:r>
              </w:p>
            </w:sdtContent>
          </w:sdt>
          <w:p w14:paraId="3EADB28D" w14:textId="77777777" w:rsidR="00393579" w:rsidRPr="00BD75BB" w:rsidRDefault="00393579" w:rsidP="00795E21">
            <w:pPr>
              <w:keepNext/>
              <w:keepLines/>
              <w:widowControl w:val="0"/>
              <w:spacing w:after="0" w:line="276" w:lineRule="auto"/>
              <w:rPr>
                <w:rFonts w:eastAsia="Arial" w:cs="Arial"/>
                <w:sz w:val="20"/>
                <w:szCs w:val="20"/>
              </w:rPr>
            </w:pPr>
          </w:p>
          <w:p w14:paraId="28A79627" w14:textId="77777777" w:rsidR="00393579" w:rsidRPr="00BD75BB" w:rsidRDefault="00393579" w:rsidP="00795E21">
            <w:pPr>
              <w:keepNext/>
              <w:keepLines/>
              <w:widowControl w:val="0"/>
              <w:spacing w:after="0" w:line="276" w:lineRule="auto"/>
              <w:rPr>
                <w:rFonts w:eastAsia="Arial" w:cs="Arial"/>
                <w:sz w:val="20"/>
                <w:szCs w:val="20"/>
              </w:rPr>
            </w:pPr>
          </w:p>
          <w:p w14:paraId="40382238" w14:textId="77777777" w:rsidR="00393579" w:rsidRPr="00BD75BB" w:rsidRDefault="00393579" w:rsidP="00795E21">
            <w:pPr>
              <w:keepNext/>
              <w:keepLines/>
              <w:widowControl w:val="0"/>
              <w:spacing w:after="0" w:line="276" w:lineRule="auto"/>
              <w:rPr>
                <w:rFonts w:eastAsia="Arial" w:cs="Arial"/>
                <w:sz w:val="20"/>
                <w:szCs w:val="20"/>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FF0000"/>
            <w:tcMar>
              <w:top w:w="0" w:type="dxa"/>
              <w:left w:w="40" w:type="dxa"/>
              <w:bottom w:w="0" w:type="dxa"/>
              <w:right w:w="40" w:type="dxa"/>
            </w:tcMar>
            <w:vAlign w:val="center"/>
          </w:tcPr>
          <w:p w14:paraId="0AF11300" w14:textId="40CF52C1" w:rsidR="00393579" w:rsidRDefault="00A42B42" w:rsidP="00795E21">
            <w:pPr>
              <w:keepNext/>
              <w:keepLines/>
              <w:widowControl w:val="0"/>
              <w:spacing w:after="0" w:line="276" w:lineRule="auto"/>
              <w:jc w:val="center"/>
              <w:rPr>
                <w:rFonts w:eastAsia="Arial" w:cs="Arial"/>
                <w:b/>
                <w:szCs w:val="24"/>
              </w:rPr>
            </w:pPr>
            <w:r>
              <w:rPr>
                <w:rFonts w:eastAsia="Arial" w:cs="Arial"/>
                <w:b/>
                <w:szCs w:val="24"/>
              </w:rPr>
              <w:t>May work Against</w:t>
            </w:r>
          </w:p>
          <w:p w14:paraId="0EFC3EBF" w14:textId="04ADAD2E" w:rsidR="00BA0354" w:rsidRDefault="00BA0354" w:rsidP="00795E21">
            <w:pPr>
              <w:keepNext/>
              <w:keepLines/>
              <w:widowControl w:val="0"/>
              <w:rPr>
                <w:rFonts w:eastAsia="Arial" w:cs="Arial"/>
                <w:b/>
                <w:szCs w:val="24"/>
              </w:rPr>
            </w:pPr>
          </w:p>
          <w:p w14:paraId="1A6ED1A8" w14:textId="77777777" w:rsidR="00BA0354" w:rsidRDefault="00BA0354" w:rsidP="00795E21">
            <w:pPr>
              <w:keepNext/>
              <w:keepLines/>
              <w:widowControl w:val="0"/>
              <w:rPr>
                <w:rFonts w:eastAsia="Arial" w:cs="Arial"/>
                <w:b/>
                <w:szCs w:val="24"/>
              </w:rPr>
            </w:pPr>
          </w:p>
          <w:p w14:paraId="4485A632" w14:textId="26AE6E26" w:rsidR="00393579" w:rsidRPr="007C47D0" w:rsidRDefault="00393579" w:rsidP="00795E21">
            <w:pPr>
              <w:keepNext/>
              <w:keepLines/>
              <w:widowControl w:val="0"/>
              <w:rPr>
                <w:rFonts w:eastAsia="Arial" w:cs="Arial"/>
                <w:szCs w:val="24"/>
              </w:rPr>
            </w:pPr>
          </w:p>
        </w:tc>
      </w:tr>
      <w:tr w:rsidR="00393579" w:rsidRPr="009742C9" w14:paraId="4B88E887" w14:textId="77777777" w:rsidTr="00223F1E">
        <w:trPr>
          <w:trHeight w:val="699"/>
        </w:trPr>
        <w:tc>
          <w:tcPr>
            <w:tcW w:w="25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7941654" w14:textId="77777777" w:rsidR="00393579" w:rsidRPr="009742C9" w:rsidRDefault="00393579" w:rsidP="00795E21">
            <w:pPr>
              <w:keepNext/>
              <w:keepLines/>
              <w:widowControl w:val="0"/>
              <w:spacing w:after="0" w:line="276" w:lineRule="auto"/>
              <w:rPr>
                <w:rFonts w:eastAsia="Arial" w:cs="Arial"/>
                <w:b/>
                <w:szCs w:val="24"/>
              </w:rPr>
            </w:pPr>
            <w:r w:rsidRPr="009742C9">
              <w:rPr>
                <w:rFonts w:eastAsia="Arial" w:cs="Arial"/>
                <w:b/>
                <w:szCs w:val="24"/>
              </w:rPr>
              <w:t>International Considerations:</w:t>
            </w:r>
          </w:p>
          <w:p w14:paraId="17298270" w14:textId="32A385F3" w:rsidR="00393579" w:rsidRPr="00BD75BB" w:rsidRDefault="00393579" w:rsidP="00795E21">
            <w:pPr>
              <w:keepNext/>
              <w:keepLines/>
              <w:widowControl w:val="0"/>
              <w:spacing w:after="0" w:line="276" w:lineRule="auto"/>
              <w:rPr>
                <w:rFonts w:eastAsia="Arial" w:cs="Arial"/>
                <w:sz w:val="20"/>
                <w:szCs w:val="20"/>
              </w:rPr>
            </w:pPr>
            <w:r w:rsidRPr="00BD75BB">
              <w:rPr>
                <w:rFonts w:eastAsia="Arial" w:cs="Arial"/>
                <w:sz w:val="20"/>
                <w:szCs w:val="20"/>
              </w:rPr>
              <w:t xml:space="preserve">Does the measure support international trade </w:t>
            </w:r>
            <w:r w:rsidR="00EF2361" w:rsidRPr="00BD75BB">
              <w:rPr>
                <w:rFonts w:eastAsia="Arial" w:cs="Arial"/>
                <w:sz w:val="20"/>
                <w:szCs w:val="20"/>
              </w:rPr>
              <w:t>and</w:t>
            </w:r>
            <w:r w:rsidRPr="00BD75BB">
              <w:rPr>
                <w:rFonts w:eastAsia="Arial" w:cs="Arial"/>
                <w:sz w:val="20"/>
                <w:szCs w:val="20"/>
              </w:rPr>
              <w:t xml:space="preserve"> investment?</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40E9D38" w14:textId="14AFDF38" w:rsidR="00A857E2" w:rsidRDefault="00CC0203" w:rsidP="00795E21">
            <w:pPr>
              <w:pStyle w:val="NormalWeb"/>
              <w:keepNext/>
              <w:keepLines/>
              <w:widowControl w:val="0"/>
              <w:spacing w:before="0" w:beforeAutospacing="0" w:after="0" w:afterAutospacing="0"/>
              <w:rPr>
                <w:rFonts w:ascii="Arial" w:hAnsi="Arial" w:cs="Arial"/>
                <w:color w:val="0E101A"/>
                <w:sz w:val="20"/>
                <w:szCs w:val="20"/>
              </w:rPr>
            </w:pPr>
            <w:r>
              <w:rPr>
                <w:rFonts w:ascii="Arial" w:hAnsi="Arial" w:cs="Arial"/>
                <w:color w:val="0E101A"/>
                <w:sz w:val="20"/>
                <w:szCs w:val="20"/>
              </w:rPr>
              <w:t>The</w:t>
            </w:r>
            <w:r w:rsidR="003A75ED">
              <w:rPr>
                <w:rFonts w:ascii="Arial" w:hAnsi="Arial" w:cs="Arial"/>
                <w:color w:val="0E101A"/>
                <w:sz w:val="20"/>
                <w:szCs w:val="20"/>
              </w:rPr>
              <w:t xml:space="preserve"> preferred policy option provides</w:t>
            </w:r>
            <w:r w:rsidR="00791432">
              <w:rPr>
                <w:rFonts w:ascii="Arial" w:hAnsi="Arial" w:cs="Arial"/>
                <w:color w:val="0E101A"/>
                <w:sz w:val="20"/>
                <w:szCs w:val="20"/>
              </w:rPr>
              <w:t xml:space="preserve"> </w:t>
            </w:r>
            <w:r w:rsidR="002B62F0">
              <w:rPr>
                <w:rFonts w:ascii="Arial" w:hAnsi="Arial" w:cs="Arial"/>
                <w:color w:val="0E101A"/>
                <w:sz w:val="20"/>
                <w:szCs w:val="20"/>
              </w:rPr>
              <w:t>traders and investors with certainty</w:t>
            </w:r>
            <w:r w:rsidR="00791432">
              <w:rPr>
                <w:rFonts w:ascii="Arial" w:hAnsi="Arial" w:cs="Arial"/>
                <w:color w:val="0E101A"/>
                <w:sz w:val="20"/>
                <w:szCs w:val="20"/>
              </w:rPr>
              <w:t xml:space="preserve"> over how these projects health and safety risks will be controlled. Regulatory clarity</w:t>
            </w:r>
            <w:r w:rsidR="008A48B2">
              <w:rPr>
                <w:rFonts w:ascii="Arial" w:hAnsi="Arial" w:cs="Arial"/>
                <w:color w:val="0E101A"/>
                <w:sz w:val="20"/>
                <w:szCs w:val="20"/>
              </w:rPr>
              <w:t xml:space="preserve"> will build investor confidence and should attract further investor capital into similar projects.</w:t>
            </w:r>
            <w:r w:rsidR="00A46A13">
              <w:rPr>
                <w:rFonts w:ascii="Arial" w:hAnsi="Arial" w:cs="Arial"/>
                <w:color w:val="0E101A"/>
                <w:sz w:val="20"/>
                <w:szCs w:val="20"/>
              </w:rPr>
              <w:t xml:space="preserve"> </w:t>
            </w:r>
            <w:r w:rsidR="00D907C4">
              <w:rPr>
                <w:rFonts w:ascii="Arial" w:hAnsi="Arial" w:cs="Arial"/>
                <w:color w:val="0E101A"/>
                <w:sz w:val="20"/>
                <w:szCs w:val="20"/>
              </w:rPr>
              <w:t xml:space="preserve">This </w:t>
            </w:r>
            <w:r w:rsidR="00E00AC4">
              <w:rPr>
                <w:rFonts w:ascii="Arial" w:hAnsi="Arial" w:cs="Arial"/>
                <w:color w:val="0E101A"/>
                <w:sz w:val="20"/>
                <w:szCs w:val="20"/>
              </w:rPr>
              <w:t>facilitates</w:t>
            </w:r>
            <w:r w:rsidR="00D907C4">
              <w:rPr>
                <w:rFonts w:ascii="Arial" w:hAnsi="Arial" w:cs="Arial"/>
                <w:color w:val="0E101A"/>
                <w:sz w:val="20"/>
                <w:szCs w:val="20"/>
              </w:rPr>
              <w:t xml:space="preserve"> </w:t>
            </w:r>
            <w:r w:rsidR="00595622">
              <w:rPr>
                <w:rFonts w:ascii="Arial" w:hAnsi="Arial" w:cs="Arial"/>
                <w:color w:val="0E101A"/>
                <w:sz w:val="20"/>
                <w:szCs w:val="20"/>
              </w:rPr>
              <w:t xml:space="preserve">UK </w:t>
            </w:r>
            <w:r w:rsidR="00D907C4">
              <w:rPr>
                <w:rFonts w:ascii="Arial" w:hAnsi="Arial" w:cs="Arial"/>
                <w:color w:val="0E101A"/>
                <w:sz w:val="20"/>
                <w:szCs w:val="20"/>
              </w:rPr>
              <w:t>supply chains secur</w:t>
            </w:r>
            <w:r w:rsidR="00E00AC4">
              <w:rPr>
                <w:rFonts w:ascii="Arial" w:hAnsi="Arial" w:cs="Arial"/>
                <w:color w:val="0E101A"/>
                <w:sz w:val="20"/>
                <w:szCs w:val="20"/>
              </w:rPr>
              <w:t>ing</w:t>
            </w:r>
            <w:r w:rsidR="00D907C4">
              <w:rPr>
                <w:rFonts w:ascii="Arial" w:hAnsi="Arial" w:cs="Arial"/>
                <w:color w:val="0E101A"/>
                <w:sz w:val="20"/>
                <w:szCs w:val="20"/>
              </w:rPr>
              <w:t xml:space="preserve"> global market share </w:t>
            </w:r>
            <w:r w:rsidR="00B51DE5">
              <w:rPr>
                <w:rFonts w:ascii="Arial" w:hAnsi="Arial" w:cs="Arial"/>
                <w:color w:val="0E101A"/>
                <w:sz w:val="20"/>
                <w:szCs w:val="20"/>
              </w:rPr>
              <w:t>in new energy technologies</w:t>
            </w:r>
            <w:r w:rsidR="003D3B6A">
              <w:rPr>
                <w:rFonts w:ascii="Arial" w:hAnsi="Arial" w:cs="Arial"/>
                <w:color w:val="0E101A"/>
                <w:sz w:val="20"/>
                <w:szCs w:val="20"/>
              </w:rPr>
              <w:t>.</w:t>
            </w:r>
          </w:p>
          <w:p w14:paraId="3ABF96EF" w14:textId="04372EE4" w:rsidR="00A857E2" w:rsidRDefault="003D3B6A" w:rsidP="00795E21">
            <w:pPr>
              <w:pStyle w:val="NormalWeb"/>
              <w:keepNext/>
              <w:keepLines/>
              <w:widowControl w:val="0"/>
              <w:spacing w:before="0" w:beforeAutospacing="0" w:after="0" w:afterAutospacing="0"/>
              <w:rPr>
                <w:rFonts w:ascii="Arial" w:hAnsi="Arial" w:cs="Arial"/>
                <w:color w:val="0E101A"/>
                <w:sz w:val="20"/>
                <w:szCs w:val="20"/>
              </w:rPr>
            </w:pPr>
            <w:r>
              <w:rPr>
                <w:rFonts w:ascii="Arial" w:hAnsi="Arial" w:cs="Arial"/>
                <w:color w:val="0E101A"/>
                <w:sz w:val="20"/>
                <w:szCs w:val="20"/>
              </w:rPr>
              <w:t xml:space="preserve"> </w:t>
            </w:r>
          </w:p>
          <w:p w14:paraId="0F59E8C9" w14:textId="01D05488" w:rsidR="003A75ED" w:rsidRDefault="003D3B6A" w:rsidP="00795E21">
            <w:pPr>
              <w:pStyle w:val="NormalWeb"/>
              <w:keepNext/>
              <w:keepLines/>
              <w:widowControl w:val="0"/>
              <w:spacing w:before="0" w:beforeAutospacing="0" w:after="0" w:afterAutospacing="0"/>
              <w:rPr>
                <w:rFonts w:ascii="Arial" w:hAnsi="Arial" w:cs="Arial"/>
                <w:color w:val="0E101A"/>
                <w:sz w:val="20"/>
                <w:szCs w:val="20"/>
              </w:rPr>
            </w:pPr>
            <w:r>
              <w:rPr>
                <w:rFonts w:ascii="Arial" w:hAnsi="Arial" w:cs="Arial"/>
                <w:color w:val="0E101A"/>
                <w:sz w:val="20"/>
                <w:szCs w:val="20"/>
              </w:rPr>
              <w:t xml:space="preserve">Additionally, </w:t>
            </w:r>
            <w:r w:rsidR="00DD36DC">
              <w:rPr>
                <w:rFonts w:ascii="Arial" w:hAnsi="Arial" w:cs="Arial"/>
                <w:color w:val="0E101A"/>
                <w:sz w:val="20"/>
                <w:szCs w:val="20"/>
              </w:rPr>
              <w:t>the UK</w:t>
            </w:r>
            <w:r w:rsidR="00BF7154">
              <w:rPr>
                <w:rFonts w:ascii="Arial" w:hAnsi="Arial" w:cs="Arial"/>
                <w:color w:val="0E101A"/>
                <w:sz w:val="20"/>
                <w:szCs w:val="20"/>
              </w:rPr>
              <w:t xml:space="preserve"> </w:t>
            </w:r>
            <w:r w:rsidR="009621D3">
              <w:rPr>
                <w:rFonts w:ascii="Arial" w:hAnsi="Arial" w:cs="Arial"/>
                <w:color w:val="0E101A"/>
                <w:sz w:val="20"/>
                <w:szCs w:val="20"/>
              </w:rPr>
              <w:t xml:space="preserve">intends to export carbon storage space </w:t>
            </w:r>
            <w:r w:rsidR="00E95CC7">
              <w:rPr>
                <w:rFonts w:ascii="Arial" w:hAnsi="Arial" w:cs="Arial"/>
                <w:color w:val="0E101A"/>
                <w:sz w:val="20"/>
                <w:szCs w:val="20"/>
              </w:rPr>
              <w:t>and hydrogen</w:t>
            </w:r>
            <w:r w:rsidR="009621D3">
              <w:rPr>
                <w:rFonts w:ascii="Arial" w:hAnsi="Arial" w:cs="Arial"/>
                <w:color w:val="0E101A"/>
                <w:sz w:val="20"/>
                <w:szCs w:val="20"/>
              </w:rPr>
              <w:t xml:space="preserve"> to other countries</w:t>
            </w:r>
            <w:r w:rsidR="00E95CC7">
              <w:rPr>
                <w:rFonts w:ascii="Arial" w:hAnsi="Arial" w:cs="Arial"/>
                <w:color w:val="0E101A"/>
                <w:sz w:val="20"/>
                <w:szCs w:val="20"/>
              </w:rPr>
              <w:t xml:space="preserve">. </w:t>
            </w:r>
            <w:r w:rsidR="00631257">
              <w:rPr>
                <w:rFonts w:ascii="Arial" w:hAnsi="Arial" w:cs="Arial"/>
                <w:color w:val="0E101A"/>
                <w:sz w:val="20"/>
                <w:szCs w:val="20"/>
              </w:rPr>
              <w:t xml:space="preserve">Demonstrating safety and attracting investment </w:t>
            </w:r>
            <w:r w:rsidR="00A857E2">
              <w:rPr>
                <w:rFonts w:ascii="Arial" w:hAnsi="Arial" w:cs="Arial"/>
                <w:color w:val="0E101A"/>
                <w:sz w:val="20"/>
                <w:szCs w:val="20"/>
              </w:rPr>
              <w:t>means that</w:t>
            </w:r>
            <w:r w:rsidR="00631257">
              <w:rPr>
                <w:rFonts w:ascii="Arial" w:hAnsi="Arial" w:cs="Arial"/>
                <w:color w:val="0E101A"/>
                <w:sz w:val="20"/>
                <w:szCs w:val="20"/>
              </w:rPr>
              <w:t xml:space="preserve"> </w:t>
            </w:r>
            <w:r w:rsidR="00CE3A47">
              <w:rPr>
                <w:rFonts w:ascii="Arial" w:hAnsi="Arial" w:cs="Arial"/>
                <w:color w:val="0E101A"/>
                <w:sz w:val="20"/>
                <w:szCs w:val="20"/>
              </w:rPr>
              <w:t xml:space="preserve">UK </w:t>
            </w:r>
            <w:r w:rsidR="00CC4494">
              <w:rPr>
                <w:rFonts w:ascii="Arial" w:hAnsi="Arial" w:cs="Arial"/>
                <w:color w:val="0E101A"/>
                <w:sz w:val="20"/>
                <w:szCs w:val="20"/>
              </w:rPr>
              <w:t xml:space="preserve">industry </w:t>
            </w:r>
            <w:r w:rsidR="00A857E2">
              <w:rPr>
                <w:rFonts w:ascii="Arial" w:hAnsi="Arial" w:cs="Arial"/>
                <w:color w:val="0E101A"/>
                <w:sz w:val="20"/>
                <w:szCs w:val="20"/>
              </w:rPr>
              <w:t xml:space="preserve">will be </w:t>
            </w:r>
            <w:r w:rsidR="00CC4494">
              <w:rPr>
                <w:rFonts w:ascii="Arial" w:hAnsi="Arial" w:cs="Arial"/>
                <w:color w:val="0E101A"/>
                <w:sz w:val="20"/>
                <w:szCs w:val="20"/>
              </w:rPr>
              <w:t>better placed to take advantage of those opportunities.</w:t>
            </w:r>
          </w:p>
          <w:p w14:paraId="60740746" w14:textId="77777777" w:rsidR="00CC4494" w:rsidRDefault="00CC4494" w:rsidP="00795E21">
            <w:pPr>
              <w:pStyle w:val="NormalWeb"/>
              <w:keepNext/>
              <w:keepLines/>
              <w:widowControl w:val="0"/>
              <w:spacing w:before="0" w:beforeAutospacing="0" w:after="0" w:afterAutospacing="0"/>
              <w:rPr>
                <w:rFonts w:ascii="Arial" w:hAnsi="Arial" w:cs="Arial"/>
                <w:color w:val="0E101A"/>
                <w:sz w:val="20"/>
                <w:szCs w:val="20"/>
              </w:rPr>
            </w:pPr>
          </w:p>
          <w:p w14:paraId="25CF7AE2" w14:textId="5C9AF1D1" w:rsidR="003A75ED" w:rsidRPr="00AC679C" w:rsidRDefault="00E55F5B" w:rsidP="00795E21">
            <w:pPr>
              <w:pStyle w:val="NormalWeb"/>
              <w:keepNext/>
              <w:keepLines/>
              <w:widowControl w:val="0"/>
              <w:spacing w:before="0" w:beforeAutospacing="0" w:after="0" w:afterAutospacing="0"/>
              <w:rPr>
                <w:rFonts w:ascii="Arial" w:hAnsi="Arial" w:cs="Arial"/>
                <w:color w:val="0E101A"/>
                <w:sz w:val="20"/>
                <w:szCs w:val="20"/>
              </w:rPr>
            </w:pPr>
            <w:r>
              <w:rPr>
                <w:rFonts w:ascii="Arial" w:hAnsi="Arial" w:cs="Arial"/>
                <w:color w:val="0E101A"/>
                <w:sz w:val="20"/>
                <w:szCs w:val="20"/>
              </w:rPr>
              <w:t>For example, t</w:t>
            </w:r>
            <w:r w:rsidRPr="00E55F5B">
              <w:rPr>
                <w:rFonts w:ascii="Arial" w:hAnsi="Arial" w:cs="Arial"/>
                <w:color w:val="0E101A"/>
                <w:sz w:val="20"/>
                <w:szCs w:val="20"/>
              </w:rPr>
              <w:t>here is a potential for £4 billion to £5 billion in Gross Value Added from UK CCUS exports by 2050, which includes exporting our expertise and storage to other countries.</w:t>
            </w:r>
            <w:r>
              <w:rPr>
                <w:rStyle w:val="FootnoteReference"/>
                <w:rFonts w:ascii="Arial" w:hAnsi="Arial" w:cs="Arial"/>
                <w:color w:val="0E101A"/>
                <w:sz w:val="20"/>
                <w:szCs w:val="20"/>
              </w:rPr>
              <w:footnoteReference w:id="29"/>
            </w: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00B050"/>
            <w:tcMar>
              <w:top w:w="0" w:type="dxa"/>
              <w:left w:w="40" w:type="dxa"/>
              <w:bottom w:w="0" w:type="dxa"/>
              <w:right w:w="40" w:type="dxa"/>
            </w:tcMar>
            <w:vAlign w:val="center"/>
          </w:tcPr>
          <w:p w14:paraId="23A9FE2E" w14:textId="3724C15C" w:rsidR="00393579" w:rsidRPr="009742C9" w:rsidRDefault="00000000" w:rsidP="00795E21">
            <w:pPr>
              <w:keepNext/>
              <w:keepLines/>
              <w:widowControl w:val="0"/>
              <w:spacing w:after="0" w:line="276" w:lineRule="auto"/>
              <w:jc w:val="center"/>
              <w:rPr>
                <w:rFonts w:eastAsia="Arial" w:cs="Arial"/>
                <w:b/>
                <w:szCs w:val="24"/>
              </w:rPr>
            </w:pPr>
            <w:sdt>
              <w:sdtPr>
                <w:rPr>
                  <w:rFonts w:eastAsia="Arial" w:cs="Arial"/>
                  <w:b/>
                  <w:szCs w:val="24"/>
                </w:rPr>
                <w:alias w:val="Direction"/>
                <w:tag w:val="Directional Rating"/>
                <w:id w:val="323171891"/>
                <w:placeholder>
                  <w:docPart w:val="01F3B7420707483D8921168EF6F98729"/>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223354">
                  <w:rPr>
                    <w:rFonts w:eastAsia="Arial" w:cs="Arial"/>
                    <w:b/>
                    <w:szCs w:val="24"/>
                  </w:rPr>
                  <w:t>Supports</w:t>
                </w:r>
              </w:sdtContent>
            </w:sdt>
          </w:p>
        </w:tc>
      </w:tr>
      <w:tr w:rsidR="00922879" w:rsidRPr="009742C9" w14:paraId="09FCF889" w14:textId="77777777" w:rsidTr="00223F1E">
        <w:trPr>
          <w:trHeight w:val="1830"/>
        </w:trPr>
        <w:tc>
          <w:tcPr>
            <w:tcW w:w="25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E4D5743" w14:textId="1859945D" w:rsidR="00922879" w:rsidRPr="009742C9" w:rsidRDefault="00922879" w:rsidP="00795E21">
            <w:pPr>
              <w:keepNext/>
              <w:keepLines/>
              <w:widowControl w:val="0"/>
              <w:spacing w:after="0" w:line="276" w:lineRule="auto"/>
              <w:rPr>
                <w:rFonts w:eastAsia="Arial" w:cs="Arial"/>
                <w:b/>
                <w:szCs w:val="24"/>
              </w:rPr>
            </w:pPr>
            <w:r w:rsidRPr="009742C9">
              <w:rPr>
                <w:rFonts w:eastAsia="Arial" w:cs="Arial"/>
                <w:b/>
                <w:szCs w:val="24"/>
              </w:rPr>
              <w:t xml:space="preserve">Natural capital </w:t>
            </w:r>
            <w:r>
              <w:rPr>
                <w:rFonts w:eastAsia="Arial" w:cs="Arial"/>
                <w:b/>
                <w:szCs w:val="24"/>
              </w:rPr>
              <w:t>and</w:t>
            </w:r>
            <w:r w:rsidRPr="009742C9">
              <w:rPr>
                <w:rFonts w:eastAsia="Arial" w:cs="Arial"/>
                <w:b/>
                <w:szCs w:val="24"/>
              </w:rPr>
              <w:t xml:space="preserve"> Decarbonisation:</w:t>
            </w:r>
          </w:p>
          <w:p w14:paraId="58198579" w14:textId="77777777" w:rsidR="00922879" w:rsidRPr="00BD75BB" w:rsidRDefault="00922879" w:rsidP="00795E21">
            <w:pPr>
              <w:keepNext/>
              <w:keepLines/>
              <w:widowControl w:val="0"/>
              <w:spacing w:after="0" w:line="276" w:lineRule="auto"/>
              <w:rPr>
                <w:rFonts w:eastAsia="Arial" w:cs="Arial"/>
                <w:sz w:val="20"/>
                <w:szCs w:val="20"/>
              </w:rPr>
            </w:pPr>
            <w:r w:rsidRPr="00BD75BB">
              <w:rPr>
                <w:rFonts w:eastAsia="Arial" w:cs="Arial"/>
                <w:sz w:val="20"/>
                <w:szCs w:val="20"/>
              </w:rPr>
              <w:t>Does the measure support commitments to improve the environment and decarbonise?</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6224E84" w14:textId="5D0BE139" w:rsidR="00922879" w:rsidRPr="00BD75BB" w:rsidRDefault="00AA6C03" w:rsidP="00795E21">
            <w:pPr>
              <w:keepNext/>
              <w:keepLines/>
              <w:widowControl w:val="0"/>
              <w:spacing w:after="0" w:line="240" w:lineRule="auto"/>
              <w:rPr>
                <w:rFonts w:eastAsia="Arial" w:cs="Arial"/>
                <w:sz w:val="20"/>
                <w:szCs w:val="20"/>
              </w:rPr>
            </w:pPr>
            <w:r>
              <w:rPr>
                <w:rFonts w:eastAsia="Times New Roman" w:cs="Arial"/>
                <w:color w:val="0E101A"/>
                <w:sz w:val="20"/>
                <w:szCs w:val="20"/>
              </w:rPr>
              <w:t>Measure</w:t>
            </w:r>
            <w:r w:rsidR="00657030">
              <w:rPr>
                <w:rFonts w:eastAsia="Times New Roman" w:cs="Arial"/>
                <w:color w:val="0E101A"/>
                <w:sz w:val="20"/>
                <w:szCs w:val="20"/>
              </w:rPr>
              <w:t>s</w:t>
            </w:r>
            <w:r>
              <w:rPr>
                <w:rFonts w:eastAsia="Times New Roman" w:cs="Arial"/>
                <w:color w:val="0E101A"/>
                <w:sz w:val="20"/>
                <w:szCs w:val="20"/>
              </w:rPr>
              <w:t xml:space="preserve"> contribute to </w:t>
            </w:r>
            <w:r w:rsidR="00657030">
              <w:rPr>
                <w:rFonts w:eastAsia="Times New Roman" w:cs="Arial"/>
                <w:color w:val="0E101A"/>
                <w:sz w:val="20"/>
                <w:szCs w:val="20"/>
              </w:rPr>
              <w:t>commitments</w:t>
            </w:r>
            <w:r>
              <w:rPr>
                <w:rFonts w:eastAsia="Times New Roman" w:cs="Arial"/>
                <w:color w:val="0E101A"/>
                <w:sz w:val="20"/>
                <w:szCs w:val="20"/>
              </w:rPr>
              <w:t xml:space="preserve"> to improve the </w:t>
            </w:r>
            <w:r w:rsidR="00657030">
              <w:rPr>
                <w:rFonts w:eastAsia="Times New Roman" w:cs="Arial"/>
                <w:color w:val="0E101A"/>
                <w:sz w:val="20"/>
                <w:szCs w:val="20"/>
              </w:rPr>
              <w:t>environment</w:t>
            </w:r>
            <w:r>
              <w:rPr>
                <w:rFonts w:eastAsia="Times New Roman" w:cs="Arial"/>
                <w:color w:val="0E101A"/>
                <w:sz w:val="20"/>
                <w:szCs w:val="20"/>
              </w:rPr>
              <w:t xml:space="preserve"> and decarbonise industry as it supports wider government commitments concerning net zero technologies. The measures will support the safe de</w:t>
            </w:r>
            <w:r w:rsidR="00657030">
              <w:rPr>
                <w:rFonts w:eastAsia="Times New Roman" w:cs="Arial"/>
                <w:color w:val="0E101A"/>
                <w:sz w:val="20"/>
                <w:szCs w:val="20"/>
              </w:rPr>
              <w:t xml:space="preserve">velopment of carbon capture and storage technologies and zero carbon hydrogen production. </w:t>
            </w: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00B050"/>
            <w:tcMar>
              <w:top w:w="0" w:type="dxa"/>
              <w:left w:w="40" w:type="dxa"/>
              <w:bottom w:w="0" w:type="dxa"/>
              <w:right w:w="40" w:type="dxa"/>
            </w:tcMar>
            <w:vAlign w:val="center"/>
          </w:tcPr>
          <w:p w14:paraId="4D2B1CCE" w14:textId="365D7A9E" w:rsidR="00922879" w:rsidRPr="009742C9" w:rsidRDefault="00000000" w:rsidP="00795E21">
            <w:pPr>
              <w:keepNext/>
              <w:keepLines/>
              <w:widowControl w:val="0"/>
              <w:spacing w:after="0" w:line="276" w:lineRule="auto"/>
              <w:jc w:val="center"/>
              <w:rPr>
                <w:rFonts w:eastAsia="Arial" w:cs="Arial"/>
                <w:b/>
                <w:szCs w:val="24"/>
              </w:rPr>
            </w:pPr>
            <w:sdt>
              <w:sdtPr>
                <w:rPr>
                  <w:b/>
                  <w:bCs/>
                  <w:szCs w:val="24"/>
                </w:rPr>
                <w:alias w:val="Direction"/>
                <w:tag w:val="Directional Rating"/>
                <w:id w:val="3022869"/>
                <w:placeholder>
                  <w:docPart w:val="EA1FF423C7224441B02C17553B2804AD"/>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223354">
                  <w:rPr>
                    <w:b/>
                    <w:bCs/>
                    <w:szCs w:val="24"/>
                  </w:rPr>
                  <w:t>Supports</w:t>
                </w:r>
              </w:sdtContent>
            </w:sdt>
          </w:p>
        </w:tc>
      </w:tr>
    </w:tbl>
    <w:p w14:paraId="55BBC225" w14:textId="77777777" w:rsidR="00AE687D" w:rsidRPr="006D3ABB" w:rsidRDefault="003E24F2" w:rsidP="00D0440A">
      <w:pPr>
        <w:pStyle w:val="ListParagraph"/>
        <w:numPr>
          <w:ilvl w:val="0"/>
          <w:numId w:val="6"/>
        </w:numPr>
        <w:spacing w:before="160"/>
        <w:ind w:left="567" w:hanging="567"/>
        <w:contextualSpacing w:val="0"/>
        <w:rPr>
          <w:b/>
          <w:sz w:val="36"/>
          <w:szCs w:val="36"/>
        </w:rPr>
      </w:pPr>
      <w:r w:rsidRPr="006D3ABB">
        <w:rPr>
          <w:b/>
          <w:sz w:val="36"/>
          <w:szCs w:val="36"/>
        </w:rPr>
        <w:t xml:space="preserve">Monitoring and evaluation of </w:t>
      </w:r>
      <w:r w:rsidR="00223F1E" w:rsidRPr="006D3ABB">
        <w:rPr>
          <w:b/>
          <w:sz w:val="36"/>
          <w:szCs w:val="36"/>
        </w:rPr>
        <w:t xml:space="preserve">the </w:t>
      </w:r>
      <w:r w:rsidRPr="006D3ABB">
        <w:rPr>
          <w:b/>
          <w:sz w:val="36"/>
          <w:szCs w:val="36"/>
        </w:rPr>
        <w:t>preferred option</w:t>
      </w:r>
    </w:p>
    <w:p w14:paraId="5F4117A1" w14:textId="0FC5B3BD" w:rsidR="00DC5F5A" w:rsidRPr="00054876" w:rsidRDefault="003C4063" w:rsidP="00CC1B38">
      <w:pPr>
        <w:pStyle w:val="ListParagraph"/>
        <w:keepNext/>
        <w:numPr>
          <w:ilvl w:val="1"/>
          <w:numId w:val="6"/>
        </w:numPr>
        <w:spacing w:after="0" w:line="22" w:lineRule="atLeast"/>
        <w:ind w:left="567" w:hanging="567"/>
        <w:contextualSpacing w:val="0"/>
        <w:jc w:val="both"/>
        <w:rPr>
          <w:rStyle w:val="cf01"/>
          <w:rFonts w:ascii="Arial" w:eastAsia="Arial" w:hAnsi="Arial" w:cs="Arial"/>
          <w:b/>
          <w:color w:val="000000" w:themeColor="text1"/>
          <w:sz w:val="20"/>
          <w:szCs w:val="20"/>
        </w:rPr>
      </w:pPr>
      <w:r w:rsidRPr="00223F1E">
        <w:rPr>
          <w:rStyle w:val="cf01"/>
          <w:rFonts w:asciiTheme="minorBidi" w:hAnsiTheme="minorBidi" w:cstheme="minorBidi"/>
          <w:sz w:val="24"/>
          <w:szCs w:val="24"/>
        </w:rPr>
        <w:t xml:space="preserve">The proposed regulatory changes will apply to industries and work activities that are still in the early stages of development and for many projects operations will not commence until mid to late 2020s. </w:t>
      </w:r>
      <w:r>
        <w:rPr>
          <w:rStyle w:val="cf01"/>
          <w:rFonts w:asciiTheme="minorBidi" w:hAnsiTheme="minorBidi" w:cstheme="minorBidi"/>
          <w:sz w:val="24"/>
          <w:szCs w:val="24"/>
        </w:rPr>
        <w:t xml:space="preserve">HSE anticipates that it </w:t>
      </w:r>
      <w:r w:rsidRPr="00223F1E">
        <w:rPr>
          <w:rStyle w:val="cf01"/>
          <w:rFonts w:asciiTheme="minorBidi" w:hAnsiTheme="minorBidi" w:cstheme="minorBidi"/>
          <w:sz w:val="24"/>
          <w:szCs w:val="24"/>
        </w:rPr>
        <w:t xml:space="preserve">will likely take some time for the state of the industry and the impact of regulation on it to become fully clear. However, like other major hazard sectors, it will involve a relatively small number of operators from sectors (like offshore and energy) that have traditionally had high levels of engagement with </w:t>
      </w:r>
      <w:r w:rsidRPr="00223F1E">
        <w:rPr>
          <w:rStyle w:val="cf01"/>
          <w:rFonts w:asciiTheme="minorBidi" w:hAnsiTheme="minorBidi" w:cstheme="minorBidi"/>
          <w:sz w:val="24"/>
          <w:szCs w:val="24"/>
        </w:rPr>
        <w:lastRenderedPageBreak/>
        <w:t xml:space="preserve">HSE. HSE’s </w:t>
      </w:r>
      <w:r>
        <w:rPr>
          <w:rStyle w:val="cf01"/>
          <w:rFonts w:asciiTheme="minorBidi" w:hAnsiTheme="minorBidi" w:cstheme="minorBidi"/>
          <w:sz w:val="24"/>
          <w:szCs w:val="24"/>
        </w:rPr>
        <w:t xml:space="preserve">existing </w:t>
      </w:r>
      <w:r w:rsidRPr="00223F1E">
        <w:rPr>
          <w:rStyle w:val="cf01"/>
          <w:rFonts w:asciiTheme="minorBidi" w:hAnsiTheme="minorBidi" w:cstheme="minorBidi"/>
          <w:sz w:val="24"/>
          <w:szCs w:val="24"/>
        </w:rPr>
        <w:t xml:space="preserve">intervention plans necessarily encourage close working with dutyholders and the need for ongoing dialogue around </w:t>
      </w:r>
      <w:r>
        <w:rPr>
          <w:rStyle w:val="cf01"/>
          <w:rFonts w:asciiTheme="minorBidi" w:hAnsiTheme="minorBidi" w:cstheme="minorBidi"/>
          <w:sz w:val="24"/>
          <w:szCs w:val="24"/>
        </w:rPr>
        <w:t xml:space="preserve">the </w:t>
      </w:r>
      <w:r w:rsidRPr="00223F1E">
        <w:rPr>
          <w:rStyle w:val="cf01"/>
          <w:rFonts w:asciiTheme="minorBidi" w:hAnsiTheme="minorBidi" w:cstheme="minorBidi"/>
          <w:sz w:val="24"/>
          <w:szCs w:val="24"/>
        </w:rPr>
        <w:t>assessment of notifications and safety cases.</w:t>
      </w:r>
    </w:p>
    <w:p w14:paraId="0C9CACD1" w14:textId="77777777" w:rsidR="00054876" w:rsidRPr="003C4063" w:rsidRDefault="00054876" w:rsidP="006D3ABB">
      <w:pPr>
        <w:pStyle w:val="ListParagraph"/>
        <w:keepNext/>
        <w:spacing w:after="0" w:line="22" w:lineRule="atLeast"/>
        <w:ind w:left="567" w:hanging="567"/>
        <w:contextualSpacing w:val="0"/>
        <w:jc w:val="both"/>
        <w:rPr>
          <w:rStyle w:val="cf01"/>
          <w:rFonts w:ascii="Arial" w:eastAsia="Arial" w:hAnsi="Arial" w:cs="Arial"/>
          <w:b/>
          <w:color w:val="000000" w:themeColor="text1"/>
          <w:sz w:val="20"/>
          <w:szCs w:val="20"/>
        </w:rPr>
      </w:pPr>
    </w:p>
    <w:p w14:paraId="466A41B8" w14:textId="2FE6BEE9" w:rsidR="003C4063" w:rsidRPr="00054876" w:rsidRDefault="003C4063" w:rsidP="00CC1B38">
      <w:pPr>
        <w:pStyle w:val="ListParagraph"/>
        <w:keepNext/>
        <w:numPr>
          <w:ilvl w:val="1"/>
          <w:numId w:val="6"/>
        </w:numPr>
        <w:spacing w:after="0" w:line="22" w:lineRule="atLeast"/>
        <w:ind w:left="567" w:hanging="567"/>
        <w:contextualSpacing w:val="0"/>
        <w:jc w:val="both"/>
        <w:rPr>
          <w:rStyle w:val="cf01"/>
          <w:rFonts w:ascii="Arial" w:eastAsia="Arial" w:hAnsi="Arial" w:cs="Arial"/>
          <w:b/>
          <w:color w:val="000000" w:themeColor="text1"/>
          <w:sz w:val="20"/>
          <w:szCs w:val="20"/>
        </w:rPr>
      </w:pPr>
      <w:r w:rsidRPr="00223F1E">
        <w:rPr>
          <w:rStyle w:val="cf01"/>
          <w:rFonts w:asciiTheme="minorBidi" w:hAnsiTheme="minorBidi" w:cstheme="minorBidi"/>
          <w:sz w:val="24"/>
          <w:szCs w:val="24"/>
        </w:rPr>
        <w:t>Monitoring and evaluation of HSE’s preferred option will be carried out by means of stakeholder and industry engagement through existing channels such as direct engagement with individual dutyholders, industry and other stakeholder forums (including DESNZ; Offshore Energies UK; the Carbon Capture &amp; Storage Association; and United Kingdom Onshore Pipelines Operators Association).</w:t>
      </w:r>
    </w:p>
    <w:p w14:paraId="60ABF38C" w14:textId="77777777" w:rsidR="00054876" w:rsidRPr="00054876" w:rsidRDefault="00054876" w:rsidP="006D3ABB">
      <w:pPr>
        <w:pStyle w:val="ListParagraph"/>
        <w:spacing w:after="0" w:line="22" w:lineRule="atLeast"/>
        <w:ind w:left="567" w:hanging="567"/>
        <w:contextualSpacing w:val="0"/>
        <w:jc w:val="both"/>
        <w:rPr>
          <w:rStyle w:val="cf01"/>
          <w:rFonts w:ascii="Arial" w:eastAsia="Arial" w:hAnsi="Arial" w:cs="Arial"/>
          <w:b/>
          <w:color w:val="000000" w:themeColor="text1"/>
          <w:sz w:val="20"/>
          <w:szCs w:val="20"/>
        </w:rPr>
      </w:pPr>
    </w:p>
    <w:p w14:paraId="00E09855" w14:textId="0EEAF767" w:rsidR="00DC0317" w:rsidRPr="00054876" w:rsidRDefault="00DC0317" w:rsidP="00CC1B38">
      <w:pPr>
        <w:pStyle w:val="ListParagraph"/>
        <w:keepNext/>
        <w:numPr>
          <w:ilvl w:val="1"/>
          <w:numId w:val="6"/>
        </w:numPr>
        <w:spacing w:after="0" w:line="22" w:lineRule="atLeast"/>
        <w:ind w:left="567" w:hanging="567"/>
        <w:contextualSpacing w:val="0"/>
        <w:jc w:val="both"/>
        <w:rPr>
          <w:rStyle w:val="cf01"/>
          <w:rFonts w:ascii="Arial" w:eastAsia="Arial" w:hAnsi="Arial" w:cs="Arial"/>
          <w:b/>
          <w:color w:val="000000" w:themeColor="text1"/>
          <w:sz w:val="20"/>
          <w:szCs w:val="20"/>
        </w:rPr>
      </w:pPr>
      <w:r w:rsidRPr="00223F1E">
        <w:rPr>
          <w:rStyle w:val="cf01"/>
          <w:rFonts w:asciiTheme="minorBidi" w:hAnsiTheme="minorBidi" w:cstheme="minorBidi"/>
          <w:sz w:val="24"/>
          <w:szCs w:val="24"/>
        </w:rPr>
        <w:t xml:space="preserve">This will involve seeking feedback </w:t>
      </w:r>
      <w:r>
        <w:rPr>
          <w:rStyle w:val="cf01"/>
          <w:rFonts w:asciiTheme="minorBidi" w:hAnsiTheme="minorBidi" w:cstheme="minorBidi"/>
          <w:sz w:val="24"/>
          <w:szCs w:val="24"/>
        </w:rPr>
        <w:t xml:space="preserve">at regular intervals </w:t>
      </w:r>
      <w:r w:rsidRPr="00223F1E">
        <w:rPr>
          <w:rStyle w:val="cf01"/>
          <w:rFonts w:asciiTheme="minorBidi" w:hAnsiTheme="minorBidi" w:cstheme="minorBidi"/>
          <w:sz w:val="24"/>
          <w:szCs w:val="24"/>
        </w:rPr>
        <w:t>on the effectiveness of changes, considering whether they remain appropriate and proportionate for the regulation of the industry, and seeking feedback on other elements of regulation such as supporting guidance. This can be achieved through quantitively-focused online questionnaires, which will help to highlight any issues as proportionately as possible.</w:t>
      </w:r>
    </w:p>
    <w:p w14:paraId="4C0B7B30" w14:textId="77777777" w:rsidR="00054876" w:rsidRPr="00054876" w:rsidRDefault="00054876" w:rsidP="006D3ABB">
      <w:pPr>
        <w:pStyle w:val="ListParagraph"/>
        <w:spacing w:after="0" w:line="22" w:lineRule="atLeast"/>
        <w:ind w:left="567" w:hanging="567"/>
        <w:contextualSpacing w:val="0"/>
        <w:jc w:val="both"/>
        <w:rPr>
          <w:rStyle w:val="cf01"/>
          <w:rFonts w:ascii="Arial" w:eastAsia="Arial" w:hAnsi="Arial" w:cs="Arial"/>
          <w:b/>
          <w:color w:val="000000" w:themeColor="text1"/>
          <w:sz w:val="20"/>
          <w:szCs w:val="20"/>
        </w:rPr>
      </w:pPr>
    </w:p>
    <w:p w14:paraId="37534C05" w14:textId="53A79ACB" w:rsidR="00DC0317" w:rsidRPr="00054876" w:rsidRDefault="00DC0317" w:rsidP="1494DFAC">
      <w:pPr>
        <w:pStyle w:val="ListParagraph"/>
        <w:keepNext/>
        <w:numPr>
          <w:ilvl w:val="1"/>
          <w:numId w:val="6"/>
        </w:numPr>
        <w:spacing w:after="0" w:line="22" w:lineRule="atLeast"/>
        <w:ind w:left="567" w:hanging="567"/>
        <w:jc w:val="both"/>
        <w:rPr>
          <w:rStyle w:val="cf01"/>
          <w:rFonts w:ascii="Arial" w:eastAsia="Arial" w:hAnsi="Arial" w:cs="Arial"/>
          <w:b/>
          <w:color w:val="000000" w:themeColor="text1"/>
          <w:sz w:val="20"/>
          <w:szCs w:val="20"/>
        </w:rPr>
      </w:pPr>
      <w:r w:rsidRPr="00C340F4">
        <w:rPr>
          <w:rStyle w:val="cf01"/>
          <w:rFonts w:asciiTheme="minorBidi" w:hAnsiTheme="minorBidi" w:cstheme="minorBidi"/>
          <w:sz w:val="24"/>
          <w:szCs w:val="24"/>
        </w:rPr>
        <w:t xml:space="preserve">A Post Implementation Review (PIR) of the regulatory changes will be undertaken and a report </w:t>
      </w:r>
      <w:commentRangeStart w:id="3"/>
      <w:commentRangeStart w:id="4"/>
      <w:commentRangeStart w:id="5"/>
      <w:r w:rsidRPr="00C340F4">
        <w:rPr>
          <w:rStyle w:val="cf01"/>
          <w:rFonts w:asciiTheme="minorBidi" w:hAnsiTheme="minorBidi" w:cstheme="minorBidi"/>
          <w:sz w:val="24"/>
          <w:szCs w:val="24"/>
        </w:rPr>
        <w:t xml:space="preserve">published </w:t>
      </w:r>
      <w:commentRangeEnd w:id="3"/>
      <w:r w:rsidR="00911C0C">
        <w:rPr>
          <w:rStyle w:val="CommentReference"/>
        </w:rPr>
        <w:commentReference w:id="3"/>
      </w:r>
      <w:commentRangeEnd w:id="4"/>
      <w:r w:rsidR="00463137">
        <w:rPr>
          <w:rStyle w:val="CommentReference"/>
        </w:rPr>
        <w:commentReference w:id="4"/>
      </w:r>
      <w:commentRangeEnd w:id="5"/>
      <w:r>
        <w:rPr>
          <w:rStyle w:val="CommentReference"/>
        </w:rPr>
        <w:commentReference w:id="5"/>
      </w:r>
      <w:r w:rsidRPr="00C340F4">
        <w:rPr>
          <w:rStyle w:val="cf01"/>
          <w:rFonts w:asciiTheme="minorBidi" w:hAnsiTheme="minorBidi" w:cstheme="minorBidi"/>
          <w:sz w:val="24"/>
          <w:szCs w:val="24"/>
        </w:rPr>
        <w:t xml:space="preserve">within five years of the coming into force date </w:t>
      </w:r>
      <w:r>
        <w:rPr>
          <w:rStyle w:val="cf01"/>
          <w:rFonts w:asciiTheme="minorBidi" w:hAnsiTheme="minorBidi" w:cstheme="minorBidi"/>
          <w:sz w:val="24"/>
          <w:szCs w:val="24"/>
        </w:rPr>
        <w:t>of the proposed changes to</w:t>
      </w:r>
      <w:r w:rsidRPr="00C340F4">
        <w:rPr>
          <w:rStyle w:val="cf01"/>
          <w:rFonts w:asciiTheme="minorBidi" w:hAnsiTheme="minorBidi" w:cstheme="minorBidi"/>
          <w:sz w:val="24"/>
          <w:szCs w:val="24"/>
        </w:rPr>
        <w:t xml:space="preserve"> regulation.</w:t>
      </w:r>
      <w:r w:rsidR="00A059A5">
        <w:rPr>
          <w:rStyle w:val="cf01"/>
          <w:rFonts w:asciiTheme="minorBidi" w:hAnsiTheme="minorBidi" w:cstheme="minorBidi"/>
          <w:sz w:val="24"/>
          <w:szCs w:val="24"/>
        </w:rPr>
        <w:t xml:space="preserve"> Further consideration </w:t>
      </w:r>
      <w:r w:rsidR="009E5686">
        <w:rPr>
          <w:rStyle w:val="cf01"/>
          <w:rFonts w:asciiTheme="minorBidi" w:hAnsiTheme="minorBidi" w:cstheme="minorBidi"/>
          <w:sz w:val="24"/>
          <w:szCs w:val="24"/>
        </w:rPr>
        <w:t xml:space="preserve">will be given to </w:t>
      </w:r>
      <w:r w:rsidR="00AC017B">
        <w:rPr>
          <w:rStyle w:val="cf01"/>
          <w:rFonts w:asciiTheme="minorBidi" w:hAnsiTheme="minorBidi" w:cstheme="minorBidi"/>
          <w:sz w:val="24"/>
          <w:szCs w:val="24"/>
        </w:rPr>
        <w:t>a</w:t>
      </w:r>
      <w:r w:rsidR="00795A19">
        <w:rPr>
          <w:rStyle w:val="cf01"/>
          <w:rFonts w:asciiTheme="minorBidi" w:hAnsiTheme="minorBidi" w:cstheme="minorBidi"/>
          <w:sz w:val="24"/>
          <w:szCs w:val="24"/>
        </w:rPr>
        <w:t>n</w:t>
      </w:r>
      <w:r w:rsidR="00AC017B">
        <w:rPr>
          <w:rStyle w:val="cf01"/>
          <w:rFonts w:asciiTheme="minorBidi" w:hAnsiTheme="minorBidi" w:cstheme="minorBidi"/>
          <w:sz w:val="24"/>
          <w:szCs w:val="24"/>
        </w:rPr>
        <w:t xml:space="preserve"> </w:t>
      </w:r>
      <w:r w:rsidR="00C8635F">
        <w:rPr>
          <w:rStyle w:val="cf01"/>
          <w:rFonts w:asciiTheme="minorBidi" w:hAnsiTheme="minorBidi" w:cstheme="minorBidi"/>
          <w:sz w:val="24"/>
          <w:szCs w:val="24"/>
        </w:rPr>
        <w:t>ongoing 5 yearly</w:t>
      </w:r>
      <w:r w:rsidR="00795A19">
        <w:rPr>
          <w:rStyle w:val="cf01"/>
          <w:rFonts w:asciiTheme="minorBidi" w:hAnsiTheme="minorBidi" w:cstheme="minorBidi"/>
          <w:sz w:val="24"/>
          <w:szCs w:val="24"/>
        </w:rPr>
        <w:t xml:space="preserve"> review </w:t>
      </w:r>
      <w:r w:rsidR="00DE5198">
        <w:rPr>
          <w:rStyle w:val="cf01"/>
          <w:rFonts w:asciiTheme="minorBidi" w:hAnsiTheme="minorBidi" w:cstheme="minorBidi"/>
          <w:sz w:val="24"/>
          <w:szCs w:val="24"/>
        </w:rPr>
        <w:t>at Impact Assessment stage</w:t>
      </w:r>
      <w:r w:rsidR="002C296C">
        <w:rPr>
          <w:rStyle w:val="cf01"/>
          <w:rFonts w:asciiTheme="minorBidi" w:hAnsiTheme="minorBidi" w:cstheme="minorBidi"/>
          <w:sz w:val="24"/>
          <w:szCs w:val="24"/>
        </w:rPr>
        <w:t>, following consultation.</w:t>
      </w:r>
      <w:r w:rsidR="00AC017B">
        <w:rPr>
          <w:rStyle w:val="cf01"/>
          <w:rFonts w:asciiTheme="minorBidi" w:hAnsiTheme="minorBidi" w:cstheme="minorBidi"/>
          <w:sz w:val="24"/>
          <w:szCs w:val="24"/>
        </w:rPr>
        <w:t xml:space="preserve"> </w:t>
      </w:r>
    </w:p>
    <w:p w14:paraId="6761B751" w14:textId="77777777" w:rsidR="00054876" w:rsidRPr="00054876" w:rsidRDefault="00054876" w:rsidP="006D3ABB">
      <w:pPr>
        <w:pStyle w:val="ListParagraph"/>
        <w:spacing w:after="0" w:line="22" w:lineRule="atLeast"/>
        <w:ind w:left="567" w:hanging="567"/>
        <w:contextualSpacing w:val="0"/>
        <w:jc w:val="both"/>
        <w:rPr>
          <w:rStyle w:val="cf01"/>
          <w:rFonts w:ascii="Arial" w:eastAsia="Arial" w:hAnsi="Arial" w:cs="Arial"/>
          <w:b/>
          <w:color w:val="000000" w:themeColor="text1"/>
          <w:sz w:val="20"/>
          <w:szCs w:val="20"/>
        </w:rPr>
      </w:pPr>
    </w:p>
    <w:p w14:paraId="32785BF0" w14:textId="434D835D" w:rsidR="00054876" w:rsidRDefault="00DC0317" w:rsidP="00CC1B38">
      <w:pPr>
        <w:pStyle w:val="ListParagraph"/>
        <w:keepNext/>
        <w:numPr>
          <w:ilvl w:val="1"/>
          <w:numId w:val="6"/>
        </w:numPr>
        <w:spacing w:after="0" w:line="22" w:lineRule="atLeast"/>
        <w:ind w:left="567" w:hanging="567"/>
        <w:contextualSpacing w:val="0"/>
        <w:jc w:val="both"/>
        <w:rPr>
          <w:rStyle w:val="cf01"/>
          <w:rFonts w:asciiTheme="minorBidi" w:hAnsiTheme="minorBidi" w:cstheme="minorBidi"/>
          <w:sz w:val="24"/>
          <w:szCs w:val="24"/>
        </w:rPr>
      </w:pPr>
      <w:r w:rsidRPr="00054876">
        <w:rPr>
          <w:rStyle w:val="cf01"/>
          <w:rFonts w:asciiTheme="minorBidi" w:hAnsiTheme="minorBidi" w:cstheme="minorBidi"/>
          <w:sz w:val="24"/>
          <w:szCs w:val="24"/>
        </w:rPr>
        <w:t xml:space="preserve">Evidence and data collection for the PIR will take the form of literature reviews (e.g. new publications relating to CCUS and offshore hydrogen), HSE enforcement information and notifications relating to the preferred option, potential advances in scientific data and evidence relating to the major hazard risks of </w:t>
      </w:r>
      <w:r w:rsidRPr="00054876">
        <w:rPr>
          <w:rFonts w:asciiTheme="minorBidi" w:hAnsiTheme="minorBidi" w:cstheme="minorBidi"/>
        </w:rPr>
        <w:t>CO</w:t>
      </w:r>
      <w:r w:rsidRPr="00054876">
        <w:rPr>
          <w:rFonts w:asciiTheme="minorBidi" w:hAnsiTheme="minorBidi" w:cstheme="minorBidi"/>
          <w:vertAlign w:val="subscript"/>
        </w:rPr>
        <w:t>2</w:t>
      </w:r>
      <w:r w:rsidRPr="00054876">
        <w:rPr>
          <w:rStyle w:val="cf01"/>
          <w:rFonts w:asciiTheme="minorBidi" w:hAnsiTheme="minorBidi" w:cstheme="minorBidi"/>
          <w:sz w:val="24"/>
          <w:szCs w:val="24"/>
        </w:rPr>
        <w:t xml:space="preserve"> and Hydrogen, engagement with stakeholders and dutyholders in the form of questionnaires and potentially </w:t>
      </w:r>
      <w:r w:rsidR="004907C2">
        <w:rPr>
          <w:rStyle w:val="cf01"/>
          <w:rFonts w:asciiTheme="minorBidi" w:hAnsiTheme="minorBidi" w:cstheme="minorBidi"/>
          <w:sz w:val="24"/>
          <w:szCs w:val="24"/>
        </w:rPr>
        <w:t>through topic specific</w:t>
      </w:r>
      <w:r w:rsidRPr="00054876">
        <w:rPr>
          <w:rStyle w:val="cf01"/>
          <w:rFonts w:asciiTheme="minorBidi" w:hAnsiTheme="minorBidi" w:cstheme="minorBidi"/>
          <w:sz w:val="24"/>
          <w:szCs w:val="24"/>
        </w:rPr>
        <w:t xml:space="preserve"> workshops.</w:t>
      </w:r>
    </w:p>
    <w:p w14:paraId="4E6BCA72" w14:textId="77777777" w:rsidR="00054876" w:rsidRPr="00054876" w:rsidRDefault="00054876" w:rsidP="006D3ABB">
      <w:pPr>
        <w:pStyle w:val="ListParagraph"/>
        <w:spacing w:after="0" w:line="22" w:lineRule="atLeast"/>
        <w:ind w:left="567" w:hanging="567"/>
        <w:contextualSpacing w:val="0"/>
        <w:jc w:val="both"/>
        <w:rPr>
          <w:rStyle w:val="cf01"/>
          <w:rFonts w:asciiTheme="minorBidi" w:hAnsiTheme="minorBidi" w:cstheme="minorBidi"/>
          <w:sz w:val="24"/>
          <w:szCs w:val="24"/>
        </w:rPr>
      </w:pPr>
    </w:p>
    <w:p w14:paraId="23B39239" w14:textId="77777777" w:rsidR="00A15585" w:rsidRDefault="00DC0317" w:rsidP="00CC1B38">
      <w:pPr>
        <w:pStyle w:val="ListParagraph"/>
        <w:keepNext/>
        <w:numPr>
          <w:ilvl w:val="1"/>
          <w:numId w:val="6"/>
        </w:numPr>
        <w:spacing w:after="0" w:line="22" w:lineRule="atLeast"/>
        <w:ind w:left="567" w:hanging="567"/>
        <w:contextualSpacing w:val="0"/>
        <w:jc w:val="both"/>
        <w:rPr>
          <w:rStyle w:val="cf01"/>
          <w:rFonts w:asciiTheme="minorBidi" w:hAnsiTheme="minorBidi" w:cstheme="minorBidi"/>
          <w:sz w:val="24"/>
          <w:szCs w:val="24"/>
        </w:rPr>
      </w:pPr>
      <w:r w:rsidRPr="00054876">
        <w:rPr>
          <w:rStyle w:val="cf01"/>
          <w:rFonts w:asciiTheme="minorBidi" w:hAnsiTheme="minorBidi" w:cstheme="minorBidi"/>
          <w:sz w:val="24"/>
          <w:szCs w:val="24"/>
        </w:rPr>
        <w:t>The evidence and data collected will be used to:</w:t>
      </w:r>
    </w:p>
    <w:p w14:paraId="3AFD536C" w14:textId="77777777" w:rsidR="00A15585" w:rsidRPr="00A15585" w:rsidRDefault="00A15585" w:rsidP="00D0440A">
      <w:pPr>
        <w:pStyle w:val="ListParagraph"/>
        <w:spacing w:after="0"/>
        <w:rPr>
          <w:rStyle w:val="cf01"/>
          <w:rFonts w:asciiTheme="minorBidi" w:hAnsiTheme="minorBidi" w:cstheme="minorBidi"/>
          <w:sz w:val="24"/>
          <w:szCs w:val="24"/>
        </w:rPr>
      </w:pPr>
    </w:p>
    <w:p w14:paraId="5D7E67C7" w14:textId="5D091DA1" w:rsidR="00685C34" w:rsidRPr="004F7510" w:rsidRDefault="00685C34"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sidRPr="004F7510">
        <w:rPr>
          <w:rStyle w:val="cf01"/>
          <w:rFonts w:asciiTheme="minorBidi" w:hAnsiTheme="minorBidi" w:cstheme="minorBidi"/>
          <w:sz w:val="24"/>
          <w:szCs w:val="24"/>
        </w:rPr>
        <w:t>Understand</w:t>
      </w:r>
      <w:r w:rsidR="00D977CE" w:rsidRPr="004F7510">
        <w:rPr>
          <w:rStyle w:val="cf01"/>
          <w:rFonts w:asciiTheme="minorBidi" w:hAnsiTheme="minorBidi" w:cstheme="minorBidi"/>
          <w:sz w:val="24"/>
          <w:szCs w:val="24"/>
        </w:rPr>
        <w:t xml:space="preserve"> </w:t>
      </w:r>
      <w:r w:rsidR="00F71D61" w:rsidRPr="004F7510">
        <w:rPr>
          <w:rStyle w:val="cf01"/>
          <w:rFonts w:asciiTheme="minorBidi" w:hAnsiTheme="minorBidi" w:cstheme="minorBidi"/>
          <w:sz w:val="24"/>
          <w:szCs w:val="24"/>
        </w:rPr>
        <w:t>to what extent</w:t>
      </w:r>
      <w:r w:rsidR="00AA0D50" w:rsidRPr="004F7510">
        <w:rPr>
          <w:rStyle w:val="cf01"/>
          <w:rFonts w:asciiTheme="minorBidi" w:hAnsiTheme="minorBidi" w:cstheme="minorBidi"/>
          <w:sz w:val="24"/>
          <w:szCs w:val="24"/>
        </w:rPr>
        <w:t xml:space="preserve"> </w:t>
      </w:r>
      <w:r w:rsidR="00F07E7B" w:rsidRPr="004F7510">
        <w:rPr>
          <w:rStyle w:val="cf01"/>
          <w:rFonts w:asciiTheme="minorBidi" w:hAnsiTheme="minorBidi" w:cstheme="minorBidi"/>
          <w:sz w:val="24"/>
          <w:szCs w:val="24"/>
        </w:rPr>
        <w:t>the policy objectives</w:t>
      </w:r>
      <w:r w:rsidR="00C8332E" w:rsidRPr="004F7510">
        <w:rPr>
          <w:rStyle w:val="cf01"/>
          <w:rFonts w:asciiTheme="minorBidi" w:hAnsiTheme="minorBidi" w:cstheme="minorBidi"/>
          <w:sz w:val="24"/>
          <w:szCs w:val="24"/>
        </w:rPr>
        <w:t xml:space="preserve"> outlined </w:t>
      </w:r>
      <w:r w:rsidR="00C8332E" w:rsidRPr="004907C2">
        <w:rPr>
          <w:rStyle w:val="cf01"/>
          <w:rFonts w:asciiTheme="minorBidi" w:hAnsiTheme="minorBidi" w:cstheme="minorBidi"/>
          <w:sz w:val="24"/>
          <w:szCs w:val="24"/>
        </w:rPr>
        <w:t xml:space="preserve">in Section </w:t>
      </w:r>
      <w:r w:rsidR="00654A88" w:rsidRPr="004907C2">
        <w:rPr>
          <w:rStyle w:val="cf01"/>
          <w:rFonts w:asciiTheme="minorBidi" w:hAnsiTheme="minorBidi" w:cstheme="minorBidi"/>
          <w:sz w:val="24"/>
          <w:szCs w:val="24"/>
        </w:rPr>
        <w:t>4</w:t>
      </w:r>
      <w:r w:rsidR="00F07E7B" w:rsidRPr="004F7510">
        <w:rPr>
          <w:rStyle w:val="cf01"/>
          <w:rFonts w:asciiTheme="minorBidi" w:hAnsiTheme="minorBidi" w:cstheme="minorBidi"/>
          <w:sz w:val="24"/>
          <w:szCs w:val="24"/>
        </w:rPr>
        <w:t xml:space="preserve"> have been met</w:t>
      </w:r>
      <w:r w:rsidR="004F7510" w:rsidRPr="004F7510">
        <w:rPr>
          <w:rStyle w:val="cf01"/>
          <w:rFonts w:asciiTheme="minorBidi" w:hAnsiTheme="minorBidi" w:cstheme="minorBidi"/>
          <w:sz w:val="24"/>
          <w:szCs w:val="24"/>
        </w:rPr>
        <w:t xml:space="preserve"> and</w:t>
      </w:r>
      <w:r w:rsidR="004F7510">
        <w:rPr>
          <w:rStyle w:val="cf01"/>
          <w:rFonts w:asciiTheme="minorBidi" w:hAnsiTheme="minorBidi" w:cstheme="minorBidi"/>
          <w:sz w:val="24"/>
          <w:szCs w:val="24"/>
        </w:rPr>
        <w:t xml:space="preserve"> whether they </w:t>
      </w:r>
      <w:r w:rsidRPr="004F7510">
        <w:rPr>
          <w:rStyle w:val="cf01"/>
          <w:rFonts w:asciiTheme="minorBidi" w:hAnsiTheme="minorBidi" w:cstheme="minorBidi"/>
          <w:sz w:val="24"/>
          <w:szCs w:val="24"/>
        </w:rPr>
        <w:t xml:space="preserve">remain </w:t>
      </w:r>
      <w:proofErr w:type="gramStart"/>
      <w:r w:rsidRPr="004F7510">
        <w:rPr>
          <w:rStyle w:val="cf01"/>
          <w:rFonts w:asciiTheme="minorBidi" w:hAnsiTheme="minorBidi" w:cstheme="minorBidi"/>
          <w:sz w:val="24"/>
          <w:szCs w:val="24"/>
        </w:rPr>
        <w:t>appropriate</w:t>
      </w:r>
      <w:r w:rsidR="007276DC">
        <w:rPr>
          <w:rStyle w:val="cf01"/>
          <w:rFonts w:asciiTheme="minorBidi" w:hAnsiTheme="minorBidi" w:cstheme="minorBidi"/>
          <w:sz w:val="24"/>
          <w:szCs w:val="24"/>
        </w:rPr>
        <w:t>;</w:t>
      </w:r>
      <w:proofErr w:type="gramEnd"/>
    </w:p>
    <w:p w14:paraId="21380839" w14:textId="13702D71" w:rsidR="00F07E7B" w:rsidRDefault="002332DD"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Pr>
          <w:rStyle w:val="cf01"/>
          <w:rFonts w:asciiTheme="minorBidi" w:hAnsiTheme="minorBidi" w:cstheme="minorBidi"/>
          <w:sz w:val="24"/>
          <w:szCs w:val="24"/>
        </w:rPr>
        <w:t xml:space="preserve">Assess </w:t>
      </w:r>
      <w:r w:rsidR="00B21020">
        <w:rPr>
          <w:rStyle w:val="cf01"/>
          <w:rFonts w:asciiTheme="minorBidi" w:hAnsiTheme="minorBidi" w:cstheme="minorBidi"/>
          <w:sz w:val="24"/>
          <w:szCs w:val="24"/>
        </w:rPr>
        <w:t>actual cost and benefits against t</w:t>
      </w:r>
      <w:r w:rsidR="006F0A8D">
        <w:rPr>
          <w:rStyle w:val="cf01"/>
          <w:rFonts w:asciiTheme="minorBidi" w:hAnsiTheme="minorBidi" w:cstheme="minorBidi"/>
          <w:sz w:val="24"/>
          <w:szCs w:val="24"/>
        </w:rPr>
        <w:t xml:space="preserve">he assumptions made in </w:t>
      </w:r>
      <w:r w:rsidR="000721C1">
        <w:rPr>
          <w:rStyle w:val="cf01"/>
          <w:rFonts w:asciiTheme="minorBidi" w:hAnsiTheme="minorBidi" w:cstheme="minorBidi"/>
          <w:sz w:val="24"/>
          <w:szCs w:val="24"/>
        </w:rPr>
        <w:t xml:space="preserve">the final Impact Assessment of the preferred </w:t>
      </w:r>
      <w:proofErr w:type="gramStart"/>
      <w:r w:rsidR="000721C1">
        <w:rPr>
          <w:rStyle w:val="cf01"/>
          <w:rFonts w:asciiTheme="minorBidi" w:hAnsiTheme="minorBidi" w:cstheme="minorBidi"/>
          <w:sz w:val="24"/>
          <w:szCs w:val="24"/>
        </w:rPr>
        <w:t>option</w:t>
      </w:r>
      <w:r w:rsidR="007276DC">
        <w:rPr>
          <w:rStyle w:val="cf01"/>
          <w:rFonts w:asciiTheme="minorBidi" w:hAnsiTheme="minorBidi" w:cstheme="minorBidi"/>
          <w:sz w:val="24"/>
          <w:szCs w:val="24"/>
        </w:rPr>
        <w:t>;</w:t>
      </w:r>
      <w:proofErr w:type="gramEnd"/>
    </w:p>
    <w:p w14:paraId="315A6821" w14:textId="73F7DFF1" w:rsidR="000721C1" w:rsidRDefault="00B32540"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Pr>
          <w:rStyle w:val="cf01"/>
          <w:rFonts w:asciiTheme="minorBidi" w:hAnsiTheme="minorBidi" w:cstheme="minorBidi"/>
          <w:sz w:val="24"/>
          <w:szCs w:val="24"/>
        </w:rPr>
        <w:t>Understand whether there are any unintended consequence</w:t>
      </w:r>
      <w:r w:rsidR="00B85E17">
        <w:rPr>
          <w:rStyle w:val="cf01"/>
          <w:rFonts w:asciiTheme="minorBidi" w:hAnsiTheme="minorBidi" w:cstheme="minorBidi"/>
          <w:sz w:val="24"/>
          <w:szCs w:val="24"/>
        </w:rPr>
        <w:t>s</w:t>
      </w:r>
      <w:r w:rsidR="000A5C27">
        <w:rPr>
          <w:rStyle w:val="cf01"/>
          <w:rFonts w:asciiTheme="minorBidi" w:hAnsiTheme="minorBidi" w:cstheme="minorBidi"/>
          <w:sz w:val="24"/>
          <w:szCs w:val="24"/>
        </w:rPr>
        <w:t>, including</w:t>
      </w:r>
      <w:r w:rsidR="00FF0D0D">
        <w:rPr>
          <w:rStyle w:val="cf01"/>
          <w:rFonts w:asciiTheme="minorBidi" w:hAnsiTheme="minorBidi" w:cstheme="minorBidi"/>
          <w:sz w:val="24"/>
          <w:szCs w:val="24"/>
        </w:rPr>
        <w:t xml:space="preserve"> whether changes have led to</w:t>
      </w:r>
      <w:r w:rsidR="006B7C54">
        <w:rPr>
          <w:rStyle w:val="cf01"/>
          <w:rFonts w:asciiTheme="minorBidi" w:hAnsiTheme="minorBidi" w:cstheme="minorBidi"/>
          <w:sz w:val="24"/>
          <w:szCs w:val="24"/>
        </w:rPr>
        <w:t xml:space="preserve"> </w:t>
      </w:r>
      <w:r w:rsidR="006B7C54" w:rsidRPr="00E7453C">
        <w:rPr>
          <w:rStyle w:val="cf01"/>
          <w:rFonts w:asciiTheme="minorBidi" w:hAnsiTheme="minorBidi" w:cstheme="minorBidi"/>
          <w:sz w:val="24"/>
          <w:szCs w:val="24"/>
        </w:rPr>
        <w:t xml:space="preserve">any disproportionate or unexpected effects, or financial </w:t>
      </w:r>
      <w:proofErr w:type="gramStart"/>
      <w:r w:rsidR="006B7C54" w:rsidRPr="00E7453C">
        <w:rPr>
          <w:rStyle w:val="cf01"/>
          <w:rFonts w:asciiTheme="minorBidi" w:hAnsiTheme="minorBidi" w:cstheme="minorBidi"/>
          <w:sz w:val="24"/>
          <w:szCs w:val="24"/>
        </w:rPr>
        <w:t>implications</w:t>
      </w:r>
      <w:r w:rsidR="009B5A66">
        <w:rPr>
          <w:rStyle w:val="cf01"/>
          <w:rFonts w:asciiTheme="minorBidi" w:hAnsiTheme="minorBidi" w:cstheme="minorBidi"/>
          <w:sz w:val="24"/>
          <w:szCs w:val="24"/>
        </w:rPr>
        <w:t>;</w:t>
      </w:r>
      <w:proofErr w:type="gramEnd"/>
      <w:r w:rsidR="0032615A">
        <w:rPr>
          <w:rStyle w:val="cf01"/>
          <w:rFonts w:asciiTheme="minorBidi" w:hAnsiTheme="minorBidi" w:cstheme="minorBidi"/>
          <w:sz w:val="24"/>
          <w:szCs w:val="24"/>
        </w:rPr>
        <w:t xml:space="preserve"> </w:t>
      </w:r>
    </w:p>
    <w:p w14:paraId="4EE1C042" w14:textId="1531704D" w:rsidR="00AC498E" w:rsidRDefault="008E6312"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Pr>
          <w:rStyle w:val="cf01"/>
          <w:rFonts w:asciiTheme="minorBidi" w:hAnsiTheme="minorBidi" w:cstheme="minorBidi"/>
          <w:sz w:val="24"/>
          <w:szCs w:val="24"/>
        </w:rPr>
        <w:t xml:space="preserve">Understand whether the data and evidence </w:t>
      </w:r>
      <w:r w:rsidR="006D7194">
        <w:rPr>
          <w:rStyle w:val="cf01"/>
          <w:rFonts w:asciiTheme="minorBidi" w:hAnsiTheme="minorBidi" w:cstheme="minorBidi"/>
          <w:sz w:val="24"/>
          <w:szCs w:val="24"/>
        </w:rPr>
        <w:t xml:space="preserve">has identified any opportunities to reduce burdens on </w:t>
      </w:r>
      <w:proofErr w:type="gramStart"/>
      <w:r w:rsidR="006D7194">
        <w:rPr>
          <w:rStyle w:val="cf01"/>
          <w:rFonts w:asciiTheme="minorBidi" w:hAnsiTheme="minorBidi" w:cstheme="minorBidi"/>
          <w:sz w:val="24"/>
          <w:szCs w:val="24"/>
        </w:rPr>
        <w:t>dutyholders</w:t>
      </w:r>
      <w:r w:rsidR="009B5A66">
        <w:rPr>
          <w:rStyle w:val="cf01"/>
          <w:rFonts w:asciiTheme="minorBidi" w:hAnsiTheme="minorBidi" w:cstheme="minorBidi"/>
          <w:sz w:val="24"/>
          <w:szCs w:val="24"/>
        </w:rPr>
        <w:t>;</w:t>
      </w:r>
      <w:proofErr w:type="gramEnd"/>
    </w:p>
    <w:p w14:paraId="25BD5266" w14:textId="1BE4181B" w:rsidR="008C5687" w:rsidRDefault="002F025D"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Pr>
          <w:rStyle w:val="cf01"/>
          <w:rFonts w:asciiTheme="minorBidi" w:hAnsiTheme="minorBidi" w:cstheme="minorBidi"/>
          <w:sz w:val="24"/>
          <w:szCs w:val="24"/>
        </w:rPr>
        <w:t xml:space="preserve">Identify whether the </w:t>
      </w:r>
      <w:r w:rsidR="0048741A">
        <w:rPr>
          <w:rStyle w:val="cf01"/>
          <w:rFonts w:asciiTheme="minorBidi" w:hAnsiTheme="minorBidi" w:cstheme="minorBidi"/>
          <w:sz w:val="24"/>
          <w:szCs w:val="24"/>
        </w:rPr>
        <w:t>regulation should remain as it is</w:t>
      </w:r>
      <w:r w:rsidR="00775029">
        <w:rPr>
          <w:rStyle w:val="cf01"/>
          <w:rFonts w:asciiTheme="minorBidi" w:hAnsiTheme="minorBidi" w:cstheme="minorBidi"/>
          <w:sz w:val="24"/>
          <w:szCs w:val="24"/>
        </w:rPr>
        <w:t xml:space="preserve"> or requires any further </w:t>
      </w:r>
      <w:proofErr w:type="gramStart"/>
      <w:r w:rsidR="00775029">
        <w:rPr>
          <w:rStyle w:val="cf01"/>
          <w:rFonts w:asciiTheme="minorBidi" w:hAnsiTheme="minorBidi" w:cstheme="minorBidi"/>
          <w:sz w:val="24"/>
          <w:szCs w:val="24"/>
        </w:rPr>
        <w:t>change</w:t>
      </w:r>
      <w:r w:rsidR="009B5A66">
        <w:rPr>
          <w:rStyle w:val="cf01"/>
          <w:rFonts w:asciiTheme="minorBidi" w:hAnsiTheme="minorBidi" w:cstheme="minorBidi"/>
          <w:sz w:val="24"/>
          <w:szCs w:val="24"/>
        </w:rPr>
        <w:t>;</w:t>
      </w:r>
      <w:proofErr w:type="gramEnd"/>
    </w:p>
    <w:p w14:paraId="2B07561A" w14:textId="10ABDF9E" w:rsidR="00BC1CE6" w:rsidRDefault="00BE2169" w:rsidP="006D3ABB">
      <w:pPr>
        <w:pStyle w:val="pf0"/>
        <w:numPr>
          <w:ilvl w:val="0"/>
          <w:numId w:val="38"/>
        </w:numPr>
        <w:spacing w:before="0" w:beforeAutospacing="0" w:after="0" w:afterAutospacing="0" w:line="259" w:lineRule="auto"/>
        <w:jc w:val="both"/>
        <w:rPr>
          <w:rStyle w:val="cf01"/>
          <w:rFonts w:asciiTheme="minorBidi" w:hAnsiTheme="minorBidi" w:cstheme="minorBidi"/>
          <w:sz w:val="24"/>
          <w:szCs w:val="24"/>
        </w:rPr>
      </w:pPr>
      <w:r>
        <w:rPr>
          <w:rStyle w:val="cf01"/>
          <w:rFonts w:asciiTheme="minorBidi" w:hAnsiTheme="minorBidi" w:cstheme="minorBidi"/>
          <w:sz w:val="24"/>
          <w:szCs w:val="24"/>
        </w:rPr>
        <w:t xml:space="preserve">Compare HSE’s approach to CCUS and </w:t>
      </w:r>
      <w:r w:rsidR="0066733D">
        <w:rPr>
          <w:rStyle w:val="cf01"/>
          <w:rFonts w:asciiTheme="minorBidi" w:hAnsiTheme="minorBidi" w:cstheme="minorBidi"/>
          <w:sz w:val="24"/>
          <w:szCs w:val="24"/>
        </w:rPr>
        <w:t xml:space="preserve">offshore </w:t>
      </w:r>
      <w:r w:rsidR="009B5A66">
        <w:rPr>
          <w:rStyle w:val="cf01"/>
          <w:rFonts w:asciiTheme="minorBidi" w:hAnsiTheme="minorBidi" w:cstheme="minorBidi"/>
          <w:sz w:val="24"/>
          <w:szCs w:val="24"/>
        </w:rPr>
        <w:t>h</w:t>
      </w:r>
      <w:r>
        <w:rPr>
          <w:rStyle w:val="cf01"/>
          <w:rFonts w:asciiTheme="minorBidi" w:hAnsiTheme="minorBidi" w:cstheme="minorBidi"/>
          <w:sz w:val="24"/>
          <w:szCs w:val="24"/>
        </w:rPr>
        <w:t xml:space="preserve">ydrogen </w:t>
      </w:r>
      <w:r w:rsidR="0066733D">
        <w:rPr>
          <w:rStyle w:val="cf01"/>
          <w:rFonts w:asciiTheme="minorBidi" w:hAnsiTheme="minorBidi" w:cstheme="minorBidi"/>
          <w:sz w:val="24"/>
          <w:szCs w:val="24"/>
        </w:rPr>
        <w:t>production</w:t>
      </w:r>
      <w:r>
        <w:rPr>
          <w:rStyle w:val="cf01"/>
          <w:rFonts w:asciiTheme="minorBidi" w:hAnsiTheme="minorBidi" w:cstheme="minorBidi"/>
          <w:sz w:val="24"/>
          <w:szCs w:val="24"/>
        </w:rPr>
        <w:t xml:space="preserve"> to other countries</w:t>
      </w:r>
      <w:r w:rsidR="00FC7296">
        <w:rPr>
          <w:rStyle w:val="cf01"/>
          <w:rFonts w:asciiTheme="minorBidi" w:hAnsiTheme="minorBidi" w:cstheme="minorBidi"/>
          <w:sz w:val="24"/>
          <w:szCs w:val="24"/>
        </w:rPr>
        <w:t xml:space="preserve"> that </w:t>
      </w:r>
      <w:r w:rsidR="00C8332E">
        <w:rPr>
          <w:rStyle w:val="cf01"/>
          <w:rFonts w:asciiTheme="minorBidi" w:hAnsiTheme="minorBidi" w:cstheme="minorBidi"/>
          <w:sz w:val="24"/>
          <w:szCs w:val="24"/>
        </w:rPr>
        <w:t xml:space="preserve">may </w:t>
      </w:r>
      <w:r w:rsidR="00FC7296">
        <w:rPr>
          <w:rStyle w:val="cf01"/>
          <w:rFonts w:asciiTheme="minorBidi" w:hAnsiTheme="minorBidi" w:cstheme="minorBidi"/>
          <w:sz w:val="24"/>
          <w:szCs w:val="24"/>
        </w:rPr>
        <w:t xml:space="preserve">have </w:t>
      </w:r>
      <w:r w:rsidR="00DC3255">
        <w:rPr>
          <w:rStyle w:val="cf01"/>
          <w:rFonts w:asciiTheme="minorBidi" w:hAnsiTheme="minorBidi" w:cstheme="minorBidi"/>
          <w:sz w:val="24"/>
          <w:szCs w:val="24"/>
        </w:rPr>
        <w:t>implemented</w:t>
      </w:r>
      <w:r w:rsidR="00FC7296">
        <w:rPr>
          <w:rStyle w:val="cf01"/>
          <w:rFonts w:asciiTheme="minorBidi" w:hAnsiTheme="minorBidi" w:cstheme="minorBidi"/>
          <w:sz w:val="24"/>
          <w:szCs w:val="24"/>
        </w:rPr>
        <w:t xml:space="preserve"> similar</w:t>
      </w:r>
      <w:r w:rsidR="00DC3255">
        <w:rPr>
          <w:rStyle w:val="cf01"/>
          <w:rFonts w:asciiTheme="minorBidi" w:hAnsiTheme="minorBidi" w:cstheme="minorBidi"/>
          <w:sz w:val="24"/>
          <w:szCs w:val="24"/>
        </w:rPr>
        <w:t xml:space="preserve"> changes to their major hazard </w:t>
      </w:r>
      <w:r w:rsidR="00A20544">
        <w:rPr>
          <w:rStyle w:val="cf01"/>
          <w:rFonts w:asciiTheme="minorBidi" w:hAnsiTheme="minorBidi" w:cstheme="minorBidi"/>
          <w:sz w:val="24"/>
          <w:szCs w:val="24"/>
        </w:rPr>
        <w:t xml:space="preserve">regulatory </w:t>
      </w:r>
      <w:r w:rsidR="00DC3255">
        <w:rPr>
          <w:rStyle w:val="cf01"/>
          <w:rFonts w:asciiTheme="minorBidi" w:hAnsiTheme="minorBidi" w:cstheme="minorBidi"/>
          <w:sz w:val="24"/>
          <w:szCs w:val="24"/>
        </w:rPr>
        <w:t>frameworks</w:t>
      </w:r>
      <w:r w:rsidR="009B5A66">
        <w:rPr>
          <w:rStyle w:val="cf01"/>
          <w:rFonts w:asciiTheme="minorBidi" w:hAnsiTheme="minorBidi" w:cstheme="minorBidi"/>
          <w:sz w:val="24"/>
          <w:szCs w:val="24"/>
        </w:rPr>
        <w:t>.</w:t>
      </w:r>
      <w:r w:rsidR="00DC3255">
        <w:rPr>
          <w:rStyle w:val="cf01"/>
          <w:rFonts w:asciiTheme="minorBidi" w:hAnsiTheme="minorBidi" w:cstheme="minorBidi"/>
          <w:sz w:val="24"/>
          <w:szCs w:val="24"/>
        </w:rPr>
        <w:t xml:space="preserve"> </w:t>
      </w:r>
    </w:p>
    <w:p w14:paraId="4B06CEC5" w14:textId="5F2159F6" w:rsidR="006D3ABB" w:rsidRPr="006D3ABB" w:rsidRDefault="006D3ABB" w:rsidP="00D0440A">
      <w:pPr>
        <w:pStyle w:val="ListParagraph"/>
        <w:keepNext/>
        <w:numPr>
          <w:ilvl w:val="0"/>
          <w:numId w:val="6"/>
        </w:numPr>
        <w:spacing w:before="160"/>
        <w:ind w:left="567" w:hanging="567"/>
        <w:contextualSpacing w:val="0"/>
        <w:rPr>
          <w:rFonts w:eastAsia="Arial" w:cs="Arial"/>
          <w:b/>
          <w:color w:val="000000" w:themeColor="text1"/>
          <w:sz w:val="36"/>
          <w:szCs w:val="36"/>
        </w:rPr>
      </w:pPr>
      <w:r w:rsidRPr="006D3ABB">
        <w:rPr>
          <w:b/>
          <w:sz w:val="36"/>
          <w:szCs w:val="36"/>
        </w:rPr>
        <w:t>Minimising administrative and compliance costs for preferred option</w:t>
      </w:r>
      <w:r w:rsidR="00795AD6" w:rsidRPr="006D3ABB">
        <w:rPr>
          <w:b/>
          <w:sz w:val="36"/>
          <w:szCs w:val="36"/>
        </w:rPr>
        <w:t xml:space="preserve"> </w:t>
      </w:r>
    </w:p>
    <w:p w14:paraId="6A25E661" w14:textId="189312B4" w:rsidR="00795AD6" w:rsidRPr="00CB599F" w:rsidRDefault="004830DD" w:rsidP="003B7286">
      <w:pPr>
        <w:pStyle w:val="ListParagraph"/>
        <w:keepNext/>
        <w:numPr>
          <w:ilvl w:val="1"/>
          <w:numId w:val="6"/>
        </w:numPr>
        <w:spacing w:after="0"/>
        <w:ind w:left="567" w:hanging="567"/>
        <w:contextualSpacing w:val="0"/>
        <w:jc w:val="both"/>
        <w:rPr>
          <w:rFonts w:eastAsia="Arial" w:cs="Arial"/>
          <w:b/>
          <w:color w:val="000000" w:themeColor="text1"/>
          <w:sz w:val="20"/>
          <w:szCs w:val="20"/>
        </w:rPr>
      </w:pPr>
      <w:r w:rsidRPr="7068DCE6">
        <w:rPr>
          <w:rFonts w:cs="Arial"/>
          <w:kern w:val="2"/>
          <w:lang w:eastAsia="en-US"/>
          <w14:ligatures w14:val="standardContextual"/>
        </w:rPr>
        <w:t xml:space="preserve">Administrative and compliance costs will be kept to a minimum in the preferred option as we would be using existing regulatory regimes and approaches rather than creating new approaches for CCUS and offshore hydrogen production.  This not only has the </w:t>
      </w:r>
      <w:r w:rsidRPr="7068DCE6">
        <w:rPr>
          <w:rFonts w:cs="Arial"/>
          <w:kern w:val="2"/>
          <w:lang w:eastAsia="en-US"/>
          <w14:ligatures w14:val="standardContextual"/>
        </w:rPr>
        <w:lastRenderedPageBreak/>
        <w:t>effect of using regimes that many dutyholders are familiar with, but also allows existing suites of guidance, regulatory procedures and other tools to be utilised.</w:t>
      </w:r>
    </w:p>
    <w:p w14:paraId="7A4A14B5" w14:textId="46120C6A" w:rsidR="003E24F2" w:rsidRPr="002B249E" w:rsidRDefault="00227AB3" w:rsidP="002B249E">
      <w:pPr>
        <w:spacing w:line="23" w:lineRule="atLeast"/>
        <w:jc w:val="both"/>
        <w:rPr>
          <w:rFonts w:eastAsia="Arial" w:cs="Arial"/>
        </w:rPr>
      </w:pPr>
      <w:r w:rsidRPr="7068DCE6">
        <w:rPr>
          <w:rFonts w:cs="Arial"/>
          <w:kern w:val="2"/>
          <w:lang w:eastAsia="en-US"/>
          <w14:ligatures w14:val="standardContextual"/>
        </w:rPr>
        <w:t xml:space="preserve">  </w:t>
      </w:r>
    </w:p>
    <w:p w14:paraId="753A9B13" w14:textId="03D4D4A3" w:rsidR="003E0576" w:rsidRDefault="003E0576" w:rsidP="006C01AE">
      <w:pPr>
        <w:pStyle w:val="Heading2"/>
      </w:pPr>
      <w:r w:rsidRPr="006562A6">
        <w:t>Declaration</w:t>
      </w:r>
    </w:p>
    <w:p w14:paraId="645C2003" w14:textId="0650AF34" w:rsidR="005D6748" w:rsidRPr="006562A6" w:rsidRDefault="00193598" w:rsidP="003E0576">
      <w:pPr>
        <w:spacing w:after="0" w:line="240" w:lineRule="auto"/>
        <w:rPr>
          <w:rFonts w:eastAsia="Arial" w:cs="Arial"/>
          <w:b/>
          <w:bCs/>
          <w:sz w:val="28"/>
          <w:szCs w:val="28"/>
        </w:rPr>
      </w:pPr>
      <w:r w:rsidRPr="00A94F1C">
        <w:rPr>
          <w:rFonts w:eastAsia="Arial" w:cs="Arial"/>
          <w:noProof/>
          <w:szCs w:val="20"/>
        </w:rPr>
        <mc:AlternateContent>
          <mc:Choice Requires="wps">
            <w:drawing>
              <wp:anchor distT="45720" distB="45720" distL="114300" distR="114300" simplePos="0" relativeHeight="251658242" behindDoc="0" locked="0" layoutInCell="1" allowOverlap="1" wp14:anchorId="544E77F6" wp14:editId="05FB3660">
                <wp:simplePos x="0" y="0"/>
                <wp:positionH relativeFrom="column">
                  <wp:posOffset>1390884</wp:posOffset>
                </wp:positionH>
                <wp:positionV relativeFrom="paragraph">
                  <wp:posOffset>74796</wp:posOffset>
                </wp:positionV>
                <wp:extent cx="4525645" cy="485775"/>
                <wp:effectExtent l="0" t="0" r="27305" b="28575"/>
                <wp:wrapSquare wrapText="bothSides"/>
                <wp:docPr id="910850140" name="Text Box 910850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485775"/>
                        </a:xfrm>
                        <a:prstGeom prst="rect">
                          <a:avLst/>
                        </a:prstGeom>
                        <a:solidFill>
                          <a:srgbClr val="FFFFFF"/>
                        </a:solidFill>
                        <a:ln w="9525">
                          <a:solidFill>
                            <a:schemeClr val="bg1">
                              <a:lumMod val="85000"/>
                            </a:schemeClr>
                          </a:solidFill>
                          <a:miter lim="800000"/>
                          <a:headEnd/>
                          <a:tailEnd/>
                        </a:ln>
                      </wps:spPr>
                      <wps:txbx>
                        <w:txbxContent>
                          <w:sdt>
                            <w:sdtPr>
                              <w:id w:val="294264477"/>
                            </w:sdtPr>
                            <w:sdtContent>
                              <w:p w14:paraId="544C2437" w14:textId="3EE2BB27" w:rsidR="00A94F1C" w:rsidRDefault="00B55EA0">
                                <w:r>
                                  <w:t xml:space="preserve">Energy Policy, Engagement and Policy Division, </w:t>
                                </w:r>
                                <w:r w:rsidR="00957148">
                                  <w:t>Health and Safety Executive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77F6" id="Text Box 910850140" o:spid="_x0000_s1041" type="#_x0000_t202" style="position:absolute;margin-left:109.5pt;margin-top:5.9pt;width:356.35pt;height:38.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" strokecolor="#d8d8d8 [2732]">
                <v:textbox>
                  <w:txbxContent>
                    <w:sdt>
                      <w:sdtPr>
                        <w:id w:val="294264477"/>
                      </w:sdtPr>
                      <w:sdtContent>
                        <w:p w14:paraId="544C2437" w14:textId="3EE2BB27" w:rsidR="00A94F1C" w:rsidRDefault="00B55EA0">
                          <w:r>
                            <w:t xml:space="preserve">Energy Policy, Engagement and Policy Division, </w:t>
                          </w:r>
                          <w:r w:rsidR="00957148">
                            <w:t>Health and Safety Executive</w:t>
                          </w:r>
                        </w:p>
                      </w:sdtContent>
                    </w:sdt>
                  </w:txbxContent>
                </v:textbox>
                <w10:wrap type="square"/>
              </v:shape>
            </w:pict>
          </mc:Fallback>
        </mc:AlternateContent>
      </w:r>
    </w:p>
    <w:p w14:paraId="3D44F386" w14:textId="5231A784" w:rsidR="003E0576"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Department:</w:t>
      </w:r>
      <w:r w:rsidR="00A94F1C">
        <w:rPr>
          <w:rFonts w:eastAsia="Arial" w:cs="Arial"/>
          <w:szCs w:val="20"/>
        </w:rPr>
        <w:t xml:space="preserve">  </w:t>
      </w:r>
    </w:p>
    <w:p w14:paraId="2052610B" w14:textId="488CFBFA" w:rsidR="00A94F1C" w:rsidRPr="005D6748" w:rsidRDefault="00A94F1C" w:rsidP="005D6748">
      <w:pPr>
        <w:pBdr>
          <w:top w:val="nil"/>
          <w:left w:val="nil"/>
          <w:bottom w:val="nil"/>
          <w:right w:val="nil"/>
          <w:between w:val="nil"/>
        </w:pBdr>
        <w:spacing w:after="120" w:line="240" w:lineRule="auto"/>
        <w:ind w:right="284"/>
        <w:rPr>
          <w:rFonts w:eastAsia="Arial" w:cs="Arial"/>
          <w:szCs w:val="20"/>
        </w:rPr>
      </w:pPr>
    </w:p>
    <w:p w14:paraId="65919FF9" w14:textId="47A7AACF" w:rsidR="006A5B9C" w:rsidRDefault="00403307" w:rsidP="005D6748">
      <w:pPr>
        <w:pBdr>
          <w:top w:val="nil"/>
          <w:left w:val="nil"/>
          <w:bottom w:val="nil"/>
          <w:right w:val="nil"/>
          <w:between w:val="nil"/>
        </w:pBdr>
        <w:spacing w:after="120" w:line="240" w:lineRule="auto"/>
        <w:ind w:right="284"/>
        <w:rPr>
          <w:rFonts w:eastAsia="Arial" w:cs="Arial"/>
          <w:szCs w:val="20"/>
        </w:rPr>
      </w:pPr>
      <w:r w:rsidRPr="00015313">
        <w:rPr>
          <w:rFonts w:eastAsia="Arial" w:cs="Arial"/>
          <w:iCs/>
          <w:noProof/>
          <w:szCs w:val="20"/>
        </w:rPr>
        <mc:AlternateContent>
          <mc:Choice Requires="wps">
            <w:drawing>
              <wp:anchor distT="45720" distB="45720" distL="114300" distR="114300" simplePos="0" relativeHeight="251658243" behindDoc="0" locked="0" layoutInCell="1" allowOverlap="1" wp14:anchorId="37098D8F" wp14:editId="64B247F8">
                <wp:simplePos x="0" y="0"/>
                <wp:positionH relativeFrom="column">
                  <wp:posOffset>1420717</wp:posOffset>
                </wp:positionH>
                <wp:positionV relativeFrom="paragraph">
                  <wp:posOffset>32474</wp:posOffset>
                </wp:positionV>
                <wp:extent cx="3975159" cy="571500"/>
                <wp:effectExtent l="0" t="0" r="25400" b="19050"/>
                <wp:wrapSquare wrapText="bothSides"/>
                <wp:docPr id="883669022" name="Text Box 883669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59" cy="571500"/>
                        </a:xfrm>
                        <a:prstGeom prst="rect">
                          <a:avLst/>
                        </a:prstGeom>
                        <a:solidFill>
                          <a:srgbClr val="FFFFFF"/>
                        </a:solidFill>
                        <a:ln w="9525">
                          <a:solidFill>
                            <a:schemeClr val="bg1">
                              <a:lumMod val="85000"/>
                            </a:schemeClr>
                          </a:solidFill>
                          <a:miter lim="800000"/>
                          <a:headEnd/>
                          <a:tailEnd/>
                        </a:ln>
                      </wps:spPr>
                      <wps:txbx>
                        <w:txbxContent>
                          <w:sdt>
                            <w:sdtPr>
                              <w:id w:val="-420403401"/>
                            </w:sdtPr>
                            <w:sdtContent>
                              <w:p w14:paraId="6BE4BCFC" w14:textId="77777777" w:rsidR="000A7FA1" w:rsidRDefault="00FE119A" w:rsidP="004E3300">
                                <w:r>
                                  <w:t xml:space="preserve">Rachel McCann, </w:t>
                                </w:r>
                                <w:r w:rsidR="00ED32BF" w:rsidRPr="00ED32BF">
                                  <w:t>Head of Energy Policy</w:t>
                                </w:r>
                                <w:r w:rsidR="000A7FA1">
                                  <w:t>, Engagement and Policy Division</w:t>
                                </w:r>
                              </w:p>
                              <w:p w14:paraId="477DC826" w14:textId="327347DA" w:rsidR="000A7FA1" w:rsidRDefault="00E14316" w:rsidP="004E3300">
                                <w:r>
                                  <w:t>r</w:t>
                                </w:r>
                                <w:r w:rsidR="000A7FA1">
                                  <w:t>achel.</w:t>
                                </w:r>
                                <w:r w:rsidR="00743AB0">
                                  <w:t>mccann</w:t>
                                </w:r>
                                <w:r>
                                  <w:t>@hse.gov.uk</w:t>
                                </w:r>
                              </w:p>
                              <w:p w14:paraId="4BC685F7" w14:textId="7C93CF6E" w:rsidR="004E3300" w:rsidRDefault="00ED32BF" w:rsidP="004E3300">
                                <w:r w:rsidRPr="00ED32BF" w:rsidDel="00395979">
                                  <w:t xml:space="preserve"> </w:t>
                                </w:r>
                              </w:p>
                              <w:p w14:paraId="1A0E2C06" w14:textId="77777777" w:rsidR="004E3300" w:rsidRDefault="00000000" w:rsidP="004E330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98D8F" id="Text Box 883669022" o:spid="_x0000_s1042" type="#_x0000_t202" style="position:absolute;margin-left:111.85pt;margin-top:2.55pt;width:313pt;height: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" strokecolor="#d8d8d8 [2732]">
                <v:textbox>
                  <w:txbxContent>
                    <w:sdt>
                      <w:sdtPr>
                        <w:id w:val="-420403401"/>
                      </w:sdtPr>
                      <w:sdtContent>
                        <w:p w14:paraId="6BE4BCFC" w14:textId="77777777" w:rsidR="000A7FA1" w:rsidRDefault="00FE119A" w:rsidP="004E3300">
                          <w:r>
                            <w:t xml:space="preserve">Rachel McCann, </w:t>
                          </w:r>
                          <w:r w:rsidR="00ED32BF" w:rsidRPr="00ED32BF">
                            <w:t>Head of Energy Policy</w:t>
                          </w:r>
                          <w:r w:rsidR="000A7FA1">
                            <w:t>, Engagement and Policy Division</w:t>
                          </w:r>
                        </w:p>
                        <w:p w14:paraId="477DC826" w14:textId="327347DA" w:rsidR="000A7FA1" w:rsidRDefault="00E14316" w:rsidP="004E3300">
                          <w:r>
                            <w:t>r</w:t>
                          </w:r>
                          <w:r w:rsidR="000A7FA1">
                            <w:t>achel.</w:t>
                          </w:r>
                          <w:r w:rsidR="00743AB0">
                            <w:t>mccann</w:t>
                          </w:r>
                          <w:r>
                            <w:t>@hse.gov.uk</w:t>
                          </w:r>
                        </w:p>
                        <w:p w14:paraId="4BC685F7" w14:textId="7C93CF6E" w:rsidR="004E3300" w:rsidRDefault="00ED32BF" w:rsidP="004E3300">
                          <w:r w:rsidRPr="00ED32BF" w:rsidDel="00395979">
                            <w:t xml:space="preserve"> </w:t>
                          </w:r>
                        </w:p>
                        <w:p w14:paraId="1A0E2C06" w14:textId="77777777" w:rsidR="004E3300" w:rsidRDefault="00000000" w:rsidP="004E3300"/>
                      </w:sdtContent>
                    </w:sdt>
                  </w:txbxContent>
                </v:textbox>
                <w10:wrap type="square"/>
              </v:shape>
            </w:pict>
          </mc:Fallback>
        </mc:AlternateContent>
      </w:r>
      <w:r w:rsidR="003E0576" w:rsidRPr="005D6748">
        <w:rPr>
          <w:rFonts w:eastAsia="Arial" w:cs="Arial"/>
          <w:szCs w:val="20"/>
        </w:rPr>
        <w:t xml:space="preserve">Contact details for </w:t>
      </w:r>
      <w:r w:rsidR="00D17F14">
        <w:rPr>
          <w:rFonts w:eastAsia="Arial" w:cs="Arial"/>
          <w:szCs w:val="20"/>
        </w:rPr>
        <w:t>e</w:t>
      </w:r>
      <w:r w:rsidR="003E0576" w:rsidRPr="005D6748">
        <w:rPr>
          <w:rFonts w:eastAsia="Arial" w:cs="Arial"/>
          <w:szCs w:val="20"/>
        </w:rPr>
        <w:t>nquiries:</w:t>
      </w:r>
    </w:p>
    <w:p w14:paraId="22776A64" w14:textId="68264C82" w:rsidR="00A94F1C" w:rsidRPr="005D6748" w:rsidRDefault="00403307" w:rsidP="005D6748">
      <w:pPr>
        <w:pBdr>
          <w:top w:val="nil"/>
          <w:left w:val="nil"/>
          <w:bottom w:val="nil"/>
          <w:right w:val="nil"/>
          <w:between w:val="nil"/>
        </w:pBdr>
        <w:spacing w:after="120" w:line="240" w:lineRule="auto"/>
        <w:ind w:right="284"/>
        <w:rPr>
          <w:rFonts w:eastAsia="Arial" w:cs="Arial"/>
          <w:szCs w:val="20"/>
        </w:rPr>
      </w:pPr>
      <w:r w:rsidRPr="0004125E">
        <w:rPr>
          <w:rFonts w:eastAsia="Arial" w:cs="Arial"/>
          <w:iCs/>
          <w:noProof/>
          <w:szCs w:val="20"/>
        </w:rPr>
        <mc:AlternateContent>
          <mc:Choice Requires="wps">
            <w:drawing>
              <wp:anchor distT="45720" distB="45720" distL="114300" distR="114300" simplePos="0" relativeHeight="251658244" behindDoc="0" locked="0" layoutInCell="1" allowOverlap="1" wp14:anchorId="2C5EADC0" wp14:editId="3EB9F1BC">
                <wp:simplePos x="0" y="0"/>
                <wp:positionH relativeFrom="column">
                  <wp:posOffset>1421293</wp:posOffset>
                </wp:positionH>
                <wp:positionV relativeFrom="paragraph">
                  <wp:posOffset>249171</wp:posOffset>
                </wp:positionV>
                <wp:extent cx="5050155" cy="358140"/>
                <wp:effectExtent l="0" t="0" r="17145" b="22860"/>
                <wp:wrapSquare wrapText="bothSides"/>
                <wp:docPr id="551012578" name="Text Box 551012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358140"/>
                        </a:xfrm>
                        <a:prstGeom prst="rect">
                          <a:avLst/>
                        </a:prstGeom>
                        <a:solidFill>
                          <a:srgbClr val="FFFFFF"/>
                        </a:solidFill>
                        <a:ln w="9525">
                          <a:solidFill>
                            <a:schemeClr val="bg1">
                              <a:lumMod val="85000"/>
                            </a:schemeClr>
                          </a:solidFill>
                          <a:miter lim="800000"/>
                          <a:headEnd/>
                          <a:tailEnd/>
                        </a:ln>
                      </wps:spPr>
                      <wps:txbx>
                        <w:txbxContent>
                          <w:p w14:paraId="3C31FF62" w14:textId="7542420A" w:rsidR="008A5045" w:rsidRDefault="00000000" w:rsidP="008A5045">
                            <w:sdt>
                              <w:sdtPr>
                                <w:id w:val="1343441603"/>
                              </w:sdtPr>
                              <w:sdtContent>
                                <w:r w:rsidR="00DE4768">
                                  <w:t>Rick Brunt</w:t>
                                </w:r>
                              </w:sdtContent>
                            </w:sdt>
                            <w:r w:rsidR="003D1789">
                              <w:t xml:space="preserve">, </w:t>
                            </w:r>
                            <w:r w:rsidR="00843320">
                              <w:t xml:space="preserve">Engagement and Policy </w:t>
                            </w:r>
                            <w:r w:rsidR="000E15AC">
                              <w:t>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ADC0" id="Text Box 551012578" o:spid="_x0000_s1043" type="#_x0000_t202" style="position:absolute;margin-left:111.9pt;margin-top:19.6pt;width:397.65pt;height:28.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" strokecolor="#d8d8d8 [2732]">
                <v:textbox>
                  <w:txbxContent>
                    <w:p w14:paraId="3C31FF62" w14:textId="7542420A" w:rsidR="008A5045" w:rsidRDefault="00000000" w:rsidP="008A5045">
                      <w:sdt>
                        <w:sdtPr>
                          <w:id w:val="1343441603"/>
                        </w:sdtPr>
                        <w:sdtContent>
                          <w:r w:rsidR="00DE4768">
                            <w:t>Rick Brunt</w:t>
                          </w:r>
                        </w:sdtContent>
                      </w:sdt>
                      <w:r w:rsidR="003D1789">
                        <w:t xml:space="preserve">, </w:t>
                      </w:r>
                      <w:r w:rsidR="00843320">
                        <w:t xml:space="preserve">Engagement and Policy </w:t>
                      </w:r>
                      <w:r w:rsidR="000E15AC">
                        <w:t>Division</w:t>
                      </w:r>
                    </w:p>
                  </w:txbxContent>
                </v:textbox>
                <w10:wrap type="square"/>
              </v:shape>
            </w:pict>
          </mc:Fallback>
        </mc:AlternateContent>
      </w:r>
    </w:p>
    <w:p w14:paraId="27A4B01F" w14:textId="3D258029" w:rsidR="00C163AB"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 xml:space="preserve">Director </w:t>
      </w:r>
      <w:r w:rsidR="00D17F14">
        <w:rPr>
          <w:rFonts w:eastAsia="Arial" w:cs="Arial"/>
          <w:szCs w:val="20"/>
        </w:rPr>
        <w:t>r</w:t>
      </w:r>
      <w:r w:rsidRPr="005D6748">
        <w:rPr>
          <w:rFonts w:eastAsia="Arial" w:cs="Arial"/>
          <w:szCs w:val="20"/>
        </w:rPr>
        <w:t>esponsible:</w:t>
      </w:r>
      <w:r w:rsidR="00683CAA">
        <w:rPr>
          <w:rFonts w:eastAsia="Arial" w:cs="Arial"/>
          <w:szCs w:val="20"/>
        </w:rPr>
        <w:t xml:space="preserve"> </w:t>
      </w:r>
    </w:p>
    <w:p w14:paraId="0CF7877A" w14:textId="463486DB" w:rsidR="003E0576" w:rsidRPr="000E233F" w:rsidRDefault="003E0576" w:rsidP="003E0576">
      <w:pPr>
        <w:pBdr>
          <w:top w:val="nil"/>
          <w:left w:val="nil"/>
          <w:bottom w:val="nil"/>
          <w:right w:val="nil"/>
          <w:between w:val="nil"/>
        </w:pBdr>
        <w:spacing w:after="0" w:line="240" w:lineRule="auto"/>
        <w:ind w:right="284"/>
        <w:rPr>
          <w:rFonts w:eastAsia="Arial" w:cs="Arial"/>
          <w:bCs/>
          <w:iCs/>
          <w:szCs w:val="20"/>
        </w:rPr>
      </w:pPr>
      <w:bookmarkStart w:id="8" w:name="gjdgxs" w:colFirst="0" w:colLast="0"/>
      <w:bookmarkEnd w:id="8"/>
    </w:p>
    <w:p w14:paraId="0F151530" w14:textId="4DB7C653" w:rsidR="003E0576" w:rsidRPr="000E233F" w:rsidRDefault="003E0576" w:rsidP="003E0576">
      <w:pPr>
        <w:pBdr>
          <w:top w:val="nil"/>
          <w:left w:val="nil"/>
          <w:bottom w:val="nil"/>
          <w:right w:val="nil"/>
          <w:between w:val="nil"/>
        </w:pBdr>
        <w:spacing w:after="0" w:line="240" w:lineRule="auto"/>
        <w:ind w:right="284"/>
        <w:rPr>
          <w:rFonts w:eastAsia="Arial" w:cs="Arial"/>
          <w:bCs/>
          <w:iCs/>
          <w:color w:val="000000"/>
          <w:szCs w:val="20"/>
        </w:rPr>
      </w:pPr>
      <w:r w:rsidRPr="000E233F">
        <w:rPr>
          <w:rFonts w:eastAsia="Arial" w:cs="Arial"/>
          <w:bCs/>
          <w:iCs/>
          <w:color w:val="000000"/>
          <w:szCs w:val="20"/>
        </w:rPr>
        <w:t xml:space="preserve">I have read the Options </w:t>
      </w:r>
      <w:proofErr w:type="gramStart"/>
      <w:r w:rsidRPr="000E233F">
        <w:rPr>
          <w:rFonts w:eastAsia="Arial" w:cs="Arial"/>
          <w:bCs/>
          <w:iCs/>
          <w:color w:val="000000"/>
          <w:szCs w:val="20"/>
        </w:rPr>
        <w:t>Assessment</w:t>
      </w:r>
      <w:proofErr w:type="gramEnd"/>
      <w:r w:rsidRPr="000E233F">
        <w:rPr>
          <w:rFonts w:eastAsia="Arial" w:cs="Arial"/>
          <w:bCs/>
          <w:iCs/>
          <w:color w:val="000000"/>
          <w:szCs w:val="20"/>
        </w:rPr>
        <w:t xml:space="preserve"> and I am satisfied that, given the available evidence, it represents a reasonable view of the likely costs, benefits and impact of the leading options.</w:t>
      </w:r>
    </w:p>
    <w:p w14:paraId="36DA78F4" w14:textId="1E4A5957" w:rsidR="00CF62D0" w:rsidRDefault="00CF62D0" w:rsidP="003E0576">
      <w:pPr>
        <w:pBdr>
          <w:top w:val="nil"/>
          <w:left w:val="nil"/>
          <w:bottom w:val="nil"/>
          <w:right w:val="nil"/>
          <w:between w:val="nil"/>
        </w:pBdr>
        <w:spacing w:after="0" w:line="240" w:lineRule="auto"/>
        <w:ind w:right="284"/>
        <w:rPr>
          <w:rFonts w:eastAsia="Arial" w:cs="Arial"/>
          <w:b/>
          <w:i/>
          <w:color w:val="000000"/>
          <w:szCs w:val="20"/>
        </w:rPr>
      </w:pPr>
    </w:p>
    <w:p w14:paraId="765EEA0D" w14:textId="0CCE466C" w:rsidR="00CF62D0" w:rsidRDefault="00F3052C" w:rsidP="003E0576">
      <w:pPr>
        <w:pBdr>
          <w:top w:val="nil"/>
          <w:left w:val="nil"/>
          <w:bottom w:val="nil"/>
          <w:right w:val="nil"/>
          <w:between w:val="nil"/>
        </w:pBdr>
        <w:spacing w:after="0" w:line="240" w:lineRule="auto"/>
        <w:ind w:right="284"/>
        <w:rPr>
          <w:rFonts w:eastAsia="Arial" w:cs="Arial"/>
          <w:b/>
          <w:i/>
          <w:color w:val="000000"/>
          <w:szCs w:val="20"/>
        </w:rPr>
      </w:pPr>
      <w:r>
        <w:rPr>
          <w:noProof/>
        </w:rPr>
        <mc:AlternateContent>
          <mc:Choice Requires="wps">
            <w:drawing>
              <wp:anchor distT="45720" distB="45720" distL="114300" distR="114300" simplePos="0" relativeHeight="251658240" behindDoc="0" locked="0" layoutInCell="1" allowOverlap="1" wp14:anchorId="10489FF3" wp14:editId="09AE8F99">
                <wp:simplePos x="0" y="0"/>
                <wp:positionH relativeFrom="column">
                  <wp:posOffset>1392776</wp:posOffset>
                </wp:positionH>
                <wp:positionV relativeFrom="paragraph">
                  <wp:posOffset>149491</wp:posOffset>
                </wp:positionV>
                <wp:extent cx="1571625" cy="3238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solidFill>
                          <a:srgbClr val="FFFFFF"/>
                        </a:solidFill>
                        <a:ln w="9525">
                          <a:solidFill>
                            <a:schemeClr val="bg1">
                              <a:lumMod val="85000"/>
                            </a:schemeClr>
                          </a:solidFill>
                          <a:miter lim="800000"/>
                          <a:headEnd/>
                          <a:tailEnd/>
                        </a:ln>
                      </wps:spPr>
                      <wps:txbx>
                        <w:txbxContent>
                          <w:p w14:paraId="002A8C36" w14:textId="11E9F160" w:rsidR="00F3052C" w:rsidRDefault="001A08F3" w:rsidP="00F3052C">
                            <w:r>
                              <w:rPr>
                                <w:noProof/>
                                <w14:ligatures w14:val="standardContextual"/>
                              </w:rPr>
                              <w:drawing>
                                <wp:inline distT="0" distB="0" distL="0" distR="0" wp14:anchorId="56DDA48C" wp14:editId="5EEBA093">
                                  <wp:extent cx="1379855" cy="209598"/>
                                  <wp:effectExtent l="0" t="0" r="0" b="0"/>
                                  <wp:docPr id="35953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34037" name="Picture 359534037"/>
                                          <pic:cNvPicPr/>
                                        </pic:nvPicPr>
                                        <pic:blipFill>
                                          <a:blip r:embed="rId17">
                                            <a:extLst>
                                              <a:ext uri="{28A0092B-C50C-407E-A947-70E740481C1C}">
                                                <a14:useLocalDpi xmlns:a14="http://schemas.microsoft.com/office/drawing/2010/main" val="0"/>
                                              </a:ext>
                                            </a:extLst>
                                          </a:blip>
                                          <a:stretch>
                                            <a:fillRect/>
                                          </a:stretch>
                                        </pic:blipFill>
                                        <pic:spPr>
                                          <a:xfrm>
                                            <a:off x="0" y="0"/>
                                            <a:ext cx="1379855" cy="209598"/>
                                          </a:xfrm>
                                          <a:prstGeom prst="rect">
                                            <a:avLst/>
                                          </a:prstGeom>
                                        </pic:spPr>
                                      </pic:pic>
                                    </a:graphicData>
                                  </a:graphic>
                                </wp:inline>
                              </w:drawing>
                            </w:r>
                            <w:sdt>
                              <w:sdtPr>
                                <w:id w:val="1839730418"/>
                              </w:sdtPr>
                              <w:sdtContent>
                                <w:r w:rsidR="006005E7">
                                  <w:rPr>
                                    <w:noProof/>
                                  </w:rPr>
                                  <w:drawing>
                                    <wp:inline distT="0" distB="0" distL="0" distR="0" wp14:anchorId="273CB239" wp14:editId="247F908E">
                                      <wp:extent cx="1457325" cy="209550"/>
                                      <wp:effectExtent l="0" t="0" r="9525" b="0"/>
                                      <wp:docPr id="898148792"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48792" name="Picture 1" descr="Close-up of a signatu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61560" cy="210159"/>
                                              </a:xfrm>
                                              <a:prstGeom prst="rect">
                                                <a:avLst/>
                                              </a:prstGeom>
                                            </pic:spPr>
                                          </pic:pic>
                                        </a:graphicData>
                                      </a:graphic>
                                    </wp:inline>
                                  </w:drawing>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9FF3" id="Text Box 217" o:spid="_x0000_s1044" type="#_x0000_t202" style="position:absolute;margin-left:109.65pt;margin-top:11.75pt;width:123.7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" strokecolor="#d8d8d8 [2732]">
                <v:textbox>
                  <w:txbxContent>
                    <w:p w14:paraId="002A8C36" w14:textId="11E9F160" w:rsidR="00F3052C" w:rsidRDefault="001A08F3" w:rsidP="00F3052C">
                      <w:r>
                        <w:rPr>
                          <w:noProof/>
                          <w14:ligatures w14:val="standardContextual"/>
                        </w:rPr>
                        <w:drawing>
                          <wp:inline distT="0" distB="0" distL="0" distR="0" wp14:anchorId="56DDA48C" wp14:editId="5EEBA093">
                            <wp:extent cx="1379855" cy="209598"/>
                            <wp:effectExtent l="0" t="0" r="0" b="0"/>
                            <wp:docPr id="359534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34037" name="Picture 359534037"/>
                                    <pic:cNvPicPr/>
                                  </pic:nvPicPr>
                                  <pic:blipFill>
                                    <a:blip r:embed="rId17">
                                      <a:extLst>
                                        <a:ext uri="{28A0092B-C50C-407E-A947-70E740481C1C}">
                                          <a14:useLocalDpi xmlns:a14="http://schemas.microsoft.com/office/drawing/2010/main" val="0"/>
                                        </a:ext>
                                      </a:extLst>
                                    </a:blip>
                                    <a:stretch>
                                      <a:fillRect/>
                                    </a:stretch>
                                  </pic:blipFill>
                                  <pic:spPr>
                                    <a:xfrm>
                                      <a:off x="0" y="0"/>
                                      <a:ext cx="1379855" cy="209598"/>
                                    </a:xfrm>
                                    <a:prstGeom prst="rect">
                                      <a:avLst/>
                                    </a:prstGeom>
                                  </pic:spPr>
                                </pic:pic>
                              </a:graphicData>
                            </a:graphic>
                          </wp:inline>
                        </w:drawing>
                      </w:r>
                      <w:sdt>
                        <w:sdtPr>
                          <w:id w:val="1839730418"/>
                        </w:sdtPr>
                        <w:sdtContent>
                          <w:r w:rsidR="006005E7">
                            <w:rPr>
                              <w:noProof/>
                            </w:rPr>
                            <w:drawing>
                              <wp:inline distT="0" distB="0" distL="0" distR="0" wp14:anchorId="273CB239" wp14:editId="247F908E">
                                <wp:extent cx="1457325" cy="209550"/>
                                <wp:effectExtent l="0" t="0" r="9525" b="0"/>
                                <wp:docPr id="898148792"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48792" name="Picture 1" descr="Close-up of a signatu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61560" cy="210159"/>
                                        </a:xfrm>
                                        <a:prstGeom prst="rect">
                                          <a:avLst/>
                                        </a:prstGeom>
                                      </pic:spPr>
                                    </pic:pic>
                                  </a:graphicData>
                                </a:graphic>
                              </wp:inline>
                            </w:drawing>
                          </w:r>
                        </w:sdtContent>
                      </w:sdt>
                    </w:p>
                  </w:txbxContent>
                </v:textbox>
                <w10:wrap type="square"/>
              </v:shape>
            </w:pict>
          </mc:Fallback>
        </mc:AlternateContent>
      </w:r>
    </w:p>
    <w:p w14:paraId="7E9B63C5" w14:textId="37D38022" w:rsidR="005A0597" w:rsidRDefault="006A1456" w:rsidP="005A0597">
      <w:pPr>
        <w:spacing w:after="0" w:line="240" w:lineRule="auto"/>
      </w:pPr>
      <w:r w:rsidRPr="0002438E">
        <w:t>Signed:</w:t>
      </w:r>
      <w:r>
        <w:t xml:space="preserve"> </w:t>
      </w:r>
      <w:r w:rsidR="00F3052C">
        <w:t xml:space="preserve"> </w:t>
      </w:r>
    </w:p>
    <w:p w14:paraId="10CEDE83" w14:textId="474821D9" w:rsidR="00B32D32" w:rsidRDefault="00B32D32" w:rsidP="00B32D32">
      <w:pPr>
        <w:spacing w:after="0" w:line="240" w:lineRule="auto"/>
        <w:rPr>
          <w:rFonts w:eastAsia="Arial" w:cs="Arial"/>
          <w:szCs w:val="20"/>
        </w:rPr>
      </w:pPr>
    </w:p>
    <w:p w14:paraId="3073CF1E" w14:textId="3F546DE8" w:rsidR="00A459F7" w:rsidRDefault="00DE4768" w:rsidP="00B32D32">
      <w:r>
        <w:rPr>
          <w:noProof/>
        </w:rPr>
        <mc:AlternateContent>
          <mc:Choice Requires="wps">
            <w:drawing>
              <wp:anchor distT="45720" distB="45720" distL="114300" distR="114300" simplePos="0" relativeHeight="251658241" behindDoc="0" locked="0" layoutInCell="1" allowOverlap="1" wp14:anchorId="7B333479" wp14:editId="26FB2D79">
                <wp:simplePos x="0" y="0"/>
                <wp:positionH relativeFrom="column">
                  <wp:posOffset>1392777</wp:posOffset>
                </wp:positionH>
                <wp:positionV relativeFrom="paragraph">
                  <wp:posOffset>201414</wp:posOffset>
                </wp:positionV>
                <wp:extent cx="1571625" cy="314325"/>
                <wp:effectExtent l="0" t="0" r="28575" b="28575"/>
                <wp:wrapSquare wrapText="bothSides"/>
                <wp:docPr id="189077450" name="Text Box 189077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solidFill>
                          <a:srgbClr val="FFFFFF"/>
                        </a:solidFill>
                        <a:ln w="9525">
                          <a:solidFill>
                            <a:schemeClr val="bg1">
                              <a:lumMod val="85000"/>
                            </a:schemeClr>
                          </a:solidFill>
                          <a:miter lim="800000"/>
                          <a:headEnd/>
                          <a:tailEnd/>
                        </a:ln>
                      </wps:spPr>
                      <wps:txbx>
                        <w:txbxContent>
                          <w:sdt>
                            <w:sdtPr>
                              <w:id w:val="-1421786601"/>
                            </w:sdtPr>
                            <w:sdtEndPr>
                              <w:rPr>
                                <w:highlight w:val="yellow"/>
                              </w:rPr>
                            </w:sdtEndPr>
                            <w:sdtContent>
                              <w:p w14:paraId="36DECE43" w14:textId="151320D8" w:rsidR="00A459F7" w:rsidRDefault="00DA1066" w:rsidP="00A459F7">
                                <w:r>
                                  <w:t>3 December</w:t>
                                </w:r>
                                <w:r w:rsidR="00C4522F" w:rsidRPr="0002438E">
                                  <w:t xml:space="preserve"> 2024</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3479" id="Text Box 189077450" o:spid="_x0000_s1045" type="#_x0000_t202" style="position:absolute;margin-left:109.65pt;margin-top:15.85pt;width:123.75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" strokecolor="#d8d8d8 [2732]">
                <v:textbox>
                  <w:txbxContent>
                    <w:sdt>
                      <w:sdtPr>
                        <w:id w:val="-1421786601"/>
                      </w:sdtPr>
                      <w:sdtEndPr>
                        <w:rPr>
                          <w:highlight w:val="yellow"/>
                        </w:rPr>
                      </w:sdtEndPr>
                      <w:sdtContent>
                        <w:p w14:paraId="36DECE43" w14:textId="151320D8" w:rsidR="00A459F7" w:rsidRDefault="00DA1066" w:rsidP="00A459F7">
                          <w:r>
                            <w:t>3 December</w:t>
                          </w:r>
                          <w:r w:rsidR="00C4522F" w:rsidRPr="0002438E">
                            <w:t xml:space="preserve"> 2024</w:t>
                          </w:r>
                        </w:p>
                      </w:sdtContent>
                    </w:sdt>
                  </w:txbxContent>
                </v:textbox>
                <w10:wrap type="square"/>
              </v:shape>
            </w:pict>
          </mc:Fallback>
        </mc:AlternateContent>
      </w:r>
    </w:p>
    <w:p w14:paraId="6B3AF931" w14:textId="6462DA0F" w:rsidR="00F3052C" w:rsidRDefault="00F3052C" w:rsidP="00B32D32">
      <w:pPr>
        <w:sectPr w:rsidR="00F3052C" w:rsidSect="006A4EB2">
          <w:pgSz w:w="11906" w:h="16838"/>
          <w:pgMar w:top="1134" w:right="1077" w:bottom="1134" w:left="1077" w:header="227" w:footer="454" w:gutter="0"/>
          <w:cols w:space="720"/>
          <w:docGrid w:linePitch="326"/>
        </w:sectPr>
      </w:pPr>
      <w:r w:rsidRPr="0002438E">
        <w:t>Date:</w:t>
      </w:r>
      <w:r>
        <w:t xml:space="preserve">   </w:t>
      </w:r>
      <w:r w:rsidR="00A459F7">
        <w:t xml:space="preserve">   </w:t>
      </w:r>
    </w:p>
    <w:p w14:paraId="3CFC66AF" w14:textId="44CE88F9" w:rsidR="0028154A" w:rsidRPr="002A6ED1" w:rsidRDefault="003946AB" w:rsidP="00E56EF9">
      <w:pPr>
        <w:pStyle w:val="Heading2"/>
        <w:rPr>
          <w:sz w:val="32"/>
          <w:szCs w:val="32"/>
        </w:rPr>
      </w:pPr>
      <w:bookmarkStart w:id="9" w:name="_re22rh5xas0p" w:colFirst="0" w:colLast="0"/>
      <w:bookmarkEnd w:id="9"/>
      <w:r w:rsidRPr="002A6ED1">
        <w:rPr>
          <w:sz w:val="32"/>
          <w:szCs w:val="32"/>
        </w:rPr>
        <w:lastRenderedPageBreak/>
        <w:t xml:space="preserve">Annex </w:t>
      </w:r>
      <w:r w:rsidR="00E56EF9">
        <w:rPr>
          <w:sz w:val="32"/>
          <w:szCs w:val="32"/>
        </w:rPr>
        <w:t>1</w:t>
      </w:r>
      <w:r w:rsidRPr="002A6ED1">
        <w:rPr>
          <w:sz w:val="32"/>
          <w:szCs w:val="32"/>
        </w:rPr>
        <w:t xml:space="preserve"> </w:t>
      </w:r>
      <w:r w:rsidR="00553091" w:rsidRPr="002A6ED1">
        <w:rPr>
          <w:sz w:val="32"/>
          <w:szCs w:val="32"/>
        </w:rPr>
        <w:t>–</w:t>
      </w:r>
      <w:r w:rsidRPr="002A6ED1">
        <w:rPr>
          <w:sz w:val="32"/>
          <w:szCs w:val="32"/>
        </w:rPr>
        <w:t xml:space="preserve"> </w:t>
      </w:r>
      <w:proofErr w:type="gramStart"/>
      <w:r w:rsidR="00553091" w:rsidRPr="002A6ED1">
        <w:rPr>
          <w:sz w:val="32"/>
          <w:szCs w:val="32"/>
        </w:rPr>
        <w:t xml:space="preserve">Early </w:t>
      </w:r>
      <w:r w:rsidR="00C62667">
        <w:rPr>
          <w:sz w:val="32"/>
          <w:szCs w:val="32"/>
        </w:rPr>
        <w:t>S</w:t>
      </w:r>
      <w:r w:rsidR="00553091" w:rsidRPr="002A6ED1">
        <w:rPr>
          <w:sz w:val="32"/>
          <w:szCs w:val="32"/>
        </w:rPr>
        <w:t>tage</w:t>
      </w:r>
      <w:proofErr w:type="gramEnd"/>
      <w:r w:rsidR="00553091" w:rsidRPr="002A6ED1">
        <w:rPr>
          <w:sz w:val="32"/>
          <w:szCs w:val="32"/>
        </w:rPr>
        <w:t xml:space="preserve"> </w:t>
      </w:r>
      <w:r w:rsidR="0028154A" w:rsidRPr="002A6ED1">
        <w:rPr>
          <w:sz w:val="32"/>
          <w:szCs w:val="32"/>
        </w:rPr>
        <w:t xml:space="preserve">Cost-Benefit Analysis </w:t>
      </w:r>
    </w:p>
    <w:p w14:paraId="39FC126E" w14:textId="77777777" w:rsidR="0028154A" w:rsidRPr="007C47D0" w:rsidRDefault="0028154A" w:rsidP="0028154A">
      <w:pPr>
        <w:keepNext/>
        <w:keepLines/>
        <w:spacing w:before="240" w:after="120" w:line="240" w:lineRule="auto"/>
        <w:outlineLvl w:val="2"/>
        <w:rPr>
          <w:rFonts w:eastAsia="Arial" w:cs="Arial"/>
          <w:b/>
          <w:color w:val="000000"/>
          <w:sz w:val="28"/>
          <w:szCs w:val="28"/>
        </w:rPr>
      </w:pPr>
      <w:r w:rsidRPr="007C47D0">
        <w:rPr>
          <w:rFonts w:eastAsia="Arial" w:cs="Arial"/>
          <w:b/>
          <w:color w:val="000000"/>
          <w:sz w:val="28"/>
          <w:szCs w:val="28"/>
        </w:rPr>
        <w:t>Introduction</w:t>
      </w:r>
    </w:p>
    <w:p w14:paraId="165BCB0C" w14:textId="77777777" w:rsidR="0028154A" w:rsidRPr="0028154A" w:rsidRDefault="0028154A" w:rsidP="00CA7F1E">
      <w:pPr>
        <w:numPr>
          <w:ilvl w:val="0"/>
          <w:numId w:val="1"/>
        </w:numPr>
        <w:spacing w:before="240" w:after="120"/>
        <w:jc w:val="both"/>
      </w:pPr>
      <w:r w:rsidRPr="0028154A">
        <w:t xml:space="preserve">This section of the Options Assessment (OA) outlines in detail the </w:t>
      </w:r>
      <w:proofErr w:type="gramStart"/>
      <w:r w:rsidRPr="0028154A">
        <w:t>early stage</w:t>
      </w:r>
      <w:proofErr w:type="gramEnd"/>
      <w:r w:rsidRPr="0028154A">
        <w:t xml:space="preserve"> cost-benefit appraisal that has been undertaken for the proposed policy options outlined in the shortlist.</w:t>
      </w:r>
    </w:p>
    <w:p w14:paraId="5A8950F7" w14:textId="77777777" w:rsidR="0028154A" w:rsidRPr="0028154A" w:rsidRDefault="0028154A" w:rsidP="00CA7F1E">
      <w:pPr>
        <w:numPr>
          <w:ilvl w:val="0"/>
          <w:numId w:val="1"/>
        </w:numPr>
        <w:spacing w:before="240" w:after="120"/>
        <w:jc w:val="both"/>
      </w:pPr>
      <w:r w:rsidRPr="0028154A">
        <w:t>The policy proposals relate to intervention in the emerging carbon capture, utilisation and storage (CCUS) industry, looking specifically at transportation and storage, as well as the offshore hydrogen production industry.</w:t>
      </w:r>
    </w:p>
    <w:p w14:paraId="60F40A1E" w14:textId="26654B68" w:rsidR="0028154A" w:rsidRPr="0028154A" w:rsidRDefault="0028154A" w:rsidP="00CA7F1E">
      <w:pPr>
        <w:numPr>
          <w:ilvl w:val="0"/>
          <w:numId w:val="1"/>
        </w:numPr>
        <w:spacing w:before="240" w:after="120"/>
        <w:jc w:val="both"/>
      </w:pPr>
      <w:r w:rsidRPr="0028154A">
        <w:t>The appraisal includes the option to use legislation to amend the major hazard regulatory regimes. In the case of CCUS this includes both the onshore and offshore regimes. Hydrogen production would only be brought into scope of the offshore major hazard regime</w:t>
      </w:r>
      <w:r w:rsidR="00ED7CC2">
        <w:t xml:space="preserve"> as </w:t>
      </w:r>
      <w:r w:rsidR="00C80B1D">
        <w:t xml:space="preserve">existing major hazards </w:t>
      </w:r>
      <w:r w:rsidR="00D3305E">
        <w:t>regulation</w:t>
      </w:r>
      <w:r w:rsidR="00C80B1D">
        <w:t xml:space="preserve"> is appliable to the transport and storage of hydrogen onshore</w:t>
      </w:r>
      <w:r w:rsidRPr="0028154A">
        <w:t>.</w:t>
      </w:r>
    </w:p>
    <w:p w14:paraId="0D34FA71" w14:textId="77777777" w:rsidR="0028154A" w:rsidRPr="007C47D0" w:rsidRDefault="0028154A" w:rsidP="00CA7F1E">
      <w:pPr>
        <w:keepNext/>
        <w:keepLines/>
        <w:spacing w:before="240" w:after="120" w:line="240" w:lineRule="auto"/>
        <w:jc w:val="both"/>
        <w:outlineLvl w:val="2"/>
        <w:rPr>
          <w:rFonts w:eastAsia="Arial" w:cs="Arial"/>
          <w:b/>
          <w:color w:val="000000"/>
          <w:sz w:val="28"/>
          <w:szCs w:val="28"/>
        </w:rPr>
      </w:pPr>
      <w:r w:rsidRPr="007C47D0">
        <w:rPr>
          <w:rFonts w:eastAsia="Arial" w:cs="Arial"/>
          <w:b/>
          <w:color w:val="000000"/>
          <w:sz w:val="28"/>
          <w:szCs w:val="28"/>
        </w:rPr>
        <w:t>General Assumptions</w:t>
      </w:r>
    </w:p>
    <w:p w14:paraId="447876D9" w14:textId="316228B1" w:rsidR="0028154A" w:rsidRPr="0028154A" w:rsidRDefault="0028154A" w:rsidP="00CA7F1E">
      <w:pPr>
        <w:keepNext/>
        <w:keepLines/>
        <w:spacing w:before="240" w:after="120"/>
        <w:ind w:firstLine="360"/>
        <w:jc w:val="both"/>
        <w:outlineLvl w:val="3"/>
        <w:rPr>
          <w:b/>
          <w:szCs w:val="24"/>
        </w:rPr>
      </w:pPr>
      <w:r w:rsidRPr="0028154A">
        <w:rPr>
          <w:b/>
          <w:szCs w:val="24"/>
        </w:rPr>
        <w:t>Appraisal Period, Discounting and Base Year</w:t>
      </w:r>
    </w:p>
    <w:p w14:paraId="5C744CB4" w14:textId="037195BC" w:rsidR="0028154A" w:rsidRPr="0028154A" w:rsidRDefault="0028154A" w:rsidP="00CA7F1E">
      <w:pPr>
        <w:numPr>
          <w:ilvl w:val="0"/>
          <w:numId w:val="1"/>
        </w:numPr>
        <w:spacing w:before="240" w:after="120"/>
        <w:jc w:val="both"/>
      </w:pPr>
      <w:r w:rsidRPr="0028154A">
        <w:t>The cost analysis in this Option Assessment uses the standard ten</w:t>
      </w:r>
      <w:r w:rsidR="0084152B">
        <w:t>-</w:t>
      </w:r>
      <w:r w:rsidRPr="0028154A">
        <w:t xml:space="preserve">year appraisal period as outlined in HMT’s Green Book for indefinite legislative amendments. This covers the period beginning in 2026 (year 0). </w:t>
      </w:r>
    </w:p>
    <w:p w14:paraId="74AF887A" w14:textId="77777777" w:rsidR="0028154A" w:rsidRPr="0028154A" w:rsidRDefault="0028154A" w:rsidP="00CA7F1E">
      <w:pPr>
        <w:numPr>
          <w:ilvl w:val="0"/>
          <w:numId w:val="1"/>
        </w:numPr>
        <w:spacing w:before="240" w:after="120"/>
        <w:jc w:val="both"/>
      </w:pPr>
      <w:bookmarkStart w:id="10" w:name="_Ref177483282"/>
      <w:r w:rsidRPr="0028154A">
        <w:t>The analysis applies a discount rate of 3.5% per annum, consistent with HMT Green Book methodology.</w:t>
      </w:r>
      <w:bookmarkEnd w:id="10"/>
    </w:p>
    <w:p w14:paraId="0D13B087" w14:textId="77777777" w:rsidR="0028154A" w:rsidRPr="0028154A" w:rsidRDefault="0028154A" w:rsidP="00CA7F1E">
      <w:pPr>
        <w:numPr>
          <w:ilvl w:val="0"/>
          <w:numId w:val="1"/>
        </w:numPr>
        <w:spacing w:before="240" w:after="120"/>
        <w:jc w:val="both"/>
      </w:pPr>
      <w:r w:rsidRPr="0028154A">
        <w:t>All figures are presented in 2024 prices unless specified otherwise.</w:t>
      </w:r>
    </w:p>
    <w:p w14:paraId="4767D66D" w14:textId="77777777" w:rsidR="0028154A" w:rsidRPr="0028154A" w:rsidRDefault="0028154A" w:rsidP="00CA7F1E">
      <w:pPr>
        <w:numPr>
          <w:ilvl w:val="0"/>
          <w:numId w:val="1"/>
        </w:numPr>
        <w:spacing w:before="240" w:after="120"/>
        <w:jc w:val="both"/>
      </w:pPr>
      <w:r w:rsidRPr="0028154A">
        <w:t>Cost estimates presented in the following analysis have been rounded to two significant figures. As such, some totals and tables may not appear to sum exactly.</w:t>
      </w:r>
    </w:p>
    <w:p w14:paraId="7599F3F4" w14:textId="77777777" w:rsidR="0028154A" w:rsidRPr="007C47D0" w:rsidRDefault="0028154A" w:rsidP="00CA7F1E">
      <w:pPr>
        <w:keepNext/>
        <w:keepLines/>
        <w:spacing w:before="240" w:after="120" w:line="240" w:lineRule="auto"/>
        <w:jc w:val="both"/>
        <w:outlineLvl w:val="2"/>
        <w:rPr>
          <w:rFonts w:eastAsia="Arial" w:cs="Arial"/>
          <w:b/>
          <w:color w:val="000000"/>
          <w:sz w:val="28"/>
          <w:szCs w:val="28"/>
        </w:rPr>
      </w:pPr>
      <w:r w:rsidRPr="007C47D0">
        <w:rPr>
          <w:rFonts w:eastAsia="Arial" w:cs="Arial"/>
          <w:b/>
          <w:color w:val="000000"/>
          <w:sz w:val="28"/>
          <w:szCs w:val="28"/>
        </w:rPr>
        <w:t>Sources and Previous Research</w:t>
      </w:r>
    </w:p>
    <w:p w14:paraId="2E30C81C" w14:textId="77777777" w:rsidR="0028154A" w:rsidRPr="0028154A" w:rsidRDefault="0028154A" w:rsidP="00CA7F1E">
      <w:pPr>
        <w:keepNext/>
        <w:keepLines/>
        <w:spacing w:before="240" w:after="120"/>
        <w:ind w:firstLine="360"/>
        <w:jc w:val="both"/>
        <w:outlineLvl w:val="3"/>
        <w:rPr>
          <w:b/>
          <w:szCs w:val="24"/>
        </w:rPr>
      </w:pPr>
      <w:r w:rsidRPr="0028154A">
        <w:rPr>
          <w:b/>
          <w:szCs w:val="24"/>
        </w:rPr>
        <w:t>Costs of the Offshore Major Hazard Regulations</w:t>
      </w:r>
    </w:p>
    <w:p w14:paraId="2079A660" w14:textId="3A3D8D9B" w:rsidR="0028154A" w:rsidRPr="0028154A" w:rsidRDefault="0028154A" w:rsidP="00CA7F1E">
      <w:pPr>
        <w:numPr>
          <w:ilvl w:val="0"/>
          <w:numId w:val="1"/>
        </w:numPr>
        <w:spacing w:before="240" w:after="120"/>
        <w:jc w:val="both"/>
      </w:pPr>
      <w:r w:rsidRPr="0028154A">
        <w:t>Estimates for the cost of compliance with the offshore major hazard regulations have been drawn from existing data collected by HSE in prior assessments and evaluations. These prior assessments looked at the cost of compliance for installation</w:t>
      </w:r>
      <w:r w:rsidR="000E479B">
        <w:t>s</w:t>
      </w:r>
      <w:r w:rsidRPr="0028154A">
        <w:t xml:space="preserve"> in the oil and gas industry at the time. It has been initially assumed, based on the opinion of HSE expert inspectors, that the cost of compliance for a CCUS or Hydrogen installation would be </w:t>
      </w:r>
      <w:r w:rsidR="00941290">
        <w:t>the same</w:t>
      </w:r>
      <w:r w:rsidR="009A62DF">
        <w:t xml:space="preserve"> as the hydrocarbon </w:t>
      </w:r>
      <w:r w:rsidR="00395A06">
        <w:t>industry. This is because the actions that dutyholders will have to take to comply</w:t>
      </w:r>
      <w:r w:rsidR="00F621D2">
        <w:t>,</w:t>
      </w:r>
      <w:r w:rsidR="00395A06">
        <w:t xml:space="preserve"> </w:t>
      </w:r>
      <w:r w:rsidR="00185D26">
        <w:t xml:space="preserve">and the </w:t>
      </w:r>
      <w:r w:rsidR="00474612">
        <w:t xml:space="preserve">level of </w:t>
      </w:r>
      <w:r w:rsidR="00185D26">
        <w:t>information they will have to provide</w:t>
      </w:r>
      <w:r w:rsidR="00C30885">
        <w:t xml:space="preserve"> </w:t>
      </w:r>
      <w:proofErr w:type="gramStart"/>
      <w:r w:rsidR="00C30885">
        <w:t>in order to</w:t>
      </w:r>
      <w:proofErr w:type="gramEnd"/>
      <w:r w:rsidR="00C30885">
        <w:t xml:space="preserve"> demonstrate </w:t>
      </w:r>
      <w:r w:rsidR="00747AF6">
        <w:t xml:space="preserve">that </w:t>
      </w:r>
      <w:r w:rsidR="00EC69A3">
        <w:t xml:space="preserve">sufficient </w:t>
      </w:r>
      <w:r w:rsidR="00747AF6">
        <w:t>safety arrangements are in place</w:t>
      </w:r>
      <w:r w:rsidR="007D3C46">
        <w:t xml:space="preserve"> to manage </w:t>
      </w:r>
      <w:r w:rsidR="00526FF5">
        <w:t>an installation with major accident potential</w:t>
      </w:r>
      <w:r w:rsidR="00206663">
        <w:t>,</w:t>
      </w:r>
      <w:r w:rsidR="00526FF5">
        <w:t xml:space="preserve"> </w:t>
      </w:r>
      <w:r w:rsidR="00C56A52">
        <w:t xml:space="preserve">should require the approximately the same amount of </w:t>
      </w:r>
      <w:r w:rsidR="003243BC">
        <w:t>resource.</w:t>
      </w:r>
      <w:r w:rsidR="002B4861">
        <w:t xml:space="preserve"> </w:t>
      </w:r>
    </w:p>
    <w:p w14:paraId="362A0858" w14:textId="4BFC0EB9" w:rsidR="00F56B90" w:rsidRPr="00BA245F" w:rsidRDefault="00BB3582" w:rsidP="00B75D83">
      <w:pPr>
        <w:numPr>
          <w:ilvl w:val="0"/>
          <w:numId w:val="1"/>
        </w:numPr>
        <w:spacing w:before="240" w:after="120"/>
        <w:jc w:val="lowKashida"/>
        <w:rPr>
          <w:color w:val="FF0000"/>
        </w:rPr>
      </w:pPr>
      <w:r w:rsidRPr="00BA245F">
        <w:rPr>
          <w:color w:val="FF0000"/>
        </w:rPr>
        <w:lastRenderedPageBreak/>
        <w:t xml:space="preserve">This options assessment </w:t>
      </w:r>
      <w:proofErr w:type="gramStart"/>
      <w:r w:rsidRPr="00BA245F">
        <w:rPr>
          <w:color w:val="FF0000"/>
        </w:rPr>
        <w:t>make</w:t>
      </w:r>
      <w:proofErr w:type="gramEnd"/>
      <w:r w:rsidRPr="00BA245F">
        <w:rPr>
          <w:color w:val="FF0000"/>
        </w:rPr>
        <w:t xml:space="preserve"> use of compliance costing evidence for offshore installations from four principle sources</w:t>
      </w:r>
      <w:r w:rsidR="0053235C" w:rsidRPr="00BA245F">
        <w:rPr>
          <w:color w:val="FF0000"/>
        </w:rPr>
        <w:t xml:space="preserve">. </w:t>
      </w:r>
    </w:p>
    <w:p w14:paraId="75F0804C" w14:textId="2EF2DD8C" w:rsidR="0028154A" w:rsidRPr="00BA245F" w:rsidRDefault="00F56B90" w:rsidP="00B75D83">
      <w:pPr>
        <w:numPr>
          <w:ilvl w:val="1"/>
          <w:numId w:val="1"/>
        </w:numPr>
        <w:spacing w:before="240" w:after="120"/>
        <w:ind w:left="709"/>
        <w:jc w:val="lowKashida"/>
        <w:rPr>
          <w:color w:val="FF0000"/>
        </w:rPr>
      </w:pPr>
      <w:r w:rsidRPr="00BA245F">
        <w:rPr>
          <w:color w:val="FF0000"/>
        </w:rPr>
        <w:t>An unpublished 2012 cost assessment produced to baseline the compliance costs of</w:t>
      </w:r>
      <w:r w:rsidR="0028154A" w:rsidRPr="00BA245F">
        <w:rPr>
          <w:color w:val="FF0000"/>
        </w:rPr>
        <w:t xml:space="preserve"> the following regulations:</w:t>
      </w:r>
    </w:p>
    <w:p w14:paraId="2676D221" w14:textId="16021E4E" w:rsidR="0028154A" w:rsidRPr="00BA245F" w:rsidRDefault="0028154A" w:rsidP="00B75D83">
      <w:pPr>
        <w:numPr>
          <w:ilvl w:val="2"/>
          <w:numId w:val="1"/>
        </w:numPr>
        <w:spacing w:before="240" w:after="120"/>
        <w:ind w:left="1134"/>
        <w:jc w:val="lowKashida"/>
        <w:rPr>
          <w:color w:val="FF0000"/>
        </w:rPr>
      </w:pPr>
      <w:r w:rsidRPr="00BA245F">
        <w:rPr>
          <w:color w:val="FF0000"/>
        </w:rPr>
        <w:t>The Offshore Installations (Safety Case) Regulations 2005 (SCR</w:t>
      </w:r>
      <w:r w:rsidR="00AC724A" w:rsidRPr="00BA245F">
        <w:rPr>
          <w:color w:val="FF0000"/>
        </w:rPr>
        <w:t>05</w:t>
      </w:r>
      <w:r w:rsidRPr="00BA245F">
        <w:rPr>
          <w:color w:val="FF0000"/>
        </w:rPr>
        <w:t>).</w:t>
      </w:r>
    </w:p>
    <w:p w14:paraId="376812D5" w14:textId="14BFCEA6" w:rsidR="0028154A" w:rsidRPr="00BA245F" w:rsidRDefault="0028154A" w:rsidP="00B75D83">
      <w:pPr>
        <w:numPr>
          <w:ilvl w:val="2"/>
          <w:numId w:val="1"/>
        </w:numPr>
        <w:spacing w:before="240" w:after="120"/>
        <w:ind w:left="1134"/>
        <w:jc w:val="lowKashida"/>
        <w:rPr>
          <w:color w:val="FF0000"/>
        </w:rPr>
      </w:pPr>
      <w:r w:rsidRPr="00BA245F">
        <w:rPr>
          <w:color w:val="FF0000"/>
        </w:rPr>
        <w:t>The Offshore Installations and Wells (Design and Construction, etc) Regulations 1996 (DCR</w:t>
      </w:r>
      <w:r w:rsidR="00D62CBF" w:rsidRPr="00BA245F">
        <w:rPr>
          <w:color w:val="FF0000"/>
        </w:rPr>
        <w:t>96</w:t>
      </w:r>
      <w:r w:rsidRPr="00BA245F">
        <w:rPr>
          <w:color w:val="FF0000"/>
        </w:rPr>
        <w:t>).</w:t>
      </w:r>
    </w:p>
    <w:p w14:paraId="2EA73CDD" w14:textId="564698C6" w:rsidR="0028154A" w:rsidRPr="00BA245F" w:rsidRDefault="0028154A" w:rsidP="00B75D83">
      <w:pPr>
        <w:numPr>
          <w:ilvl w:val="2"/>
          <w:numId w:val="1"/>
        </w:numPr>
        <w:spacing w:before="240" w:after="120"/>
        <w:ind w:left="1134"/>
        <w:jc w:val="lowKashida"/>
        <w:rPr>
          <w:color w:val="FF0000"/>
        </w:rPr>
      </w:pPr>
      <w:r w:rsidRPr="00BA245F">
        <w:rPr>
          <w:color w:val="FF0000"/>
        </w:rPr>
        <w:t>The Offshore Installations and Pipeline Works (Management and Administration) Regulations 1995 (MAR</w:t>
      </w:r>
      <w:r w:rsidR="00D62CBF" w:rsidRPr="00BA245F">
        <w:rPr>
          <w:color w:val="FF0000"/>
        </w:rPr>
        <w:t>95</w:t>
      </w:r>
      <w:r w:rsidRPr="00BA245F">
        <w:rPr>
          <w:color w:val="FF0000"/>
        </w:rPr>
        <w:t>).</w:t>
      </w:r>
    </w:p>
    <w:p w14:paraId="6BB734E3" w14:textId="77777777" w:rsidR="00B75D83" w:rsidRPr="00BA245F" w:rsidRDefault="00B75D83" w:rsidP="00B75D83">
      <w:pPr>
        <w:numPr>
          <w:ilvl w:val="1"/>
          <w:numId w:val="1"/>
        </w:numPr>
        <w:spacing w:before="240" w:after="120"/>
        <w:ind w:left="709"/>
        <w:jc w:val="lowKashida"/>
        <w:rPr>
          <w:color w:val="FF0000"/>
        </w:rPr>
      </w:pPr>
      <w:r w:rsidRPr="00BA245F">
        <w:rPr>
          <w:color w:val="FF0000"/>
        </w:rPr>
        <w:t>The 2014 impact assessment of the implementation of SCR15</w:t>
      </w:r>
    </w:p>
    <w:p w14:paraId="6E74CE84" w14:textId="77777777" w:rsidR="00B75D83" w:rsidRPr="00BA245F" w:rsidRDefault="00B75D83" w:rsidP="00B75D83">
      <w:pPr>
        <w:numPr>
          <w:ilvl w:val="1"/>
          <w:numId w:val="1"/>
        </w:numPr>
        <w:spacing w:before="240" w:after="120"/>
        <w:ind w:left="709"/>
        <w:jc w:val="lowKashida"/>
        <w:rPr>
          <w:color w:val="FF0000"/>
        </w:rPr>
      </w:pPr>
      <w:r w:rsidRPr="00BA245F">
        <w:rPr>
          <w:color w:val="FF0000"/>
        </w:rPr>
        <w:t>The 2020 first post-implementation review of the implementation of SCR15</w:t>
      </w:r>
    </w:p>
    <w:p w14:paraId="12238715" w14:textId="77777777" w:rsidR="00B75D83" w:rsidRPr="00BA245F" w:rsidRDefault="00B75D83" w:rsidP="00B75D83">
      <w:pPr>
        <w:numPr>
          <w:ilvl w:val="1"/>
          <w:numId w:val="1"/>
        </w:numPr>
        <w:spacing w:before="240" w:after="120"/>
        <w:ind w:left="709"/>
        <w:jc w:val="lowKashida"/>
        <w:rPr>
          <w:color w:val="FF0000"/>
        </w:rPr>
      </w:pPr>
      <w:r w:rsidRPr="00BA245F">
        <w:rPr>
          <w:color w:val="FF0000"/>
        </w:rPr>
        <w:t>The 2025 second post-implementation review of the implementation of SCR15</w:t>
      </w:r>
    </w:p>
    <w:p w14:paraId="7801DE1B" w14:textId="77777777" w:rsidR="00B75D83" w:rsidRPr="00BA245F" w:rsidRDefault="00B75D83" w:rsidP="00B75D83">
      <w:pPr>
        <w:numPr>
          <w:ilvl w:val="0"/>
          <w:numId w:val="1"/>
        </w:numPr>
        <w:spacing w:before="240" w:after="120"/>
        <w:jc w:val="lowKashida"/>
        <w:rPr>
          <w:color w:val="FF0000"/>
        </w:rPr>
      </w:pPr>
      <w:r w:rsidRPr="00BA245F">
        <w:rPr>
          <w:color w:val="FF0000"/>
        </w:rPr>
        <w:t xml:space="preserve">The </w:t>
      </w:r>
      <w:r w:rsidRPr="00BA245F">
        <w:rPr>
          <w:b/>
          <w:bCs/>
          <w:color w:val="FF0000"/>
        </w:rPr>
        <w:t>2012 baseline cost assessment</w:t>
      </w:r>
      <w:r w:rsidRPr="00BA245F">
        <w:rPr>
          <w:color w:val="FF0000"/>
        </w:rPr>
        <w:t xml:space="preserve"> was produced to provide cost estimates to inform HSE’s approach to the development of what would become the 2013 EU Offshore Safety Directive.</w:t>
      </w:r>
      <w:r w:rsidRPr="00BA245F">
        <w:rPr>
          <w:rStyle w:val="FootnoteReference"/>
          <w:color w:val="FF0000"/>
        </w:rPr>
        <w:footnoteReference w:id="30"/>
      </w:r>
      <w:r w:rsidRPr="00BA245F">
        <w:rPr>
          <w:color w:val="FF0000"/>
        </w:rPr>
        <w:t xml:space="preserve"> The research employed a multi-stage method. We recruited representatives from several offshore operating companies via an industry trade group. </w:t>
      </w:r>
    </w:p>
    <w:p w14:paraId="7AB2BBD3" w14:textId="77777777" w:rsidR="00B75D83" w:rsidRPr="00BA245F" w:rsidRDefault="00B75D83" w:rsidP="00B75D83">
      <w:pPr>
        <w:numPr>
          <w:ilvl w:val="1"/>
          <w:numId w:val="1"/>
        </w:numPr>
        <w:spacing w:before="240" w:after="120"/>
        <w:ind w:left="1134"/>
        <w:jc w:val="lowKashida"/>
        <w:rPr>
          <w:color w:val="FF0000"/>
        </w:rPr>
      </w:pPr>
      <w:r w:rsidRPr="00BA245F">
        <w:rPr>
          <w:color w:val="FF0000"/>
        </w:rPr>
        <w:t xml:space="preserve">In the first stage of the research, we worked with the representatives to develop a question set that they believed accurately captured their operations and compliance costs; and to develop their understanding of what constituted reliable and unreliable evidence. </w:t>
      </w:r>
    </w:p>
    <w:p w14:paraId="35DC7DF9" w14:textId="77777777" w:rsidR="00B75D83" w:rsidRPr="00BA245F" w:rsidRDefault="00B75D83" w:rsidP="00B75D83">
      <w:pPr>
        <w:numPr>
          <w:ilvl w:val="1"/>
          <w:numId w:val="1"/>
        </w:numPr>
        <w:spacing w:before="240" w:after="120"/>
        <w:ind w:left="1134"/>
        <w:jc w:val="lowKashida"/>
        <w:rPr>
          <w:color w:val="FF0000"/>
        </w:rPr>
      </w:pPr>
      <w:r w:rsidRPr="00BA245F">
        <w:rPr>
          <w:color w:val="FF0000"/>
        </w:rPr>
        <w:t xml:space="preserve">In the second stage, the representatives themselves acted as researchers, taking the question set into their organisations and gathering evidence. </w:t>
      </w:r>
    </w:p>
    <w:p w14:paraId="66D977B8" w14:textId="77777777" w:rsidR="00B75D83" w:rsidRPr="00BA245F" w:rsidRDefault="00B75D83" w:rsidP="00B75D83">
      <w:pPr>
        <w:numPr>
          <w:ilvl w:val="1"/>
          <w:numId w:val="1"/>
        </w:numPr>
        <w:spacing w:before="240" w:after="120"/>
        <w:ind w:left="1134"/>
        <w:jc w:val="lowKashida"/>
        <w:rPr>
          <w:color w:val="FF0000"/>
        </w:rPr>
      </w:pPr>
      <w:r w:rsidRPr="00BA245F">
        <w:rPr>
          <w:color w:val="FF0000"/>
        </w:rPr>
        <w:t xml:space="preserve">In the third stage, the representatives brought their estimates back to the whole group to compare figures and understand variances between companies. </w:t>
      </w:r>
    </w:p>
    <w:p w14:paraId="3FD2CBE0" w14:textId="77777777" w:rsidR="00B75D83" w:rsidRPr="00BA245F" w:rsidRDefault="00B75D83" w:rsidP="00B75D83">
      <w:pPr>
        <w:numPr>
          <w:ilvl w:val="1"/>
          <w:numId w:val="1"/>
        </w:numPr>
        <w:spacing w:before="240" w:after="120"/>
        <w:ind w:left="1134"/>
        <w:jc w:val="lowKashida"/>
        <w:rPr>
          <w:color w:val="FF0000"/>
        </w:rPr>
      </w:pPr>
      <w:r w:rsidRPr="00BA245F">
        <w:rPr>
          <w:color w:val="FF0000"/>
        </w:rPr>
        <w:t xml:space="preserve">In the fourth stage, we took the agreed estimates from the group and further validated them with a separate focus group of different offshore operating companies. </w:t>
      </w:r>
    </w:p>
    <w:p w14:paraId="5657B326" w14:textId="71BFB040" w:rsidR="008F483F" w:rsidRPr="00BA245F" w:rsidRDefault="008F483F" w:rsidP="00687A1C">
      <w:pPr>
        <w:pStyle w:val="ListParagraph"/>
        <w:numPr>
          <w:ilvl w:val="0"/>
          <w:numId w:val="1"/>
        </w:numPr>
        <w:spacing w:before="240" w:after="120"/>
        <w:jc w:val="lowKashida"/>
        <w:rPr>
          <w:color w:val="FF0000"/>
        </w:rPr>
      </w:pPr>
      <w:r w:rsidRPr="00BA245F">
        <w:rPr>
          <w:color w:val="FF0000"/>
        </w:rPr>
        <w:t xml:space="preserve">The research produced mostly quantitative data – estimates for one-off and ongoing costs that included both staff costs and capital spend, but that did not include any qualitative detail on the exact activity that was generating these costs. Given the number of businesses recruited and the number of individual regulatory requirements to be costed, this was a necessary compromise. </w:t>
      </w:r>
    </w:p>
    <w:p w14:paraId="2EBC7C2E" w14:textId="27870E33" w:rsidR="037A3CC8" w:rsidRDefault="037A3CC8" w:rsidP="00795E21">
      <w:pPr>
        <w:pStyle w:val="ListParagraph"/>
        <w:spacing w:before="240" w:after="120"/>
        <w:ind w:left="360"/>
        <w:jc w:val="lowKashida"/>
      </w:pPr>
    </w:p>
    <w:p w14:paraId="7D808DD8" w14:textId="0472BDE6" w:rsidR="008F483F" w:rsidRPr="00BA245F" w:rsidRDefault="008F483F" w:rsidP="00687A1C">
      <w:pPr>
        <w:pStyle w:val="ListParagraph"/>
        <w:numPr>
          <w:ilvl w:val="0"/>
          <w:numId w:val="1"/>
        </w:numPr>
        <w:spacing w:before="240" w:after="120"/>
        <w:jc w:val="lowKashida"/>
        <w:rPr>
          <w:color w:val="FF0000"/>
        </w:rPr>
      </w:pPr>
      <w:r w:rsidRPr="00BA245F">
        <w:rPr>
          <w:color w:val="FF0000"/>
        </w:rPr>
        <w:t xml:space="preserve">The 2014 SCR15 impact assessment (IA) examined the costs of implementing SCR15, which transposed into GB law the requirements of the EU Offshore Safety Directive. As such, the SCR15 IA looked at the subsequent changes in costs relative to those </w:t>
      </w:r>
      <w:r w:rsidRPr="00BA245F">
        <w:rPr>
          <w:color w:val="FF0000"/>
        </w:rPr>
        <w:lastRenderedPageBreak/>
        <w:t xml:space="preserve">established in the baseline assessment above. The 2014 IA employed a similar method to the baseline cost assessment, repeating stages one to three with new participants and focusing on the proposed new requirements. Rather than convene a new group for stage four, we instead used comment on the costs during public consultation to provide an additional level of validation of the costs. As with the baseline assessment, the scale of the new costs to be assessed required us to focus on quantitative costs at the expense of qualitative detail. </w:t>
      </w:r>
    </w:p>
    <w:p w14:paraId="3363DEDC" w14:textId="77777777" w:rsidR="00687A1C" w:rsidRPr="00BA245F" w:rsidRDefault="00687A1C" w:rsidP="00687A1C">
      <w:pPr>
        <w:pStyle w:val="ListParagraph"/>
        <w:spacing w:before="240" w:after="120"/>
        <w:ind w:left="360"/>
        <w:jc w:val="lowKashida"/>
        <w:rPr>
          <w:color w:val="FF0000"/>
        </w:rPr>
      </w:pPr>
    </w:p>
    <w:p w14:paraId="47CE9DE4" w14:textId="02148885" w:rsidR="008F483F" w:rsidRPr="00BA245F" w:rsidRDefault="008F483F" w:rsidP="00687A1C">
      <w:pPr>
        <w:pStyle w:val="ListParagraph"/>
        <w:numPr>
          <w:ilvl w:val="0"/>
          <w:numId w:val="1"/>
        </w:numPr>
        <w:spacing w:before="240" w:after="120"/>
        <w:jc w:val="lowKashida"/>
        <w:rPr>
          <w:color w:val="FF0000"/>
        </w:rPr>
      </w:pPr>
      <w:r w:rsidRPr="00BA245F">
        <w:rPr>
          <w:color w:val="FF0000"/>
        </w:rPr>
        <w:t xml:space="preserve">The 2020 post-implementation review (PIR) re-examined the one-off transition costs of SCR15 estimated in the 2014 IA. The 2020 PIR looked at the one-off transitional costs only as the three-year transition period had only recently completed and it was too early to examine the ongoing annual costs. The 2020 PIR used an industry survey to gather views on the validity of the IA cost estimates and made several revisions to estimates to better reflect industry’s actual experience. </w:t>
      </w:r>
    </w:p>
    <w:p w14:paraId="0A05068C" w14:textId="77777777" w:rsidR="00687A1C" w:rsidRPr="00BA245F" w:rsidRDefault="00687A1C" w:rsidP="00687A1C">
      <w:pPr>
        <w:pStyle w:val="ListParagraph"/>
        <w:spacing w:before="240" w:after="120"/>
        <w:ind w:left="360"/>
        <w:jc w:val="lowKashida"/>
        <w:rPr>
          <w:color w:val="FF0000"/>
        </w:rPr>
      </w:pPr>
    </w:p>
    <w:p w14:paraId="5C8C0892" w14:textId="7481AB1E" w:rsidR="008F483F" w:rsidRPr="00BA245F" w:rsidRDefault="008F483F" w:rsidP="00687A1C">
      <w:pPr>
        <w:pStyle w:val="ListParagraph"/>
        <w:numPr>
          <w:ilvl w:val="0"/>
          <w:numId w:val="1"/>
        </w:numPr>
        <w:spacing w:before="240" w:after="120"/>
        <w:jc w:val="lowKashida"/>
        <w:rPr>
          <w:color w:val="FF0000"/>
        </w:rPr>
      </w:pPr>
      <w:r w:rsidRPr="00BA245F">
        <w:rPr>
          <w:color w:val="FF0000"/>
        </w:rPr>
        <w:t xml:space="preserve">The 2025 </w:t>
      </w:r>
      <w:r w:rsidR="3099C132" w:rsidRPr="00BA245F">
        <w:rPr>
          <w:color w:val="FF0000"/>
        </w:rPr>
        <w:t>PIR</w:t>
      </w:r>
      <w:r w:rsidR="0986E2CE" w:rsidRPr="00BA245F">
        <w:rPr>
          <w:color w:val="FF0000"/>
        </w:rPr>
        <w:t xml:space="preserve"> </w:t>
      </w:r>
      <w:r w:rsidRPr="00BA245F">
        <w:rPr>
          <w:color w:val="FF0000"/>
        </w:rPr>
        <w:t xml:space="preserve">took the same approach for the ongoing annual costs and found that those costs from the 2014 IA it re-examined were broadly correct. </w:t>
      </w:r>
    </w:p>
    <w:p w14:paraId="22039198" w14:textId="77777777" w:rsidR="00687A1C" w:rsidRPr="00BA245F" w:rsidRDefault="00687A1C" w:rsidP="00687A1C">
      <w:pPr>
        <w:pStyle w:val="ListParagraph"/>
        <w:spacing w:before="240" w:after="120"/>
        <w:ind w:left="360"/>
        <w:jc w:val="lowKashida"/>
        <w:rPr>
          <w:color w:val="FF0000"/>
        </w:rPr>
      </w:pPr>
    </w:p>
    <w:p w14:paraId="2D738D57" w14:textId="5B1A7B93" w:rsidR="00B75D83" w:rsidRPr="00BA245F" w:rsidRDefault="008F483F" w:rsidP="00687A1C">
      <w:pPr>
        <w:pStyle w:val="ListParagraph"/>
        <w:numPr>
          <w:ilvl w:val="0"/>
          <w:numId w:val="1"/>
        </w:numPr>
        <w:spacing w:before="240" w:after="120"/>
        <w:jc w:val="lowKashida"/>
        <w:rPr>
          <w:color w:val="FF0000"/>
        </w:rPr>
      </w:pPr>
      <w:r w:rsidRPr="00BA245F">
        <w:rPr>
          <w:color w:val="FF0000"/>
        </w:rPr>
        <w:t>So, cost estimates in this options assessment for SCR15 employ the 2012 baseline assessment of SCR05, with additions from the 2014 IA and subsequent validation of the IA estimates from the two PIRs.</w:t>
      </w:r>
    </w:p>
    <w:p w14:paraId="23AFA1E7" w14:textId="144A70E4" w:rsidR="00735AC4" w:rsidRPr="0028154A" w:rsidRDefault="0028154A" w:rsidP="00735AC4">
      <w:pPr>
        <w:numPr>
          <w:ilvl w:val="0"/>
          <w:numId w:val="1"/>
        </w:numPr>
        <w:spacing w:before="240" w:after="120"/>
        <w:jc w:val="both"/>
      </w:pPr>
      <w:r w:rsidRPr="0028154A">
        <w:t>Estimates for the cost of compliance with MAR</w:t>
      </w:r>
      <w:r w:rsidR="00B46D69">
        <w:t>95</w:t>
      </w:r>
      <w:r w:rsidRPr="0028154A">
        <w:t xml:space="preserve"> and DCR</w:t>
      </w:r>
      <w:r w:rsidR="00B46D69">
        <w:t>96</w:t>
      </w:r>
      <w:r w:rsidRPr="0028154A">
        <w:t xml:space="preserve"> have been taken entirely from the 2012 baseline </w:t>
      </w:r>
      <w:r w:rsidR="00735AC4">
        <w:t>assessment as the duties remain unchanged and have not been reassessed by subsequent research</w:t>
      </w:r>
      <w:r w:rsidR="00735AC4" w:rsidRPr="0028154A">
        <w:t>.</w:t>
      </w:r>
    </w:p>
    <w:p w14:paraId="3874C604" w14:textId="059FC3E6" w:rsidR="0028154A" w:rsidRDefault="0028154A" w:rsidP="00CA7F1E">
      <w:pPr>
        <w:numPr>
          <w:ilvl w:val="0"/>
          <w:numId w:val="1"/>
        </w:numPr>
        <w:spacing w:before="240" w:after="120"/>
        <w:jc w:val="both"/>
      </w:pPr>
      <w:r w:rsidRPr="0028154A">
        <w:t>Compliance costs from the previous assessments were originally estimated in different price years. The 2012 IA in 2011 prices, the 2015 IA in 2014 prices, and the 2020 PIR in 2018 prices. All cost estimates have been uprated to 2024 prices in this OA using the GDP deflator.</w:t>
      </w:r>
    </w:p>
    <w:p w14:paraId="61A4F010" w14:textId="39C9E479" w:rsidR="00B85585" w:rsidRPr="0028154A" w:rsidRDefault="00B85585" w:rsidP="00CA7F1E">
      <w:pPr>
        <w:numPr>
          <w:ilvl w:val="0"/>
          <w:numId w:val="1"/>
        </w:numPr>
        <w:spacing w:before="240" w:after="120"/>
        <w:jc w:val="both"/>
      </w:pPr>
      <w:r>
        <w:t xml:space="preserve">The validity </w:t>
      </w:r>
      <w:r w:rsidR="00D074E3">
        <w:t>of th</w:t>
      </w:r>
      <w:r w:rsidR="007859D1">
        <w:t xml:space="preserve">ese cost estimates and their applicability to the </w:t>
      </w:r>
      <w:r w:rsidR="00BC4C57">
        <w:t xml:space="preserve">offshore CCUS and hydrogen production industries will be tested </w:t>
      </w:r>
      <w:r w:rsidR="008911F3">
        <w:t>as part of the public consultation.</w:t>
      </w:r>
    </w:p>
    <w:p w14:paraId="72DD6603" w14:textId="77777777" w:rsidR="0028154A" w:rsidRPr="0028154A" w:rsidRDefault="0028154A" w:rsidP="00CA7F1E">
      <w:pPr>
        <w:keepNext/>
        <w:keepLines/>
        <w:spacing w:before="240" w:after="120"/>
        <w:ind w:firstLine="360"/>
        <w:jc w:val="both"/>
        <w:outlineLvl w:val="3"/>
        <w:rPr>
          <w:b/>
          <w:szCs w:val="24"/>
        </w:rPr>
      </w:pPr>
      <w:r w:rsidRPr="0028154A">
        <w:rPr>
          <w:b/>
          <w:szCs w:val="24"/>
        </w:rPr>
        <w:t>Costs of the Pipelines Safety Regulations (PSR) 1996</w:t>
      </w:r>
    </w:p>
    <w:p w14:paraId="329F63C6" w14:textId="00BD295A" w:rsidR="0028154A" w:rsidRPr="0028154A" w:rsidRDefault="0028154A" w:rsidP="00CA7F1E">
      <w:pPr>
        <w:numPr>
          <w:ilvl w:val="0"/>
          <w:numId w:val="1"/>
        </w:numPr>
        <w:spacing w:before="240" w:after="120"/>
        <w:jc w:val="both"/>
        <w:rPr>
          <w:bCs/>
          <w:szCs w:val="24"/>
        </w:rPr>
      </w:pPr>
      <w:r w:rsidRPr="0028154A">
        <w:rPr>
          <w:bCs/>
          <w:szCs w:val="24"/>
        </w:rPr>
        <w:t>All pipelines, including those transporting CO</w:t>
      </w:r>
      <w:r w:rsidRPr="000436FA">
        <w:rPr>
          <w:bCs/>
          <w:szCs w:val="24"/>
          <w:vertAlign w:val="subscript"/>
        </w:rPr>
        <w:t>2</w:t>
      </w:r>
      <w:r w:rsidRPr="0028154A">
        <w:rPr>
          <w:bCs/>
          <w:szCs w:val="24"/>
        </w:rPr>
        <w:t xml:space="preserve"> for CCUS, are currently required to comply with </w:t>
      </w:r>
      <w:r w:rsidR="007C6A21">
        <w:rPr>
          <w:bCs/>
          <w:szCs w:val="24"/>
        </w:rPr>
        <w:t>‘</w:t>
      </w:r>
      <w:r w:rsidR="00E12B86">
        <w:rPr>
          <w:bCs/>
          <w:szCs w:val="24"/>
        </w:rPr>
        <w:t>P</w:t>
      </w:r>
      <w:r w:rsidRPr="0028154A">
        <w:rPr>
          <w:bCs/>
          <w:szCs w:val="24"/>
        </w:rPr>
        <w:t>art 1 and</w:t>
      </w:r>
      <w:r w:rsidR="00E12B86">
        <w:rPr>
          <w:bCs/>
          <w:szCs w:val="24"/>
        </w:rPr>
        <w:t xml:space="preserve"> Part</w:t>
      </w:r>
      <w:r w:rsidRPr="0028154A">
        <w:rPr>
          <w:bCs/>
          <w:szCs w:val="24"/>
        </w:rPr>
        <w:t xml:space="preserve"> 2</w:t>
      </w:r>
      <w:r w:rsidR="007C6A21">
        <w:rPr>
          <w:bCs/>
          <w:szCs w:val="24"/>
        </w:rPr>
        <w:t>’</w:t>
      </w:r>
      <w:r w:rsidRPr="0028154A">
        <w:rPr>
          <w:bCs/>
          <w:szCs w:val="24"/>
        </w:rPr>
        <w:t xml:space="preserve"> of PSR</w:t>
      </w:r>
      <w:r w:rsidR="00B46D69">
        <w:rPr>
          <w:bCs/>
          <w:szCs w:val="24"/>
        </w:rPr>
        <w:t>96</w:t>
      </w:r>
      <w:r w:rsidRPr="0028154A">
        <w:rPr>
          <w:bCs/>
          <w:szCs w:val="24"/>
        </w:rPr>
        <w:t>. ‘Part 3’ of PSR</w:t>
      </w:r>
      <w:r w:rsidR="00B46D69">
        <w:rPr>
          <w:bCs/>
          <w:szCs w:val="24"/>
        </w:rPr>
        <w:t>96</w:t>
      </w:r>
      <w:r w:rsidRPr="0028154A">
        <w:rPr>
          <w:bCs/>
          <w:szCs w:val="24"/>
        </w:rPr>
        <w:t xml:space="preserve"> is applied only to major accident hazard pipelines carrying designated ‘dangerous </w:t>
      </w:r>
      <w:proofErr w:type="gramStart"/>
      <w:r w:rsidRPr="0028154A">
        <w:rPr>
          <w:bCs/>
          <w:szCs w:val="24"/>
        </w:rPr>
        <w:t>fluids’</w:t>
      </w:r>
      <w:proofErr w:type="gramEnd"/>
      <w:r w:rsidRPr="0028154A">
        <w:rPr>
          <w:bCs/>
          <w:szCs w:val="24"/>
        </w:rPr>
        <w:t>.  Options being appraised include the potential designation of CO</w:t>
      </w:r>
      <w:r w:rsidRPr="000436FA">
        <w:rPr>
          <w:bCs/>
          <w:szCs w:val="24"/>
          <w:vertAlign w:val="subscript"/>
        </w:rPr>
        <w:t>2</w:t>
      </w:r>
      <w:r w:rsidRPr="0028154A">
        <w:rPr>
          <w:bCs/>
          <w:szCs w:val="24"/>
        </w:rPr>
        <w:t xml:space="preserve"> as a ‘dangerous fluid’, bringing it into scope of ‘</w:t>
      </w:r>
      <w:r w:rsidR="00CA2ECD">
        <w:rPr>
          <w:bCs/>
          <w:szCs w:val="24"/>
        </w:rPr>
        <w:t>P</w:t>
      </w:r>
      <w:r w:rsidRPr="0028154A">
        <w:rPr>
          <w:bCs/>
          <w:szCs w:val="24"/>
        </w:rPr>
        <w:t xml:space="preserve">art 3’. The cost appraisal therefore requires estimates for the cost of the operator of a </w:t>
      </w:r>
      <w:r w:rsidR="009136F7" w:rsidRPr="0028154A">
        <w:rPr>
          <w:bCs/>
          <w:szCs w:val="24"/>
        </w:rPr>
        <w:t>CO</w:t>
      </w:r>
      <w:r w:rsidR="009136F7" w:rsidRPr="00A71753">
        <w:rPr>
          <w:bCs/>
          <w:szCs w:val="24"/>
          <w:vertAlign w:val="subscript"/>
        </w:rPr>
        <w:t>2</w:t>
      </w:r>
      <w:r w:rsidR="009136F7">
        <w:rPr>
          <w:bCs/>
          <w:szCs w:val="24"/>
          <w:vertAlign w:val="subscript"/>
        </w:rPr>
        <w:t xml:space="preserve"> </w:t>
      </w:r>
      <w:r w:rsidRPr="0028154A">
        <w:rPr>
          <w:bCs/>
          <w:szCs w:val="24"/>
        </w:rPr>
        <w:t>pipeline complying with ‘</w:t>
      </w:r>
      <w:r w:rsidR="00D00E87">
        <w:rPr>
          <w:bCs/>
          <w:szCs w:val="24"/>
        </w:rPr>
        <w:t>P</w:t>
      </w:r>
      <w:r w:rsidRPr="0028154A">
        <w:rPr>
          <w:bCs/>
          <w:szCs w:val="24"/>
        </w:rPr>
        <w:t>art 3’ of PSR</w:t>
      </w:r>
      <w:r w:rsidR="00B46D69">
        <w:rPr>
          <w:bCs/>
          <w:szCs w:val="24"/>
        </w:rPr>
        <w:t>96</w:t>
      </w:r>
      <w:r w:rsidR="008B18EC">
        <w:rPr>
          <w:bCs/>
          <w:szCs w:val="24"/>
        </w:rPr>
        <w:t xml:space="preserve"> (given that they should already be complying with </w:t>
      </w:r>
      <w:r w:rsidR="00D00E87">
        <w:rPr>
          <w:bCs/>
          <w:szCs w:val="24"/>
        </w:rPr>
        <w:t>P</w:t>
      </w:r>
      <w:r w:rsidR="008B18EC">
        <w:rPr>
          <w:bCs/>
          <w:szCs w:val="24"/>
        </w:rPr>
        <w:t>arts 1 and 2)</w:t>
      </w:r>
      <w:r w:rsidRPr="0028154A">
        <w:rPr>
          <w:bCs/>
          <w:szCs w:val="24"/>
        </w:rPr>
        <w:t>.</w:t>
      </w:r>
    </w:p>
    <w:p w14:paraId="27C35EF3" w14:textId="0FEAEEB1" w:rsidR="0028154A" w:rsidRPr="0028154A" w:rsidRDefault="0028154A" w:rsidP="00CA7F1E">
      <w:pPr>
        <w:numPr>
          <w:ilvl w:val="0"/>
          <w:numId w:val="1"/>
        </w:numPr>
        <w:spacing w:before="240" w:after="120"/>
        <w:jc w:val="both"/>
        <w:rPr>
          <w:bCs/>
          <w:szCs w:val="24"/>
        </w:rPr>
      </w:pPr>
      <w:r w:rsidRPr="0028154A">
        <w:rPr>
          <w:bCs/>
          <w:szCs w:val="24"/>
        </w:rPr>
        <w:t xml:space="preserve">As with the Offshore Major Hazard regulations, HSE expert inspectors have agreed the initial assumption that compliance costs are likely to be approximately the same for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pipelines as for existing major hazard pipelines due to roughly the same actions being required to comply. Estimates for the cost of compliance with ‘</w:t>
      </w:r>
      <w:r w:rsidR="00D00E87">
        <w:rPr>
          <w:bCs/>
          <w:szCs w:val="24"/>
        </w:rPr>
        <w:t>P</w:t>
      </w:r>
      <w:r w:rsidRPr="0028154A">
        <w:rPr>
          <w:bCs/>
          <w:szCs w:val="24"/>
        </w:rPr>
        <w:t xml:space="preserve">art 3’ for existing major hazard pipelines in general can therefore be applied reasonably to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pipelines.</w:t>
      </w:r>
    </w:p>
    <w:p w14:paraId="0D1E56B7" w14:textId="3E217970" w:rsidR="0028154A" w:rsidRPr="0028154A" w:rsidRDefault="0028154A" w:rsidP="00CA7F1E">
      <w:pPr>
        <w:numPr>
          <w:ilvl w:val="0"/>
          <w:numId w:val="1"/>
        </w:numPr>
        <w:spacing w:before="240" w:after="120"/>
        <w:jc w:val="both"/>
        <w:rPr>
          <w:bCs/>
          <w:szCs w:val="24"/>
        </w:rPr>
      </w:pPr>
      <w:r w:rsidRPr="0028154A">
        <w:rPr>
          <w:bCs/>
          <w:szCs w:val="24"/>
        </w:rPr>
        <w:lastRenderedPageBreak/>
        <w:t>No impact assessment or post-implementation review is available for PSR</w:t>
      </w:r>
      <w:r w:rsidR="004046BB">
        <w:rPr>
          <w:bCs/>
          <w:szCs w:val="24"/>
        </w:rPr>
        <w:t>96</w:t>
      </w:r>
      <w:r w:rsidR="000436FA">
        <w:rPr>
          <w:bCs/>
          <w:szCs w:val="24"/>
        </w:rPr>
        <w:t xml:space="preserve"> </w:t>
      </w:r>
      <w:r w:rsidRPr="0028154A">
        <w:rPr>
          <w:bCs/>
          <w:szCs w:val="24"/>
        </w:rPr>
        <w:t>due to the age of the regulations, meaning that cost data doesn’t readily exist for compliance with PSR. It has therefore been determined that the best approach to gathering cost data for these regulations is to conduct a survey of industry.</w:t>
      </w:r>
    </w:p>
    <w:p w14:paraId="5FF15410" w14:textId="58FEA1DC" w:rsidR="0028154A" w:rsidRPr="0028154A" w:rsidRDefault="0028154A" w:rsidP="00CA7F1E">
      <w:pPr>
        <w:numPr>
          <w:ilvl w:val="0"/>
          <w:numId w:val="1"/>
        </w:numPr>
        <w:spacing w:before="240" w:after="120"/>
        <w:jc w:val="both"/>
        <w:rPr>
          <w:bCs/>
          <w:szCs w:val="24"/>
        </w:rPr>
      </w:pPr>
      <w:r w:rsidRPr="0028154A">
        <w:rPr>
          <w:bCs/>
          <w:szCs w:val="24"/>
        </w:rPr>
        <w:t>HSE have engaged with the UK Onshore Pipeline Operators Association (UKOPA), a trade body representing 29 companies operating of 27,000km of pipelines, and conducted a survey of its members. The survey on the cost of complying with ‘</w:t>
      </w:r>
      <w:r w:rsidR="00E5199C">
        <w:rPr>
          <w:bCs/>
          <w:szCs w:val="24"/>
        </w:rPr>
        <w:t>P</w:t>
      </w:r>
      <w:r w:rsidRPr="0028154A">
        <w:rPr>
          <w:bCs/>
          <w:szCs w:val="24"/>
        </w:rPr>
        <w:t>art 3’ of PSR was circulated to members with the backing of the board.</w:t>
      </w:r>
    </w:p>
    <w:p w14:paraId="4832E2BF" w14:textId="2E79D84A" w:rsidR="0028154A" w:rsidRPr="0028154A" w:rsidRDefault="0028154A" w:rsidP="00CA7F1E">
      <w:pPr>
        <w:numPr>
          <w:ilvl w:val="0"/>
          <w:numId w:val="1"/>
        </w:numPr>
        <w:spacing w:before="240" w:after="120"/>
        <w:jc w:val="both"/>
        <w:rPr>
          <w:bCs/>
          <w:szCs w:val="24"/>
        </w:rPr>
      </w:pPr>
      <w:r w:rsidRPr="0028154A">
        <w:rPr>
          <w:bCs/>
          <w:szCs w:val="24"/>
        </w:rPr>
        <w:t>Respondents were offered t</w:t>
      </w:r>
      <w:r w:rsidR="00387A0C">
        <w:rPr>
          <w:bCs/>
          <w:szCs w:val="24"/>
        </w:rPr>
        <w:t>he</w:t>
      </w:r>
      <w:r w:rsidRPr="0028154A">
        <w:rPr>
          <w:bCs/>
          <w:szCs w:val="24"/>
        </w:rPr>
        <w:t xml:space="preserve"> opportunity to provide cost estimates for each of the regulations in ‘</w:t>
      </w:r>
      <w:r w:rsidR="00387A0C">
        <w:rPr>
          <w:bCs/>
          <w:szCs w:val="24"/>
        </w:rPr>
        <w:t>P</w:t>
      </w:r>
      <w:r w:rsidRPr="0028154A">
        <w:rPr>
          <w:bCs/>
          <w:szCs w:val="24"/>
        </w:rPr>
        <w:t>art 3’ of PSR</w:t>
      </w:r>
      <w:r w:rsidR="00E371BF">
        <w:rPr>
          <w:bCs/>
          <w:szCs w:val="24"/>
        </w:rPr>
        <w:t>96</w:t>
      </w:r>
      <w:r w:rsidRPr="0028154A">
        <w:rPr>
          <w:bCs/>
          <w:szCs w:val="24"/>
        </w:rPr>
        <w:t>, with each regulation broken down into upfront and ongoing annual costs, as well as separated into labour and capital costs where appropriate. An opportunity was also provided for respondents to provide some qualitative context to help us assess their interpretation of the actions included in their cost estimates.</w:t>
      </w:r>
    </w:p>
    <w:p w14:paraId="633199AB" w14:textId="452DC008" w:rsidR="0028154A" w:rsidRPr="007268C3" w:rsidRDefault="0028154A" w:rsidP="00CA7F1E">
      <w:pPr>
        <w:numPr>
          <w:ilvl w:val="0"/>
          <w:numId w:val="1"/>
        </w:numPr>
        <w:spacing w:before="240" w:after="120"/>
        <w:jc w:val="both"/>
        <w:rPr>
          <w:bCs/>
          <w:szCs w:val="24"/>
        </w:rPr>
      </w:pPr>
      <w:r w:rsidRPr="0028154A">
        <w:rPr>
          <w:bCs/>
          <w:szCs w:val="24"/>
        </w:rPr>
        <w:t xml:space="preserve">The survey received 15 responses containing some information, </w:t>
      </w:r>
      <w:r w:rsidR="00297B86">
        <w:rPr>
          <w:bCs/>
          <w:szCs w:val="24"/>
        </w:rPr>
        <w:t>but</w:t>
      </w:r>
      <w:r w:rsidRPr="0028154A">
        <w:rPr>
          <w:bCs/>
          <w:szCs w:val="24"/>
        </w:rPr>
        <w:t xml:space="preserve"> a number of these </w:t>
      </w:r>
      <w:r w:rsidR="00B27667">
        <w:rPr>
          <w:bCs/>
          <w:szCs w:val="24"/>
        </w:rPr>
        <w:t>advised</w:t>
      </w:r>
      <w:r w:rsidRPr="0028154A">
        <w:rPr>
          <w:bCs/>
          <w:szCs w:val="24"/>
        </w:rPr>
        <w:t xml:space="preserve"> that the regulations being asked about were not applicable to their pipelines. </w:t>
      </w:r>
      <w:r w:rsidR="00297B86">
        <w:rPr>
          <w:bCs/>
          <w:szCs w:val="24"/>
        </w:rPr>
        <w:t xml:space="preserve">Eight </w:t>
      </w:r>
      <w:r w:rsidRPr="0028154A">
        <w:rPr>
          <w:bCs/>
          <w:szCs w:val="24"/>
        </w:rPr>
        <w:t xml:space="preserve">respondents provided some form of meaningful cost data, although not </w:t>
      </w:r>
      <w:proofErr w:type="gramStart"/>
      <w:r w:rsidRPr="0028154A">
        <w:rPr>
          <w:bCs/>
          <w:szCs w:val="24"/>
        </w:rPr>
        <w:t>all of</w:t>
      </w:r>
      <w:proofErr w:type="gramEnd"/>
      <w:r w:rsidRPr="0028154A">
        <w:rPr>
          <w:bCs/>
          <w:szCs w:val="24"/>
        </w:rPr>
        <w:t xml:space="preserve"> these respondents provided cost data for every question.</w:t>
      </w:r>
      <w:r w:rsidR="007268C3">
        <w:rPr>
          <w:bCs/>
          <w:szCs w:val="24"/>
        </w:rPr>
        <w:t xml:space="preserve"> </w:t>
      </w:r>
      <w:r w:rsidR="007268C3" w:rsidRPr="0028154A">
        <w:rPr>
          <w:bCs/>
          <w:szCs w:val="24"/>
        </w:rPr>
        <w:t xml:space="preserve">The data in the responses was then presented to HSE pipeline safety experts </w:t>
      </w:r>
      <w:proofErr w:type="gramStart"/>
      <w:r w:rsidR="007268C3" w:rsidRPr="0028154A">
        <w:rPr>
          <w:bCs/>
          <w:szCs w:val="24"/>
        </w:rPr>
        <w:t>in order to</w:t>
      </w:r>
      <w:proofErr w:type="gramEnd"/>
      <w:r w:rsidR="007268C3" w:rsidRPr="0028154A">
        <w:rPr>
          <w:bCs/>
          <w:szCs w:val="24"/>
        </w:rPr>
        <w:t xml:space="preserve"> help interpret the outputs and consider their feasibility, representativity and applicability to CO</w:t>
      </w:r>
      <w:r w:rsidR="007268C3" w:rsidRPr="00A71753">
        <w:rPr>
          <w:bCs/>
          <w:szCs w:val="24"/>
          <w:vertAlign w:val="subscript"/>
        </w:rPr>
        <w:t>2</w:t>
      </w:r>
      <w:r w:rsidR="007268C3">
        <w:rPr>
          <w:bCs/>
          <w:szCs w:val="24"/>
          <w:vertAlign w:val="subscript"/>
        </w:rPr>
        <w:t xml:space="preserve"> </w:t>
      </w:r>
      <w:r w:rsidR="007268C3" w:rsidRPr="0028154A">
        <w:rPr>
          <w:bCs/>
          <w:szCs w:val="24"/>
        </w:rPr>
        <w:t>pipelines.</w:t>
      </w:r>
      <w:r w:rsidRPr="007268C3">
        <w:rPr>
          <w:bCs/>
          <w:szCs w:val="24"/>
        </w:rPr>
        <w:t xml:space="preserve"> While this response rate has been deemed suitable for informing the initial cost-benefit analysis in this OA, these costs will need to be verified further at consultation stage.</w:t>
      </w:r>
    </w:p>
    <w:p w14:paraId="57608A02" w14:textId="0411AFB6" w:rsidR="0028154A" w:rsidRPr="0028154A" w:rsidRDefault="0028154A" w:rsidP="00CA7F1E">
      <w:pPr>
        <w:keepNext/>
        <w:keepLines/>
        <w:spacing w:before="240" w:after="120"/>
        <w:ind w:firstLine="360"/>
        <w:jc w:val="both"/>
        <w:outlineLvl w:val="3"/>
        <w:rPr>
          <w:b/>
          <w:szCs w:val="24"/>
        </w:rPr>
      </w:pPr>
      <w:r w:rsidRPr="0028154A">
        <w:rPr>
          <w:b/>
          <w:szCs w:val="24"/>
        </w:rPr>
        <w:t>Industry Size over the Appraisal Period</w:t>
      </w:r>
    </w:p>
    <w:p w14:paraId="2D9B5D2C" w14:textId="560DBD4B" w:rsidR="0028154A" w:rsidRPr="0028154A" w:rsidRDefault="0028154A" w:rsidP="00CA7F1E">
      <w:pPr>
        <w:numPr>
          <w:ilvl w:val="0"/>
          <w:numId w:val="1"/>
        </w:numPr>
        <w:spacing w:before="240" w:after="120"/>
        <w:jc w:val="both"/>
        <w:rPr>
          <w:bCs/>
          <w:szCs w:val="24"/>
        </w:rPr>
      </w:pPr>
      <w:proofErr w:type="gramStart"/>
      <w:r w:rsidRPr="0028154A">
        <w:rPr>
          <w:bCs/>
          <w:szCs w:val="24"/>
        </w:rPr>
        <w:t>In order to</w:t>
      </w:r>
      <w:proofErr w:type="gramEnd"/>
      <w:r w:rsidRPr="0028154A">
        <w:rPr>
          <w:bCs/>
          <w:szCs w:val="24"/>
        </w:rPr>
        <w:t xml:space="preserve"> estimate the total costs to business and therefore the total social impact of the options for intervention, the unit costs of compliance derived from the above sources have to </w:t>
      </w:r>
      <w:r w:rsidR="00405260">
        <w:rPr>
          <w:bCs/>
          <w:szCs w:val="24"/>
        </w:rPr>
        <w:t xml:space="preserve">be </w:t>
      </w:r>
      <w:r w:rsidRPr="0028154A">
        <w:rPr>
          <w:bCs/>
          <w:szCs w:val="24"/>
        </w:rPr>
        <w:t xml:space="preserve">extrapolated across estimates of industry size. In particular, the appraisal requires estimates of the number of offshore CCUS and hydrogen production installations that will be operated, and the number of onshore CCUS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pipelines to be operated.</w:t>
      </w:r>
    </w:p>
    <w:p w14:paraId="3C523C3F" w14:textId="75767EC2" w:rsidR="0028154A" w:rsidRPr="0028154A" w:rsidRDefault="0028154A" w:rsidP="00CA7F1E">
      <w:pPr>
        <w:numPr>
          <w:ilvl w:val="0"/>
          <w:numId w:val="1"/>
        </w:numPr>
        <w:spacing w:before="240" w:after="120"/>
        <w:jc w:val="both"/>
        <w:rPr>
          <w:bCs/>
          <w:szCs w:val="24"/>
        </w:rPr>
      </w:pPr>
      <w:r w:rsidRPr="0028154A">
        <w:rPr>
          <w:bCs/>
          <w:szCs w:val="24"/>
        </w:rPr>
        <w:t xml:space="preserve">The offshore hydrogen and carbon capture industries are not yet </w:t>
      </w:r>
      <w:r w:rsidR="00D514DB">
        <w:rPr>
          <w:bCs/>
          <w:szCs w:val="24"/>
        </w:rPr>
        <w:t>estab</w:t>
      </w:r>
      <w:r w:rsidR="00150CF4">
        <w:rPr>
          <w:bCs/>
          <w:szCs w:val="24"/>
        </w:rPr>
        <w:t>lished</w:t>
      </w:r>
      <w:r w:rsidRPr="0028154A">
        <w:rPr>
          <w:bCs/>
          <w:szCs w:val="24"/>
        </w:rPr>
        <w:t xml:space="preserve"> in terms of installations and pipelines in operation. They are however </w:t>
      </w:r>
      <w:r w:rsidR="00FE4DF3">
        <w:rPr>
          <w:bCs/>
          <w:szCs w:val="24"/>
        </w:rPr>
        <w:t>intended</w:t>
      </w:r>
      <w:r w:rsidRPr="0028154A">
        <w:rPr>
          <w:bCs/>
          <w:szCs w:val="24"/>
        </w:rPr>
        <w:t xml:space="preserve"> to play a significant role </w:t>
      </w:r>
      <w:r w:rsidR="005157A6">
        <w:rPr>
          <w:bCs/>
          <w:szCs w:val="24"/>
        </w:rPr>
        <w:t>i</w:t>
      </w:r>
      <w:r w:rsidRPr="0028154A">
        <w:rPr>
          <w:bCs/>
          <w:szCs w:val="24"/>
        </w:rPr>
        <w:t xml:space="preserve">n UK decarbonisation and the meeting of </w:t>
      </w:r>
      <w:r w:rsidR="00150CF4">
        <w:rPr>
          <w:bCs/>
          <w:szCs w:val="24"/>
        </w:rPr>
        <w:t>N</w:t>
      </w:r>
      <w:r w:rsidRPr="0028154A">
        <w:rPr>
          <w:bCs/>
          <w:szCs w:val="24"/>
        </w:rPr>
        <w:t>et</w:t>
      </w:r>
      <w:r w:rsidR="00150CF4">
        <w:rPr>
          <w:bCs/>
          <w:szCs w:val="24"/>
        </w:rPr>
        <w:t xml:space="preserve"> Z</w:t>
      </w:r>
      <w:r w:rsidRPr="0028154A">
        <w:rPr>
          <w:bCs/>
          <w:szCs w:val="24"/>
        </w:rPr>
        <w:t>ero targets. As such, these industries are expected to grow across the next decade, in part due to government support in their initial deployment.</w:t>
      </w:r>
      <w:r w:rsidR="00FE4DF3">
        <w:rPr>
          <w:bCs/>
          <w:szCs w:val="24"/>
        </w:rPr>
        <w:t xml:space="preserve"> </w:t>
      </w:r>
      <w:r w:rsidR="00642BF0">
        <w:rPr>
          <w:bCs/>
          <w:szCs w:val="24"/>
        </w:rPr>
        <w:t>T</w:t>
      </w:r>
      <w:r w:rsidR="00642BF0" w:rsidRPr="0028154A">
        <w:rPr>
          <w:bCs/>
          <w:szCs w:val="24"/>
        </w:rPr>
        <w:t>he Department for Energy Security and Net</w:t>
      </w:r>
      <w:r w:rsidR="00150CF4">
        <w:rPr>
          <w:bCs/>
          <w:szCs w:val="24"/>
        </w:rPr>
        <w:t xml:space="preserve"> </w:t>
      </w:r>
      <w:r w:rsidR="00642BF0" w:rsidRPr="0028154A">
        <w:rPr>
          <w:bCs/>
          <w:szCs w:val="24"/>
        </w:rPr>
        <w:t>Zero (DESNZ)</w:t>
      </w:r>
      <w:r w:rsidR="00642BF0">
        <w:rPr>
          <w:bCs/>
          <w:szCs w:val="24"/>
        </w:rPr>
        <w:t xml:space="preserve"> are currently </w:t>
      </w:r>
      <w:r w:rsidR="009C52D6">
        <w:rPr>
          <w:bCs/>
          <w:szCs w:val="24"/>
        </w:rPr>
        <w:t xml:space="preserve">engaged with businesses in </w:t>
      </w:r>
      <w:r w:rsidR="00166416">
        <w:rPr>
          <w:bCs/>
          <w:szCs w:val="24"/>
        </w:rPr>
        <w:t xml:space="preserve">the </w:t>
      </w:r>
      <w:r w:rsidR="00E7567B">
        <w:rPr>
          <w:bCs/>
          <w:szCs w:val="24"/>
        </w:rPr>
        <w:t xml:space="preserve">development of operations </w:t>
      </w:r>
      <w:r w:rsidR="002A3800">
        <w:rPr>
          <w:bCs/>
          <w:szCs w:val="24"/>
        </w:rPr>
        <w:t xml:space="preserve">and allocating funding </w:t>
      </w:r>
      <w:r w:rsidR="00763256">
        <w:rPr>
          <w:bCs/>
          <w:szCs w:val="24"/>
        </w:rPr>
        <w:t>to projects</w:t>
      </w:r>
      <w:r w:rsidR="00A54FB1">
        <w:rPr>
          <w:bCs/>
          <w:szCs w:val="24"/>
        </w:rPr>
        <w:t xml:space="preserve"> via the </w:t>
      </w:r>
      <w:r w:rsidR="00FB2E82">
        <w:rPr>
          <w:bCs/>
          <w:szCs w:val="24"/>
        </w:rPr>
        <w:t xml:space="preserve">hydrogen allocation rounds (HAR) and </w:t>
      </w:r>
      <w:r w:rsidR="001A5532">
        <w:rPr>
          <w:bCs/>
          <w:szCs w:val="24"/>
        </w:rPr>
        <w:t>CCUS Trac</w:t>
      </w:r>
      <w:r w:rsidR="00E25A5F">
        <w:rPr>
          <w:bCs/>
          <w:szCs w:val="24"/>
        </w:rPr>
        <w:t>k-1 and Trac</w:t>
      </w:r>
      <w:r w:rsidR="00B850DE">
        <w:rPr>
          <w:bCs/>
          <w:szCs w:val="24"/>
        </w:rPr>
        <w:t>k-2 clusters</w:t>
      </w:r>
      <w:r w:rsidR="008D72AA">
        <w:rPr>
          <w:bCs/>
          <w:szCs w:val="24"/>
        </w:rPr>
        <w:t>.</w:t>
      </w:r>
    </w:p>
    <w:p w14:paraId="39DE1FDE" w14:textId="39FAA99B" w:rsidR="0028154A" w:rsidRPr="0028154A" w:rsidRDefault="0028154A" w:rsidP="00CA7F1E">
      <w:pPr>
        <w:numPr>
          <w:ilvl w:val="0"/>
          <w:numId w:val="1"/>
        </w:numPr>
        <w:spacing w:before="240" w:after="120"/>
        <w:ind w:left="357" w:hanging="357"/>
        <w:jc w:val="both"/>
        <w:rPr>
          <w:bCs/>
          <w:szCs w:val="24"/>
        </w:rPr>
      </w:pPr>
      <w:proofErr w:type="gramStart"/>
      <w:r w:rsidRPr="0028154A">
        <w:rPr>
          <w:bCs/>
          <w:szCs w:val="24"/>
        </w:rPr>
        <w:t>In order to</w:t>
      </w:r>
      <w:proofErr w:type="gramEnd"/>
      <w:r w:rsidRPr="0028154A">
        <w:rPr>
          <w:bCs/>
          <w:szCs w:val="24"/>
        </w:rPr>
        <w:t xml:space="preserve"> derive an accurate estimate of the growth of the sector across the appraisal period, HSE have engaged DESNZ</w:t>
      </w:r>
      <w:r w:rsidR="00FC3A5B">
        <w:rPr>
          <w:bCs/>
          <w:szCs w:val="24"/>
        </w:rPr>
        <w:t xml:space="preserve"> as</w:t>
      </w:r>
      <w:r w:rsidRPr="0028154A">
        <w:rPr>
          <w:bCs/>
          <w:szCs w:val="24"/>
        </w:rPr>
        <w:t xml:space="preserve"> the government department leading responsibility for driving deployment of CCUS and hydrogen production through investment and support packages designed to incentivise deployment through rounds of funding.</w:t>
      </w:r>
    </w:p>
    <w:p w14:paraId="19795F78" w14:textId="356EACB4" w:rsidR="0028154A" w:rsidRPr="0028154A" w:rsidRDefault="0028154A" w:rsidP="00CA7F1E">
      <w:pPr>
        <w:numPr>
          <w:ilvl w:val="0"/>
          <w:numId w:val="1"/>
        </w:numPr>
        <w:spacing w:before="240" w:after="120"/>
        <w:ind w:left="357" w:hanging="357"/>
        <w:jc w:val="both"/>
        <w:rPr>
          <w:bCs/>
          <w:szCs w:val="24"/>
        </w:rPr>
      </w:pPr>
      <w:r w:rsidRPr="0028154A">
        <w:rPr>
          <w:bCs/>
          <w:szCs w:val="24"/>
        </w:rPr>
        <w:t>In the case of hydrogen production, the Hydrogen Production Business Model (HPBM) began providing support through an initial hydrogen allocation round (HAR1)</w:t>
      </w:r>
      <w:r w:rsidR="00131BA9">
        <w:rPr>
          <w:bCs/>
          <w:szCs w:val="24"/>
        </w:rPr>
        <w:t xml:space="preserve">. </w:t>
      </w:r>
      <w:proofErr w:type="gramStart"/>
      <w:r w:rsidR="00131BA9">
        <w:rPr>
          <w:bCs/>
          <w:szCs w:val="24"/>
        </w:rPr>
        <w:t>H</w:t>
      </w:r>
      <w:r w:rsidRPr="0028154A">
        <w:rPr>
          <w:bCs/>
          <w:szCs w:val="24"/>
        </w:rPr>
        <w:t>owever</w:t>
      </w:r>
      <w:proofErr w:type="gramEnd"/>
      <w:r w:rsidRPr="0028154A">
        <w:rPr>
          <w:bCs/>
          <w:szCs w:val="24"/>
        </w:rPr>
        <w:t xml:space="preserve"> the successful projects do not include offshore production of hydrogen and no ‘at scale’ </w:t>
      </w:r>
      <w:r w:rsidRPr="0028154A">
        <w:rPr>
          <w:bCs/>
          <w:szCs w:val="24"/>
        </w:rPr>
        <w:lastRenderedPageBreak/>
        <w:t xml:space="preserve">offshore production </w:t>
      </w:r>
      <w:r w:rsidR="00662777">
        <w:rPr>
          <w:bCs/>
          <w:szCs w:val="24"/>
        </w:rPr>
        <w:t xml:space="preserve">has reached advanced stages of </w:t>
      </w:r>
      <w:r w:rsidR="00664568">
        <w:rPr>
          <w:bCs/>
          <w:szCs w:val="24"/>
        </w:rPr>
        <w:t>development,</w:t>
      </w:r>
      <w:r w:rsidRPr="0028154A">
        <w:rPr>
          <w:bCs/>
          <w:szCs w:val="24"/>
        </w:rPr>
        <w:t xml:space="preserve"> making it </w:t>
      </w:r>
      <w:r w:rsidR="00143D0A">
        <w:rPr>
          <w:bCs/>
          <w:szCs w:val="24"/>
        </w:rPr>
        <w:t xml:space="preserve">currently </w:t>
      </w:r>
      <w:r w:rsidRPr="0028154A">
        <w:rPr>
          <w:bCs/>
          <w:szCs w:val="24"/>
        </w:rPr>
        <w:t>uncertain to what extent the industry is likely to develop.</w:t>
      </w:r>
    </w:p>
    <w:p w14:paraId="60502D92" w14:textId="75813F16" w:rsidR="0028154A" w:rsidRPr="0028154A" w:rsidRDefault="0028154A" w:rsidP="00CA7F1E">
      <w:pPr>
        <w:numPr>
          <w:ilvl w:val="0"/>
          <w:numId w:val="1"/>
        </w:numPr>
        <w:spacing w:before="240" w:after="120"/>
        <w:ind w:left="357" w:hanging="357"/>
        <w:jc w:val="both"/>
        <w:rPr>
          <w:bCs/>
          <w:szCs w:val="24"/>
        </w:rPr>
      </w:pPr>
      <w:r w:rsidRPr="0028154A">
        <w:rPr>
          <w:bCs/>
          <w:szCs w:val="24"/>
        </w:rPr>
        <w:t>In the case of CCUS</w:t>
      </w:r>
      <w:r w:rsidR="008652D7">
        <w:rPr>
          <w:bCs/>
          <w:szCs w:val="24"/>
        </w:rPr>
        <w:t>,</w:t>
      </w:r>
      <w:r w:rsidRPr="0028154A">
        <w:rPr>
          <w:bCs/>
          <w:szCs w:val="24"/>
        </w:rPr>
        <w:t xml:space="preserve"> deployment so far includes support for four industrial clusters including transport and storage. Whilst some information is available publicly around the projects that have received funding and are in development, this information does not contain specific detail around the amount of infrastructure (pipelines and offshore installations) the projects are developing. As part of the responsibility for sector growth</w:t>
      </w:r>
      <w:r w:rsidR="00F23416">
        <w:rPr>
          <w:bCs/>
          <w:szCs w:val="24"/>
        </w:rPr>
        <w:t>,</w:t>
      </w:r>
      <w:r w:rsidRPr="0028154A">
        <w:rPr>
          <w:bCs/>
          <w:szCs w:val="24"/>
        </w:rPr>
        <w:t xml:space="preserve"> DESNZ have received more detailed information from the operators around their transport and storage plans. HSE has requested this information in an anonymised form </w:t>
      </w:r>
      <w:r w:rsidR="00412F97">
        <w:rPr>
          <w:bCs/>
          <w:szCs w:val="24"/>
        </w:rPr>
        <w:t>to support</w:t>
      </w:r>
      <w:r w:rsidRPr="0028154A">
        <w:rPr>
          <w:bCs/>
          <w:szCs w:val="24"/>
        </w:rPr>
        <w:t xml:space="preserve"> the economic analysis by providing estimates on the aggregate number of installations and pipelines, whil</w:t>
      </w:r>
      <w:r w:rsidR="004D1A08">
        <w:rPr>
          <w:bCs/>
          <w:szCs w:val="24"/>
        </w:rPr>
        <w:t>e</w:t>
      </w:r>
      <w:r w:rsidRPr="0028154A">
        <w:rPr>
          <w:bCs/>
          <w:szCs w:val="24"/>
        </w:rPr>
        <w:t xml:space="preserve"> remaining sensitive to commercial confidentiality around individual projects. Challenges around sensitivity of data have meant that DESNZ have been unable to provide the relevant information in time to contribute to this OA.</w:t>
      </w:r>
      <w:r w:rsidR="000965C5">
        <w:rPr>
          <w:bCs/>
          <w:szCs w:val="24"/>
        </w:rPr>
        <w:t xml:space="preserve"> </w:t>
      </w:r>
      <w:r w:rsidR="001555A6">
        <w:rPr>
          <w:bCs/>
          <w:szCs w:val="24"/>
        </w:rPr>
        <w:t xml:space="preserve">To prevent any delay to the potential legislative timetable </w:t>
      </w:r>
      <w:r w:rsidR="00D65208">
        <w:rPr>
          <w:bCs/>
          <w:szCs w:val="24"/>
        </w:rPr>
        <w:t xml:space="preserve">HSE have decided to progress with the OA without this data but will continue to </w:t>
      </w:r>
      <w:r w:rsidR="00AD326C">
        <w:rPr>
          <w:bCs/>
          <w:szCs w:val="24"/>
        </w:rPr>
        <w:t>consult with DESNZ</w:t>
      </w:r>
      <w:r w:rsidR="00146BDA">
        <w:rPr>
          <w:bCs/>
          <w:szCs w:val="24"/>
        </w:rPr>
        <w:t xml:space="preserve"> as the analysis progresses.</w:t>
      </w:r>
    </w:p>
    <w:p w14:paraId="728B1A43" w14:textId="12BA0453" w:rsidR="005D7D81" w:rsidRDefault="0028154A" w:rsidP="00CA7F1E">
      <w:pPr>
        <w:numPr>
          <w:ilvl w:val="0"/>
          <w:numId w:val="1"/>
        </w:numPr>
        <w:spacing w:before="240" w:after="120"/>
        <w:ind w:left="357" w:hanging="357"/>
        <w:jc w:val="both"/>
      </w:pPr>
      <w:bookmarkStart w:id="11" w:name="_Ref177995861"/>
      <w:bookmarkStart w:id="12" w:name="_Ref178943602"/>
      <w:r w:rsidRPr="0028154A">
        <w:t>As an alternative, the North Sea Transition Authority (NSTA) data on the number of licenses granted for CCUS activities has been used to estimate the number of installations. HSE inspectors advised that the 27 licenses</w:t>
      </w:r>
      <w:r w:rsidRPr="7450AA6D">
        <w:t xml:space="preserve"> </w:t>
      </w:r>
      <w:r w:rsidR="00874A99" w:rsidRPr="7450AA6D">
        <w:t>already</w:t>
      </w:r>
      <w:r w:rsidRPr="0028154A">
        <w:t xml:space="preserve"> currently granted</w:t>
      </w:r>
      <w:r w:rsidR="00E560A9" w:rsidRPr="7450AA6D">
        <w:rPr>
          <w:rStyle w:val="FootnoteReference"/>
        </w:rPr>
        <w:footnoteReference w:id="31"/>
      </w:r>
      <w:r w:rsidRPr="0028154A">
        <w:t xml:space="preserve"> were </w:t>
      </w:r>
      <w:r w:rsidR="002354DF">
        <w:t xml:space="preserve">reasonably </w:t>
      </w:r>
      <w:r w:rsidRPr="0028154A">
        <w:t xml:space="preserve">likely to </w:t>
      </w:r>
      <w:r w:rsidR="00030B6F">
        <w:t xml:space="preserve">begin the </w:t>
      </w:r>
      <w:r w:rsidR="00A87559">
        <w:t xml:space="preserve">regulatory </w:t>
      </w:r>
      <w:r w:rsidR="00030B6F">
        <w:t xml:space="preserve">process </w:t>
      </w:r>
      <w:r w:rsidR="00A87559">
        <w:t>towards</w:t>
      </w:r>
      <w:r w:rsidR="00030B6F">
        <w:t xml:space="preserve"> </w:t>
      </w:r>
      <w:r w:rsidRPr="0028154A">
        <w:t>becom</w:t>
      </w:r>
      <w:r w:rsidR="00030B6F">
        <w:t>ing</w:t>
      </w:r>
      <w:r w:rsidRPr="0028154A">
        <w:t xml:space="preserve"> operational</w:t>
      </w:r>
      <w:r w:rsidR="00A87559">
        <w:rPr>
          <w:rStyle w:val="FootnoteReference"/>
        </w:rPr>
        <w:footnoteReference w:id="32"/>
      </w:r>
      <w:r w:rsidRPr="0028154A">
        <w:t xml:space="preserve"> </w:t>
      </w:r>
      <w:r w:rsidR="00ED439C">
        <w:t>prior</w:t>
      </w:r>
      <w:r w:rsidR="00372BA0">
        <w:t xml:space="preserve"> to 20</w:t>
      </w:r>
      <w:r w:rsidR="00A96107">
        <w:t>36</w:t>
      </w:r>
      <w:r w:rsidRPr="0028154A">
        <w:t xml:space="preserve">, but </w:t>
      </w:r>
      <w:r w:rsidR="002F0ABE">
        <w:t xml:space="preserve">any </w:t>
      </w:r>
      <w:r w:rsidRPr="0028154A">
        <w:t xml:space="preserve">licenses granted in the coming years would likely become operational outside the appraisal period. Additionally, it was advised that each licensed field was likely to have just one installation, as multiple installations in a field would not be economically advantageous. It is therefore assumed that there </w:t>
      </w:r>
      <w:r w:rsidR="00361ED1">
        <w:t>could</w:t>
      </w:r>
      <w:r w:rsidR="00361ED1" w:rsidRPr="0028154A">
        <w:t xml:space="preserve"> </w:t>
      </w:r>
      <w:r w:rsidRPr="0028154A">
        <w:t xml:space="preserve">be 27 CCUS installations over the ten-year appraisal period. </w:t>
      </w:r>
      <w:r w:rsidR="005D7D81">
        <w:t>This is a</w:t>
      </w:r>
      <w:r w:rsidR="009E6235">
        <w:t xml:space="preserve"> high-level assumption that </w:t>
      </w:r>
      <w:r w:rsidR="007021AD">
        <w:t xml:space="preserve">will be improved in </w:t>
      </w:r>
      <w:r w:rsidR="0089324B">
        <w:t>the ongoing analysis.</w:t>
      </w:r>
      <w:r w:rsidR="0048231A">
        <w:t xml:space="preserve"> Currently there is no clear consensus on the likely size and growth rate of the industry</w:t>
      </w:r>
      <w:r w:rsidR="00783CB8">
        <w:t>.</w:t>
      </w:r>
    </w:p>
    <w:p w14:paraId="7EF135F8" w14:textId="1BA527FB" w:rsidR="0028154A" w:rsidRPr="0028154A" w:rsidRDefault="0028154A" w:rsidP="00CA7F1E">
      <w:pPr>
        <w:numPr>
          <w:ilvl w:val="0"/>
          <w:numId w:val="1"/>
        </w:numPr>
        <w:spacing w:before="240" w:after="120"/>
        <w:ind w:left="357" w:hanging="357"/>
        <w:jc w:val="both"/>
      </w:pPr>
      <w:r w:rsidRPr="0028154A">
        <w:t xml:space="preserve">It has also been assumed </w:t>
      </w:r>
      <w:r w:rsidR="000A2D36">
        <w:t>the installations</w:t>
      </w:r>
      <w:r w:rsidRPr="0028154A">
        <w:t xml:space="preserve"> will become operational at a constant rate (2.7 new installations per annum on average). It is likely that more installations will become operational towards the end of the period given that the industry is new, </w:t>
      </w:r>
      <w:r w:rsidR="00392ECF" w:rsidRPr="7450AA6D">
        <w:t>but</w:t>
      </w:r>
      <w:r w:rsidRPr="0028154A">
        <w:t xml:space="preserve"> assuming a constant rate maintains simplicity and errs on the side of greater costs</w:t>
      </w:r>
      <w:bookmarkEnd w:id="11"/>
      <w:r w:rsidR="00B01CF2" w:rsidRPr="7450AA6D">
        <w:t xml:space="preserve"> once discounting is applied</w:t>
      </w:r>
      <w:r w:rsidRPr="0028154A">
        <w:rPr>
          <w:bCs/>
          <w:szCs w:val="24"/>
        </w:rPr>
        <w:t>.</w:t>
      </w:r>
      <w:bookmarkEnd w:id="12"/>
      <w:r w:rsidR="00E64A7E">
        <w:t xml:space="preserve"> </w:t>
      </w:r>
      <w:r w:rsidR="00257005">
        <w:fldChar w:fldCharType="begin"/>
      </w:r>
      <w:r w:rsidR="00257005">
        <w:instrText xml:space="preserve"> REF _Ref178944192 \h </w:instrText>
      </w:r>
      <w:r w:rsidR="00257005" w:rsidRPr="007C47D0">
        <w:rPr>
          <w:bCs/>
          <w:szCs w:val="24"/>
        </w:rPr>
        <w:instrText xml:space="preserve"> \* MERGEFORMAT </w:instrText>
      </w:r>
      <w:r w:rsidR="00257005">
        <w:rPr>
          <w:bCs/>
          <w:szCs w:val="24"/>
        </w:rPr>
        <w:fldChar w:fldCharType="separate"/>
      </w:r>
      <w:r w:rsidR="0086161D">
        <w:t xml:space="preserve">Figure </w:t>
      </w:r>
      <w:r w:rsidR="0086161D" w:rsidRPr="007C47D0">
        <w:t>2</w:t>
      </w:r>
      <w:r w:rsidR="00257005">
        <w:fldChar w:fldCharType="end"/>
      </w:r>
      <w:r w:rsidR="00257005">
        <w:t xml:space="preserve"> </w:t>
      </w:r>
      <w:r w:rsidR="00F573F5">
        <w:t xml:space="preserve">demonstrates </w:t>
      </w:r>
      <w:r w:rsidR="00932F92">
        <w:t xml:space="preserve">how the cost per installation has been aggregated across the sector </w:t>
      </w:r>
      <w:proofErr w:type="gramStart"/>
      <w:r w:rsidR="00932F92">
        <w:t>on the basis of</w:t>
      </w:r>
      <w:proofErr w:type="gramEnd"/>
      <w:r w:rsidR="00932F92">
        <w:t xml:space="preserve"> an assumed 2.7 new installations per annum.</w:t>
      </w:r>
    </w:p>
    <w:p w14:paraId="06B05592" w14:textId="77777777" w:rsidR="0028154A" w:rsidRPr="0028154A" w:rsidRDefault="0028154A" w:rsidP="00CA7F1E">
      <w:pPr>
        <w:numPr>
          <w:ilvl w:val="0"/>
          <w:numId w:val="1"/>
        </w:numPr>
        <w:spacing w:before="240" w:after="120"/>
        <w:ind w:left="357" w:hanging="357"/>
        <w:jc w:val="both"/>
        <w:rPr>
          <w:bCs/>
          <w:szCs w:val="24"/>
        </w:rPr>
      </w:pPr>
      <w:r w:rsidRPr="0028154A">
        <w:rPr>
          <w:bCs/>
          <w:szCs w:val="24"/>
        </w:rPr>
        <w:t xml:space="preserve">In developing the cost-benefit appraisal, an average cost ‘per offshore installation’ and ‘per pipeline’ has first been developed </w:t>
      </w:r>
      <w:proofErr w:type="gramStart"/>
      <w:r w:rsidRPr="0028154A">
        <w:rPr>
          <w:bCs/>
          <w:szCs w:val="24"/>
        </w:rPr>
        <w:t>in order to</w:t>
      </w:r>
      <w:proofErr w:type="gramEnd"/>
      <w:r w:rsidRPr="0028154A">
        <w:rPr>
          <w:bCs/>
          <w:szCs w:val="24"/>
        </w:rPr>
        <w:t xml:space="preserve"> demonstrate the impacts per unit. These have then been extrapolated across industry where possible (for offshore CCUS) </w:t>
      </w:r>
      <w:proofErr w:type="gramStart"/>
      <w:r w:rsidRPr="0028154A">
        <w:rPr>
          <w:bCs/>
          <w:szCs w:val="24"/>
        </w:rPr>
        <w:t>in order to</w:t>
      </w:r>
      <w:proofErr w:type="gramEnd"/>
      <w:r w:rsidRPr="0028154A">
        <w:rPr>
          <w:bCs/>
          <w:szCs w:val="24"/>
        </w:rPr>
        <w:t xml:space="preserve"> estimate the aggregate social impact.</w:t>
      </w:r>
    </w:p>
    <w:p w14:paraId="35CF79DD" w14:textId="77777777" w:rsidR="0028154A" w:rsidRPr="007C47D0" w:rsidRDefault="0028154A" w:rsidP="00CA7F1E">
      <w:pPr>
        <w:keepNext/>
        <w:keepLines/>
        <w:spacing w:before="240" w:after="120" w:line="240" w:lineRule="auto"/>
        <w:jc w:val="both"/>
        <w:outlineLvl w:val="2"/>
        <w:rPr>
          <w:rFonts w:eastAsia="Arial" w:cs="Arial"/>
          <w:b/>
          <w:color w:val="000000"/>
          <w:sz w:val="28"/>
          <w:szCs w:val="28"/>
        </w:rPr>
      </w:pPr>
      <w:r w:rsidRPr="007C47D0">
        <w:rPr>
          <w:rFonts w:eastAsia="Arial" w:cs="Arial"/>
          <w:b/>
          <w:color w:val="000000"/>
          <w:sz w:val="28"/>
          <w:szCs w:val="28"/>
        </w:rPr>
        <w:lastRenderedPageBreak/>
        <w:t>Benefits</w:t>
      </w:r>
    </w:p>
    <w:p w14:paraId="7382D31F" w14:textId="77777777" w:rsidR="0028154A" w:rsidRPr="0028154A" w:rsidRDefault="0028154A" w:rsidP="00CA7F1E">
      <w:pPr>
        <w:numPr>
          <w:ilvl w:val="0"/>
          <w:numId w:val="1"/>
        </w:numPr>
        <w:spacing w:before="240" w:after="120"/>
        <w:ind w:left="357" w:hanging="357"/>
        <w:jc w:val="both"/>
        <w:rPr>
          <w:bCs/>
          <w:szCs w:val="24"/>
        </w:rPr>
      </w:pPr>
      <w:bookmarkStart w:id="13" w:name="_Ref178004718"/>
      <w:r w:rsidRPr="0028154A">
        <w:rPr>
          <w:bCs/>
          <w:szCs w:val="24"/>
        </w:rPr>
        <w:t>This section outlines the general intended benefits of any intervention in offshore and onshore pipeline major hazards. The section ‘options under consideration’ describes in more detail the degree to which each option is expected to capture these benefits.</w:t>
      </w:r>
    </w:p>
    <w:p w14:paraId="7CEA432B" w14:textId="7DCB70DC" w:rsidR="0028154A" w:rsidRPr="0028154A" w:rsidRDefault="0028154A" w:rsidP="00CA7F1E">
      <w:pPr>
        <w:numPr>
          <w:ilvl w:val="0"/>
          <w:numId w:val="1"/>
        </w:numPr>
        <w:spacing w:before="240" w:after="120"/>
        <w:ind w:left="357" w:hanging="357"/>
        <w:jc w:val="both"/>
      </w:pPr>
      <w:r w:rsidRPr="0028154A">
        <w:t>The options under consideration are intended to reduce the likelihood of major accidents for the sectors in scope. This should provide further protection for the safety of offshore and pipeline workers and members of the public. This also limits the potential for damage to infrastructure and loss of production capacity, as well as avoided environmental costs.</w:t>
      </w:r>
      <w:bookmarkEnd w:id="13"/>
      <w:r w:rsidR="003A3193">
        <w:t xml:space="preserve"> As such, this can be viewed as correcting a</w:t>
      </w:r>
      <w:r w:rsidR="00E53279">
        <w:t xml:space="preserve">n externality as there is the risk of an under-provision of </w:t>
      </w:r>
      <w:r w:rsidR="00AC2653">
        <w:t xml:space="preserve">safety mitigation due to businesses not internalising the </w:t>
      </w:r>
      <w:r w:rsidR="00DD3B02">
        <w:t>costs to workers, households</w:t>
      </w:r>
      <w:r w:rsidR="006478B6">
        <w:t>,</w:t>
      </w:r>
      <w:r w:rsidR="00DD3B02">
        <w:t xml:space="preserve"> government </w:t>
      </w:r>
      <w:r w:rsidR="006478B6">
        <w:t xml:space="preserve">and broader industry </w:t>
      </w:r>
      <w:r w:rsidR="00DD3B02">
        <w:t>in t</w:t>
      </w:r>
      <w:r w:rsidR="00C361FB">
        <w:t>he event of an accident.</w:t>
      </w:r>
      <w:r w:rsidR="00AD193A">
        <w:t xml:space="preserve"> Additionally, </w:t>
      </w:r>
      <w:r w:rsidR="00E60522">
        <w:t xml:space="preserve">there is the correction of information failures by ensuring that operators </w:t>
      </w:r>
      <w:r w:rsidR="005869ED">
        <w:t>fully understand risks and how to control for them.</w:t>
      </w:r>
    </w:p>
    <w:p w14:paraId="421FD304" w14:textId="581C70B6" w:rsidR="0028154A" w:rsidRPr="0028154A" w:rsidRDefault="0028154A" w:rsidP="00CA7F1E">
      <w:pPr>
        <w:numPr>
          <w:ilvl w:val="0"/>
          <w:numId w:val="1"/>
        </w:numPr>
        <w:spacing w:before="240" w:after="120"/>
        <w:ind w:left="357" w:hanging="357"/>
        <w:jc w:val="both"/>
        <w:rPr>
          <w:bCs/>
          <w:szCs w:val="24"/>
        </w:rPr>
      </w:pPr>
      <w:r w:rsidRPr="0028154A">
        <w:rPr>
          <w:bCs/>
          <w:szCs w:val="24"/>
        </w:rPr>
        <w:t xml:space="preserve">Major accidents offshore or involving onshore pipelines are rare but where they do </w:t>
      </w:r>
      <w:proofErr w:type="gramStart"/>
      <w:r w:rsidRPr="0028154A">
        <w:rPr>
          <w:bCs/>
          <w:szCs w:val="24"/>
        </w:rPr>
        <w:t>occur</w:t>
      </w:r>
      <w:proofErr w:type="gramEnd"/>
      <w:r w:rsidRPr="0028154A">
        <w:rPr>
          <w:bCs/>
          <w:szCs w:val="24"/>
        </w:rPr>
        <w:t xml:space="preserve"> they can have devastating and irreversible consequences. The impact of a major accident involving </w:t>
      </w:r>
      <w:proofErr w:type="gramStart"/>
      <w:r w:rsidRPr="0028154A">
        <w:rPr>
          <w:bCs/>
          <w:szCs w:val="24"/>
        </w:rPr>
        <w:t>CCUS</w:t>
      </w:r>
      <w:proofErr w:type="gramEnd"/>
      <w:r w:rsidRPr="0028154A">
        <w:rPr>
          <w:bCs/>
          <w:szCs w:val="24"/>
        </w:rPr>
        <w:t xml:space="preserve"> or hydrogen is not clear as these are new industries and </w:t>
      </w:r>
      <w:r w:rsidR="005B4E1E">
        <w:rPr>
          <w:bCs/>
          <w:szCs w:val="24"/>
        </w:rPr>
        <w:t xml:space="preserve">any regulatory framework is intended to </w:t>
      </w:r>
      <w:r w:rsidR="000B0ED4">
        <w:rPr>
          <w:bCs/>
          <w:szCs w:val="24"/>
        </w:rPr>
        <w:t>ensure appropriate controls are in place</w:t>
      </w:r>
      <w:r w:rsidR="00B500E4">
        <w:rPr>
          <w:bCs/>
          <w:szCs w:val="24"/>
        </w:rPr>
        <w:t xml:space="preserve">. </w:t>
      </w:r>
      <w:proofErr w:type="gramStart"/>
      <w:r w:rsidR="00B500E4">
        <w:rPr>
          <w:bCs/>
          <w:szCs w:val="24"/>
        </w:rPr>
        <w:t>H</w:t>
      </w:r>
      <w:r w:rsidRPr="0028154A">
        <w:rPr>
          <w:bCs/>
          <w:szCs w:val="24"/>
        </w:rPr>
        <w:t>owever</w:t>
      </w:r>
      <w:proofErr w:type="gramEnd"/>
      <w:r w:rsidRPr="0028154A">
        <w:rPr>
          <w:bCs/>
          <w:szCs w:val="24"/>
        </w:rPr>
        <w:t xml:space="preserve"> it is possible to demonstrate the scale of impacts where accidents have occurred on offshore installations or at major hazard pipelines in existing sectors with major hazard potential. It is important to note that the risk profile differs between these examples and CCUS transport and storage and hydrogen production but similarities in scale of impact are likely.</w:t>
      </w:r>
    </w:p>
    <w:p w14:paraId="2CEF4E0F" w14:textId="6131893A" w:rsidR="0028154A" w:rsidRPr="007C47D0" w:rsidRDefault="0028154A" w:rsidP="00CA7F1E">
      <w:pPr>
        <w:numPr>
          <w:ilvl w:val="0"/>
          <w:numId w:val="1"/>
        </w:numPr>
        <w:spacing w:before="240" w:after="120"/>
        <w:contextualSpacing/>
        <w:jc w:val="both"/>
      </w:pPr>
      <w:r w:rsidRPr="50739565">
        <w:t xml:space="preserve">The Piper Alpha disaster in 1988 took place in the North Sea and was the </w:t>
      </w:r>
      <w:r w:rsidR="45B92A94" w:rsidRPr="50739565">
        <w:t>incident that led to a major overhaul of regulation</w:t>
      </w:r>
      <w:r w:rsidRPr="50739565">
        <w:t>.</w:t>
      </w:r>
      <w:r w:rsidRPr="006025E9">
        <w:t xml:space="preserve"> </w:t>
      </w:r>
      <w:r w:rsidR="7797D9DA" w:rsidRPr="007C47D0">
        <w:t>One of the key recommendations was the requirement for the operator/</w:t>
      </w:r>
      <w:r w:rsidR="00713138">
        <w:t xml:space="preserve"> </w:t>
      </w:r>
      <w:r w:rsidR="7797D9DA" w:rsidRPr="007C47D0">
        <w:t>owner of every fixed and mobile installation operating in UK waters to submit to the HSE, for its acceptance, a safety case. The safety case must give full details of the arrangements for managing health and safety and controlling major accident hazards on the installation. It must demonstrate, for example, that the company has safety management systems in place, has identified risks and reduced them to as low as reasonably practicable, has introduced management controls, provided a temporary safe refuge on the installation and has made provisions for safe evacuation and rescue.</w:t>
      </w:r>
    </w:p>
    <w:p w14:paraId="41C591E8" w14:textId="77777777" w:rsidR="00B914B5" w:rsidRPr="007C47D0" w:rsidRDefault="00B914B5" w:rsidP="00CA7F1E">
      <w:pPr>
        <w:spacing w:before="240" w:after="120"/>
        <w:ind w:left="360"/>
        <w:contextualSpacing/>
        <w:jc w:val="both"/>
      </w:pPr>
    </w:p>
    <w:p w14:paraId="59EF06CF" w14:textId="45763B41" w:rsidR="0028154A" w:rsidRPr="0028154A" w:rsidRDefault="0028154A" w:rsidP="00CA7F1E">
      <w:pPr>
        <w:numPr>
          <w:ilvl w:val="0"/>
          <w:numId w:val="1"/>
        </w:numPr>
        <w:spacing w:before="240" w:after="120"/>
        <w:contextualSpacing/>
        <w:jc w:val="both"/>
      </w:pPr>
      <w:r w:rsidRPr="50739565">
        <w:t xml:space="preserve">This formed the basis of the </w:t>
      </w:r>
      <w:r w:rsidR="002A6ED1">
        <w:t>regul</w:t>
      </w:r>
      <w:r w:rsidR="000B217C">
        <w:t>a</w:t>
      </w:r>
      <w:r w:rsidR="002A6ED1">
        <w:t>tion</w:t>
      </w:r>
      <w:r w:rsidR="002A6ED1" w:rsidRPr="50739565">
        <w:t xml:space="preserve"> </w:t>
      </w:r>
      <w:r w:rsidRPr="50739565">
        <w:t>in place for the offshore sector today, which HSE is considering extending to CCUS and hydrogen production. As such it forms an example of exactly the type of incident that the offshore regulatory regime seeks to prevent</w:t>
      </w:r>
      <w:r w:rsidR="00FB5E78">
        <w:t>.</w:t>
      </w:r>
      <w:r w:rsidRPr="0028154A">
        <w:rPr>
          <w:bCs/>
          <w:szCs w:val="24"/>
        </w:rPr>
        <w:t xml:space="preserve"> </w:t>
      </w:r>
      <w:r w:rsidR="0015056B" w:rsidRPr="50739565">
        <w:t>Offshore Energies UK (formerly Oil and Gas UK)</w:t>
      </w:r>
      <w:r w:rsidRPr="50739565">
        <w:t xml:space="preserve"> linked the Safety Case regime to a significant fall in the Lost Time Injury Frequency Rate for the UK since 1997</w:t>
      </w:r>
      <w:r w:rsidR="00B82D38" w:rsidRPr="50739565">
        <w:rPr>
          <w:rStyle w:val="FootnoteReference"/>
        </w:rPr>
        <w:footnoteReference w:id="33"/>
      </w:r>
      <w:r w:rsidRPr="0028154A">
        <w:rPr>
          <w:bCs/>
          <w:szCs w:val="24"/>
        </w:rPr>
        <w:t>.</w:t>
      </w:r>
      <w:r w:rsidR="0015056B">
        <w:rPr>
          <w:bCs/>
          <w:szCs w:val="24"/>
        </w:rPr>
        <w:t xml:space="preserve"> </w:t>
      </w:r>
    </w:p>
    <w:p w14:paraId="41E5228B" w14:textId="77E7026F" w:rsidR="0028154A" w:rsidRPr="0028154A" w:rsidRDefault="000F0706" w:rsidP="00CA7F1E">
      <w:pPr>
        <w:numPr>
          <w:ilvl w:val="0"/>
          <w:numId w:val="1"/>
        </w:numPr>
        <w:spacing w:before="240" w:after="120"/>
        <w:ind w:left="357" w:hanging="357"/>
        <w:jc w:val="both"/>
        <w:rPr>
          <w:bCs/>
          <w:szCs w:val="24"/>
        </w:rPr>
      </w:pPr>
      <w:r w:rsidRPr="3CCBB5BA">
        <w:t xml:space="preserve">The Piper Alpha disaster </w:t>
      </w:r>
      <w:r w:rsidR="00B97EE6">
        <w:t>is</w:t>
      </w:r>
      <w:r w:rsidR="00B97EE6" w:rsidRPr="3CCBB5BA">
        <w:t xml:space="preserve"> </w:t>
      </w:r>
      <w:r w:rsidR="00D3553D" w:rsidRPr="3CCBB5BA">
        <w:t xml:space="preserve">the worst ever </w:t>
      </w:r>
      <w:r w:rsidR="00C61A85" w:rsidRPr="3CCBB5BA">
        <w:t xml:space="preserve">offshore oil and gas disaster </w:t>
      </w:r>
      <w:r w:rsidR="00B97EE6">
        <w:t xml:space="preserve">to date </w:t>
      </w:r>
      <w:r w:rsidR="00C61A85" w:rsidRPr="3CCBB5BA">
        <w:t xml:space="preserve">in terms of lives lost with </w:t>
      </w:r>
      <w:r w:rsidR="0028154A" w:rsidRPr="3CCBB5BA">
        <w:t xml:space="preserve">167 people </w:t>
      </w:r>
      <w:r w:rsidR="00C61A85" w:rsidRPr="3CCBB5BA">
        <w:t>being killed in the accident</w:t>
      </w:r>
      <w:r w:rsidR="0028154A" w:rsidRPr="3CCBB5BA">
        <w:t xml:space="preserve">. </w:t>
      </w:r>
      <w:proofErr w:type="gramStart"/>
      <w:r w:rsidR="0028154A" w:rsidRPr="3CCBB5BA">
        <w:t>Taking into account</w:t>
      </w:r>
      <w:proofErr w:type="gramEnd"/>
      <w:r w:rsidR="0028154A" w:rsidRPr="3CCBB5BA">
        <w:t xml:space="preserve"> </w:t>
      </w:r>
      <w:r w:rsidR="00396AB6" w:rsidRPr="3CCBB5BA">
        <w:t xml:space="preserve">only </w:t>
      </w:r>
      <w:r w:rsidR="0028154A" w:rsidRPr="3CCBB5BA">
        <w:t>the cost to society of a fatal injury in the workplace</w:t>
      </w:r>
      <w:r w:rsidR="001D3D83" w:rsidRPr="3CCBB5BA">
        <w:rPr>
          <w:rStyle w:val="FootnoteReference"/>
        </w:rPr>
        <w:footnoteReference w:id="34"/>
      </w:r>
      <w:r w:rsidR="0028154A" w:rsidRPr="3CCBB5BA">
        <w:t xml:space="preserve">, the cost of the Piper Alpha fatalities today would sum to over £320m (2022 prices). Beyond this there were </w:t>
      </w:r>
      <w:proofErr w:type="gramStart"/>
      <w:r w:rsidR="0028154A" w:rsidRPr="3CCBB5BA">
        <w:t>a number of</w:t>
      </w:r>
      <w:proofErr w:type="gramEnd"/>
      <w:r w:rsidR="0028154A" w:rsidRPr="3CCBB5BA">
        <w:t xml:space="preserve"> serious </w:t>
      </w:r>
      <w:r w:rsidR="0028154A" w:rsidRPr="3CCBB5BA">
        <w:lastRenderedPageBreak/>
        <w:t xml:space="preserve">injuries, environmental impacts and significant financial impacts including the destruction of the rig and loss of production. </w:t>
      </w:r>
    </w:p>
    <w:p w14:paraId="0E6B0531" w14:textId="43013C19" w:rsidR="0028154A" w:rsidRPr="0028154A" w:rsidRDefault="0028154A" w:rsidP="00CA7F1E">
      <w:pPr>
        <w:numPr>
          <w:ilvl w:val="0"/>
          <w:numId w:val="1"/>
        </w:numPr>
        <w:spacing w:before="240" w:after="120"/>
        <w:contextualSpacing/>
        <w:jc w:val="both"/>
        <w:rPr>
          <w:bCs/>
          <w:szCs w:val="24"/>
        </w:rPr>
      </w:pPr>
      <w:r w:rsidRPr="3CCBB5BA">
        <w:t xml:space="preserve">More recently, in UK waters in 2012, a major gas release occurred on the Total E&amp;P UL Ltd Elgin Offshore Wellhead platform. Personnel on the platform and an adjacent drilling rig were evacuated without injury but HSE declared the gas release a </w:t>
      </w:r>
      <w:r w:rsidR="0048553E" w:rsidRPr="3CCBB5BA">
        <w:t>m</w:t>
      </w:r>
      <w:r w:rsidRPr="3CCBB5BA">
        <w:t xml:space="preserve">ajor </w:t>
      </w:r>
      <w:r w:rsidR="0048553E" w:rsidRPr="3CCBB5BA">
        <w:t>i</w:t>
      </w:r>
      <w:r w:rsidRPr="3CCBB5BA">
        <w:t>ncident. It took 51 days to successfully “kill” the well</w:t>
      </w:r>
      <w:r w:rsidR="005B0C03" w:rsidRPr="3CCBB5BA">
        <w:rPr>
          <w:rStyle w:val="FootnoteReference"/>
        </w:rPr>
        <w:footnoteReference w:id="35"/>
      </w:r>
      <w:r w:rsidRPr="3CCBB5BA">
        <w:t xml:space="preserve"> and prevent further release. </w:t>
      </w:r>
      <w:r w:rsidR="00081522" w:rsidRPr="3CCBB5BA">
        <w:t>It was estimated at the time that the accident cost Total E&amp;P $1.5m per day in lost production alone</w:t>
      </w:r>
      <w:r w:rsidR="00F25398" w:rsidRPr="3CCBB5BA">
        <w:rPr>
          <w:rStyle w:val="FootnoteReference"/>
        </w:rPr>
        <w:footnoteReference w:id="36"/>
      </w:r>
      <w:r w:rsidR="00081522">
        <w:rPr>
          <w:bCs/>
          <w:szCs w:val="24"/>
        </w:rPr>
        <w:t xml:space="preserve">. </w:t>
      </w:r>
      <w:r w:rsidRPr="3CCBB5BA">
        <w:t>This demonstrates that even in the absence of loss of life or injury, the economic consequences of a major incident are significant.</w:t>
      </w:r>
    </w:p>
    <w:p w14:paraId="3AB2E259" w14:textId="06451D0A" w:rsidR="0028154A" w:rsidRPr="0028154A" w:rsidRDefault="0028154A" w:rsidP="00CA7F1E">
      <w:pPr>
        <w:numPr>
          <w:ilvl w:val="0"/>
          <w:numId w:val="1"/>
        </w:numPr>
        <w:spacing w:before="240" w:after="120"/>
        <w:ind w:left="357" w:hanging="357"/>
        <w:jc w:val="both"/>
        <w:rPr>
          <w:bCs/>
          <w:szCs w:val="24"/>
        </w:rPr>
      </w:pPr>
      <w:r w:rsidRPr="0028154A">
        <w:rPr>
          <w:bCs/>
          <w:szCs w:val="24"/>
        </w:rPr>
        <w:t>It is not currently possible to estimate the reduction in risk or frequency of major accidents that would be brought about by implementing the options under consideration, therefore benefits are not quantified or monetised. This is because major accident events are rare and therefore a reliable baseline cannot be estimated. The examples of incidents provided in this section should however provide a sense of the scale of the impact of a major accident, and the benefits that would be delivered where the proposed interventions reduce the risk of such an accident occurring.</w:t>
      </w:r>
      <w:r w:rsidR="00DE07F9">
        <w:rPr>
          <w:bCs/>
          <w:szCs w:val="24"/>
        </w:rPr>
        <w:t xml:space="preserve"> </w:t>
      </w:r>
      <w:r w:rsidR="00F32117">
        <w:rPr>
          <w:bCs/>
          <w:szCs w:val="24"/>
        </w:rPr>
        <w:t xml:space="preserve">It is important to note that the hazard potential of CCUS and hydrogen production </w:t>
      </w:r>
      <w:r w:rsidR="00F64734">
        <w:rPr>
          <w:bCs/>
          <w:szCs w:val="24"/>
        </w:rPr>
        <w:t xml:space="preserve">does differ from that of </w:t>
      </w:r>
      <w:r w:rsidR="00553887">
        <w:rPr>
          <w:bCs/>
          <w:szCs w:val="24"/>
        </w:rPr>
        <w:t>hydrocarbons</w:t>
      </w:r>
      <w:r w:rsidR="00F64734">
        <w:rPr>
          <w:bCs/>
          <w:szCs w:val="24"/>
        </w:rPr>
        <w:t xml:space="preserve"> and while the scale of impact is likely to be similar, the impacts </w:t>
      </w:r>
      <w:r w:rsidR="00553887">
        <w:rPr>
          <w:bCs/>
          <w:szCs w:val="24"/>
        </w:rPr>
        <w:t>may differ</w:t>
      </w:r>
      <w:r w:rsidR="00AC206A">
        <w:rPr>
          <w:bCs/>
          <w:szCs w:val="24"/>
        </w:rPr>
        <w:t xml:space="preserve"> (although hydrocarbon incidents can differ significantly themselves)</w:t>
      </w:r>
      <w:r w:rsidR="00385F73">
        <w:rPr>
          <w:bCs/>
          <w:szCs w:val="24"/>
        </w:rPr>
        <w:t xml:space="preserve">. </w:t>
      </w:r>
      <w:r w:rsidR="00FE4AB1">
        <w:rPr>
          <w:bCs/>
          <w:szCs w:val="24"/>
        </w:rPr>
        <w:t>The problem definition (</w:t>
      </w:r>
      <w:r w:rsidR="00C65317">
        <w:rPr>
          <w:bCs/>
          <w:szCs w:val="24"/>
        </w:rPr>
        <w:t xml:space="preserve">see </w:t>
      </w:r>
      <w:r w:rsidR="00C65317">
        <w:rPr>
          <w:bCs/>
          <w:szCs w:val="24"/>
        </w:rPr>
        <w:fldChar w:fldCharType="begin"/>
      </w:r>
      <w:r w:rsidR="00C65317">
        <w:rPr>
          <w:bCs/>
          <w:szCs w:val="24"/>
        </w:rPr>
        <w:instrText xml:space="preserve"> REF _Ref179541687 \h </w:instrText>
      </w:r>
      <w:r w:rsidR="00CA7F1E">
        <w:rPr>
          <w:bCs/>
          <w:szCs w:val="24"/>
        </w:rPr>
        <w:instrText xml:space="preserve"> \* MERGEFORMAT </w:instrText>
      </w:r>
      <w:r w:rsidR="00C65317">
        <w:rPr>
          <w:bCs/>
          <w:szCs w:val="24"/>
        </w:rPr>
      </w:r>
      <w:r w:rsidR="00C65317">
        <w:rPr>
          <w:bCs/>
          <w:szCs w:val="24"/>
        </w:rPr>
        <w:fldChar w:fldCharType="separate"/>
      </w:r>
      <w:r w:rsidR="00C65317" w:rsidRPr="00BE4957">
        <w:t>2. Strategic case for proposed regulation</w:t>
      </w:r>
      <w:r w:rsidR="00C65317">
        <w:rPr>
          <w:bCs/>
          <w:szCs w:val="24"/>
        </w:rPr>
        <w:fldChar w:fldCharType="end"/>
      </w:r>
      <w:r w:rsidR="00777F31">
        <w:rPr>
          <w:bCs/>
          <w:szCs w:val="24"/>
        </w:rPr>
        <w:t>)</w:t>
      </w:r>
      <w:r w:rsidR="00D22678">
        <w:rPr>
          <w:bCs/>
          <w:szCs w:val="24"/>
        </w:rPr>
        <w:t xml:space="preserve"> outlines the hazard potential of CCUS and hydrogen </w:t>
      </w:r>
      <w:r w:rsidR="00AC206A">
        <w:rPr>
          <w:bCs/>
          <w:szCs w:val="24"/>
        </w:rPr>
        <w:t>specifically.</w:t>
      </w:r>
    </w:p>
    <w:p w14:paraId="7BA236FC" w14:textId="6C789AD9" w:rsidR="0028154A" w:rsidRPr="0028154A" w:rsidRDefault="0028154A" w:rsidP="00CA7F1E">
      <w:pPr>
        <w:numPr>
          <w:ilvl w:val="0"/>
          <w:numId w:val="1"/>
        </w:numPr>
        <w:spacing w:before="240" w:after="120"/>
        <w:ind w:left="357" w:hanging="357"/>
        <w:jc w:val="both"/>
        <w:rPr>
          <w:bCs/>
          <w:szCs w:val="24"/>
        </w:rPr>
      </w:pPr>
      <w:r w:rsidRPr="0028154A">
        <w:rPr>
          <w:bCs/>
          <w:szCs w:val="24"/>
        </w:rPr>
        <w:t xml:space="preserve">Mitigation of risk in these new industries, which </w:t>
      </w:r>
      <w:proofErr w:type="gramStart"/>
      <w:r w:rsidRPr="0028154A">
        <w:rPr>
          <w:bCs/>
          <w:szCs w:val="24"/>
        </w:rPr>
        <w:t>are considered to be</w:t>
      </w:r>
      <w:proofErr w:type="gramEnd"/>
      <w:r w:rsidRPr="0028154A">
        <w:rPr>
          <w:bCs/>
          <w:szCs w:val="24"/>
        </w:rPr>
        <w:t xml:space="preserve"> crucial in achieving </w:t>
      </w:r>
      <w:r w:rsidR="00BD454E">
        <w:rPr>
          <w:bCs/>
          <w:szCs w:val="24"/>
        </w:rPr>
        <w:t>N</w:t>
      </w:r>
      <w:r w:rsidRPr="0028154A">
        <w:rPr>
          <w:bCs/>
          <w:szCs w:val="24"/>
        </w:rPr>
        <w:t>et</w:t>
      </w:r>
      <w:r w:rsidR="00BD454E">
        <w:rPr>
          <w:bCs/>
          <w:szCs w:val="24"/>
        </w:rPr>
        <w:t xml:space="preserve"> Z</w:t>
      </w:r>
      <w:r w:rsidRPr="0028154A">
        <w:rPr>
          <w:bCs/>
          <w:szCs w:val="24"/>
        </w:rPr>
        <w:t>ero targets, are also expected to contribute to greater public and investor confidence in their safety and help businesses secure investment for future projects. There are no readily available market values for these benefit</w:t>
      </w:r>
      <w:r w:rsidR="006A1DD0">
        <w:rPr>
          <w:bCs/>
          <w:szCs w:val="24"/>
        </w:rPr>
        <w:t>s</w:t>
      </w:r>
      <w:r w:rsidRPr="0028154A">
        <w:rPr>
          <w:bCs/>
          <w:szCs w:val="24"/>
        </w:rPr>
        <w:t>, so these benefits are not quantified or monetised.</w:t>
      </w:r>
    </w:p>
    <w:p w14:paraId="19246CC4" w14:textId="2AE68CD8" w:rsidR="0028154A" w:rsidRPr="0028154A" w:rsidRDefault="0028154A" w:rsidP="00CA7F1E">
      <w:pPr>
        <w:numPr>
          <w:ilvl w:val="0"/>
          <w:numId w:val="1"/>
        </w:numPr>
        <w:spacing w:before="240" w:after="120"/>
        <w:ind w:left="357" w:hanging="357"/>
        <w:jc w:val="both"/>
        <w:rPr>
          <w:bCs/>
          <w:szCs w:val="24"/>
        </w:rPr>
      </w:pPr>
      <w:r w:rsidRPr="0028154A">
        <w:rPr>
          <w:bCs/>
          <w:szCs w:val="24"/>
        </w:rPr>
        <w:t>Legislative options also align these sectors with existing sectors deemed to have major hazard potential. This offers clarity and consistency which is beneficial to both businesses and to the regulator. This is particularly relevant as operators are expected to largely be composed of businesses already operating hydrocarbon installations and major hazard pipelines which operate under the same reg</w:t>
      </w:r>
      <w:r w:rsidR="00442B79">
        <w:rPr>
          <w:bCs/>
          <w:szCs w:val="24"/>
        </w:rPr>
        <w:t>imes</w:t>
      </w:r>
      <w:r w:rsidRPr="0028154A">
        <w:rPr>
          <w:bCs/>
          <w:szCs w:val="24"/>
        </w:rPr>
        <w:t>.</w:t>
      </w:r>
    </w:p>
    <w:p w14:paraId="256D6190" w14:textId="77777777" w:rsidR="0028154A" w:rsidRPr="007C47D0" w:rsidRDefault="0028154A" w:rsidP="00CA7F1E">
      <w:pPr>
        <w:keepNext/>
        <w:keepLines/>
        <w:spacing w:before="240" w:after="120" w:line="240" w:lineRule="auto"/>
        <w:jc w:val="both"/>
        <w:outlineLvl w:val="2"/>
        <w:rPr>
          <w:rFonts w:eastAsia="Arial" w:cs="Arial"/>
          <w:b/>
          <w:color w:val="000000"/>
          <w:sz w:val="28"/>
          <w:szCs w:val="28"/>
        </w:rPr>
      </w:pPr>
      <w:r w:rsidRPr="007C47D0">
        <w:rPr>
          <w:rFonts w:eastAsia="Arial" w:cs="Arial"/>
          <w:b/>
          <w:color w:val="000000"/>
          <w:sz w:val="28"/>
          <w:szCs w:val="28"/>
        </w:rPr>
        <w:t>Costs</w:t>
      </w:r>
    </w:p>
    <w:p w14:paraId="70449A4A" w14:textId="77777777" w:rsidR="0028154A" w:rsidRPr="0028154A" w:rsidRDefault="0028154A" w:rsidP="00CA7F1E">
      <w:pPr>
        <w:numPr>
          <w:ilvl w:val="0"/>
          <w:numId w:val="1"/>
        </w:numPr>
        <w:spacing w:before="240" w:after="120"/>
        <w:ind w:left="357" w:hanging="357"/>
        <w:jc w:val="both"/>
        <w:rPr>
          <w:bCs/>
          <w:szCs w:val="24"/>
        </w:rPr>
      </w:pPr>
      <w:bookmarkStart w:id="14" w:name="_Ref178586020"/>
      <w:r w:rsidRPr="0028154A">
        <w:rPr>
          <w:bCs/>
          <w:szCs w:val="24"/>
        </w:rPr>
        <w:t>The following section outlines the full set of costs associated with compliance with the sets of regulations in scope of potential application to offshore CCUS and hydrogen production. These are then broken down (in the section ‘Options Under Consideration’) into the costs for each option under consideration, based on which requirements would apply under that option.</w:t>
      </w:r>
      <w:bookmarkEnd w:id="14"/>
    </w:p>
    <w:p w14:paraId="12E005F1" w14:textId="77777777" w:rsidR="0028154A" w:rsidRDefault="0028154A" w:rsidP="00CA7F1E">
      <w:pPr>
        <w:numPr>
          <w:ilvl w:val="0"/>
          <w:numId w:val="1"/>
        </w:numPr>
        <w:spacing w:before="240" w:after="120"/>
        <w:ind w:left="357" w:hanging="357"/>
        <w:jc w:val="both"/>
        <w:rPr>
          <w:bCs/>
          <w:szCs w:val="24"/>
        </w:rPr>
      </w:pPr>
      <w:r w:rsidRPr="0028154A">
        <w:rPr>
          <w:bCs/>
          <w:szCs w:val="24"/>
        </w:rPr>
        <w:t>For each requirement it is assumed that upfront costs are incurred by an installation or pipeline in year 0, while ongoing costs occur annually, unless specified otherwise.</w:t>
      </w:r>
    </w:p>
    <w:p w14:paraId="67331F60" w14:textId="2477BD9C" w:rsidR="00455F78" w:rsidRPr="0028154A" w:rsidRDefault="00455F78" w:rsidP="00CA7F1E">
      <w:pPr>
        <w:numPr>
          <w:ilvl w:val="0"/>
          <w:numId w:val="1"/>
        </w:numPr>
        <w:spacing w:before="240" w:after="120"/>
        <w:ind w:left="357" w:hanging="357"/>
        <w:jc w:val="both"/>
        <w:rPr>
          <w:bCs/>
          <w:szCs w:val="24"/>
        </w:rPr>
      </w:pPr>
      <w:r>
        <w:rPr>
          <w:bCs/>
          <w:szCs w:val="24"/>
        </w:rPr>
        <w:lastRenderedPageBreak/>
        <w:t xml:space="preserve">A schedule of estimated costs for an offshore CCUS installation is described </w:t>
      </w:r>
      <w:r w:rsidRPr="00257005">
        <w:rPr>
          <w:bCs/>
          <w:szCs w:val="24"/>
        </w:rPr>
        <w:t xml:space="preserve">in </w:t>
      </w:r>
      <w:r w:rsidR="00257005" w:rsidRPr="00257005">
        <w:rPr>
          <w:bCs/>
          <w:szCs w:val="24"/>
        </w:rPr>
        <w:fldChar w:fldCharType="begin"/>
      </w:r>
      <w:r w:rsidR="00257005" w:rsidRPr="00257005">
        <w:rPr>
          <w:bCs/>
          <w:szCs w:val="24"/>
        </w:rPr>
        <w:instrText xml:space="preserve"> REF _Ref178944174 \h </w:instrText>
      </w:r>
      <w:r w:rsidR="00257005" w:rsidRPr="007C47D0">
        <w:rPr>
          <w:bCs/>
          <w:szCs w:val="24"/>
        </w:rPr>
        <w:instrText xml:space="preserve"> \* MERGEFORMAT </w:instrText>
      </w:r>
      <w:r w:rsidR="00257005" w:rsidRPr="00257005">
        <w:rPr>
          <w:bCs/>
          <w:szCs w:val="24"/>
        </w:rPr>
      </w:r>
      <w:r w:rsidR="00257005" w:rsidRPr="00257005">
        <w:rPr>
          <w:bCs/>
          <w:szCs w:val="24"/>
        </w:rPr>
        <w:fldChar w:fldCharType="separate"/>
      </w:r>
      <w:r w:rsidR="0086161D" w:rsidRPr="00DE0402">
        <w:rPr>
          <w:szCs w:val="24"/>
        </w:rPr>
        <w:t xml:space="preserve">Figure </w:t>
      </w:r>
      <w:r w:rsidR="0086161D" w:rsidRPr="007C47D0">
        <w:rPr>
          <w:bCs/>
          <w:noProof/>
          <w:szCs w:val="24"/>
        </w:rPr>
        <w:t>1</w:t>
      </w:r>
      <w:r w:rsidR="00257005" w:rsidRPr="00257005">
        <w:rPr>
          <w:bCs/>
          <w:szCs w:val="24"/>
        </w:rPr>
        <w:fldChar w:fldCharType="end"/>
      </w:r>
      <w:r w:rsidR="00257005" w:rsidRPr="00257005">
        <w:rPr>
          <w:bCs/>
          <w:szCs w:val="24"/>
        </w:rPr>
        <w:t xml:space="preserve"> </w:t>
      </w:r>
      <w:r>
        <w:rPr>
          <w:bCs/>
          <w:szCs w:val="24"/>
        </w:rPr>
        <w:t xml:space="preserve">at the end of the paper. </w:t>
      </w:r>
      <w:r w:rsidR="00257005" w:rsidRPr="00257005">
        <w:rPr>
          <w:bCs/>
          <w:szCs w:val="24"/>
        </w:rPr>
        <w:fldChar w:fldCharType="begin"/>
      </w:r>
      <w:r w:rsidR="00257005" w:rsidRPr="00257005">
        <w:rPr>
          <w:bCs/>
          <w:szCs w:val="24"/>
        </w:rPr>
        <w:instrText xml:space="preserve"> REF _Ref178944192 \h </w:instrText>
      </w:r>
      <w:r w:rsidR="00257005" w:rsidRPr="007C47D0">
        <w:rPr>
          <w:bCs/>
          <w:szCs w:val="24"/>
        </w:rPr>
        <w:instrText xml:space="preserve"> \* MERGEFORMAT </w:instrText>
      </w:r>
      <w:r w:rsidR="00257005" w:rsidRPr="00257005">
        <w:rPr>
          <w:bCs/>
          <w:szCs w:val="24"/>
        </w:rPr>
      </w:r>
      <w:r w:rsidR="00257005" w:rsidRPr="00257005">
        <w:rPr>
          <w:bCs/>
          <w:szCs w:val="24"/>
        </w:rPr>
        <w:fldChar w:fldCharType="separate"/>
      </w:r>
      <w:r w:rsidR="0086161D" w:rsidRPr="00DE0402">
        <w:rPr>
          <w:szCs w:val="24"/>
        </w:rPr>
        <w:t xml:space="preserve">Figure </w:t>
      </w:r>
      <w:r w:rsidR="0086161D" w:rsidRPr="007C47D0">
        <w:rPr>
          <w:bCs/>
          <w:noProof/>
          <w:szCs w:val="24"/>
        </w:rPr>
        <w:t>2</w:t>
      </w:r>
      <w:r w:rsidR="00257005" w:rsidRPr="00257005">
        <w:rPr>
          <w:bCs/>
          <w:szCs w:val="24"/>
        </w:rPr>
        <w:fldChar w:fldCharType="end"/>
      </w:r>
      <w:r w:rsidR="00257005">
        <w:rPr>
          <w:bCs/>
          <w:szCs w:val="24"/>
        </w:rPr>
        <w:t xml:space="preserve"> </w:t>
      </w:r>
      <w:r w:rsidR="00896AB7">
        <w:rPr>
          <w:bCs/>
          <w:szCs w:val="24"/>
        </w:rPr>
        <w:t xml:space="preserve">then outlines how these costs are aggregated across </w:t>
      </w:r>
      <w:r w:rsidR="007D0825">
        <w:rPr>
          <w:bCs/>
          <w:szCs w:val="24"/>
        </w:rPr>
        <w:t xml:space="preserve">the sector, based on the assumption </w:t>
      </w:r>
      <w:r w:rsidR="000D2405">
        <w:rPr>
          <w:bCs/>
          <w:szCs w:val="24"/>
        </w:rPr>
        <w:t xml:space="preserve">(paragraph </w:t>
      </w:r>
      <w:r w:rsidR="000D2405">
        <w:rPr>
          <w:bCs/>
          <w:szCs w:val="24"/>
        </w:rPr>
        <w:fldChar w:fldCharType="begin"/>
      </w:r>
      <w:r w:rsidR="000D2405">
        <w:rPr>
          <w:bCs/>
          <w:szCs w:val="24"/>
        </w:rPr>
        <w:instrText xml:space="preserve"> REF _Ref178943602 \r \h </w:instrText>
      </w:r>
      <w:r w:rsidR="00CA7F1E">
        <w:rPr>
          <w:bCs/>
          <w:szCs w:val="24"/>
        </w:rPr>
        <w:instrText xml:space="preserve"> \* MERGEFORMAT </w:instrText>
      </w:r>
      <w:r w:rsidR="000D2405">
        <w:rPr>
          <w:bCs/>
          <w:szCs w:val="24"/>
        </w:rPr>
      </w:r>
      <w:r w:rsidR="000D2405">
        <w:rPr>
          <w:bCs/>
          <w:szCs w:val="24"/>
        </w:rPr>
        <w:fldChar w:fldCharType="separate"/>
      </w:r>
      <w:r w:rsidR="0086161D">
        <w:rPr>
          <w:bCs/>
          <w:szCs w:val="24"/>
          <w:cs/>
        </w:rPr>
        <w:t>‎</w:t>
      </w:r>
      <w:r w:rsidR="0086161D">
        <w:rPr>
          <w:bCs/>
          <w:szCs w:val="24"/>
        </w:rPr>
        <w:t>25</w:t>
      </w:r>
      <w:r w:rsidR="000D2405">
        <w:rPr>
          <w:bCs/>
          <w:szCs w:val="24"/>
        </w:rPr>
        <w:fldChar w:fldCharType="end"/>
      </w:r>
      <w:r w:rsidR="000D2405">
        <w:rPr>
          <w:bCs/>
          <w:szCs w:val="24"/>
        </w:rPr>
        <w:t xml:space="preserve">) </w:t>
      </w:r>
      <w:r w:rsidR="007D0825">
        <w:rPr>
          <w:bCs/>
          <w:szCs w:val="24"/>
        </w:rPr>
        <w:t xml:space="preserve">of 2.7 </w:t>
      </w:r>
      <w:r w:rsidR="000D2405">
        <w:rPr>
          <w:bCs/>
          <w:szCs w:val="24"/>
        </w:rPr>
        <w:t>new CCUS installations per annum</w:t>
      </w:r>
      <w:r w:rsidR="00EA676A">
        <w:rPr>
          <w:bCs/>
          <w:szCs w:val="24"/>
        </w:rPr>
        <w:t>.</w:t>
      </w:r>
    </w:p>
    <w:p w14:paraId="3750A82C" w14:textId="77777777" w:rsidR="0028154A" w:rsidRPr="0028154A" w:rsidRDefault="0028154A" w:rsidP="00CA7F1E">
      <w:pPr>
        <w:spacing w:before="240" w:after="120"/>
        <w:jc w:val="both"/>
        <w:rPr>
          <w:bCs/>
          <w:szCs w:val="24"/>
          <w:u w:val="single"/>
        </w:rPr>
      </w:pPr>
      <w:r w:rsidRPr="0028154A">
        <w:rPr>
          <w:bCs/>
          <w:szCs w:val="24"/>
          <w:u w:val="single"/>
        </w:rPr>
        <w:t>SCR15</w:t>
      </w:r>
    </w:p>
    <w:p w14:paraId="2C506D9D" w14:textId="6BE8CC62" w:rsidR="0028154A" w:rsidRPr="0028154A" w:rsidRDefault="0028154A" w:rsidP="00CA7F1E">
      <w:pPr>
        <w:numPr>
          <w:ilvl w:val="0"/>
          <w:numId w:val="1"/>
        </w:numPr>
        <w:spacing w:before="240" w:after="120"/>
        <w:jc w:val="both"/>
        <w:rPr>
          <w:bCs/>
          <w:szCs w:val="24"/>
        </w:rPr>
      </w:pPr>
      <w:bookmarkStart w:id="15" w:name="_Ref177996532"/>
      <w:r w:rsidRPr="0028154A">
        <w:rPr>
          <w:bCs/>
          <w:szCs w:val="24"/>
        </w:rPr>
        <w:t>As described i</w:t>
      </w:r>
      <w:r w:rsidR="00F92D8C">
        <w:rPr>
          <w:bCs/>
          <w:szCs w:val="24"/>
        </w:rPr>
        <w:t>n</w:t>
      </w:r>
      <w:r w:rsidRPr="0028154A">
        <w:rPr>
          <w:bCs/>
          <w:szCs w:val="24"/>
        </w:rPr>
        <w:t xml:space="preserve"> the sources section, estimate</w:t>
      </w:r>
      <w:r w:rsidR="00403EE4">
        <w:rPr>
          <w:bCs/>
          <w:szCs w:val="24"/>
        </w:rPr>
        <w:t>s</w:t>
      </w:r>
      <w:r w:rsidRPr="0028154A">
        <w:rPr>
          <w:bCs/>
          <w:szCs w:val="24"/>
        </w:rPr>
        <w:t xml:space="preserve"> of the unit cost of complying with the regulations in SCR15 have been derived from previous assessments carried out by HSE.</w:t>
      </w:r>
      <w:bookmarkEnd w:id="15"/>
    </w:p>
    <w:p w14:paraId="2489DA68" w14:textId="77777777" w:rsidR="0028154A" w:rsidRPr="0028154A" w:rsidRDefault="0028154A" w:rsidP="00CA7F1E">
      <w:pPr>
        <w:keepNext/>
        <w:spacing w:before="240" w:after="120"/>
        <w:jc w:val="both"/>
        <w:rPr>
          <w:i/>
          <w:iCs/>
        </w:rPr>
      </w:pPr>
      <w:r w:rsidRPr="0028154A">
        <w:rPr>
          <w:i/>
          <w:iCs/>
        </w:rPr>
        <w:t>Production of a safety case</w:t>
      </w:r>
    </w:p>
    <w:p w14:paraId="578C8E5D" w14:textId="77777777" w:rsidR="0028154A" w:rsidRPr="0028154A" w:rsidRDefault="0028154A" w:rsidP="00CA7F1E">
      <w:pPr>
        <w:keepNext/>
        <w:numPr>
          <w:ilvl w:val="0"/>
          <w:numId w:val="1"/>
        </w:numPr>
        <w:spacing w:before="240" w:after="120"/>
        <w:jc w:val="both"/>
        <w:rPr>
          <w:bCs/>
          <w:szCs w:val="24"/>
        </w:rPr>
      </w:pPr>
      <w:r w:rsidRPr="0028154A">
        <w:rPr>
          <w:bCs/>
          <w:szCs w:val="24"/>
        </w:rPr>
        <w:t>Operators of an offshore installation are required to prepare a safety case providing evidence that all major accident risks have been evaluated and measures taken to control those risks. This must then be submitted to HSE for acceptance before an installation commences operations.</w:t>
      </w:r>
    </w:p>
    <w:p w14:paraId="463E63AC" w14:textId="77777777"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producing a safety case could vary from £350k to £1.4m per installation, with a best estimate of £710k per installation. This is a one-off cost incurred upfront, prior to operation.</w:t>
      </w:r>
    </w:p>
    <w:p w14:paraId="628287D0" w14:textId="5A5958AE" w:rsidR="0028154A" w:rsidRPr="0028154A" w:rsidRDefault="0028154A" w:rsidP="00CA7F1E">
      <w:pPr>
        <w:keepNext/>
        <w:spacing w:before="240" w:after="120"/>
        <w:jc w:val="both"/>
        <w:rPr>
          <w:bCs/>
          <w:i/>
          <w:iCs/>
          <w:szCs w:val="24"/>
        </w:rPr>
      </w:pPr>
      <w:r w:rsidRPr="0028154A">
        <w:rPr>
          <w:bCs/>
          <w:i/>
          <w:iCs/>
          <w:szCs w:val="24"/>
        </w:rPr>
        <w:t>Producing a 5</w:t>
      </w:r>
      <w:r w:rsidR="00665DE3">
        <w:rPr>
          <w:bCs/>
          <w:i/>
          <w:iCs/>
          <w:szCs w:val="24"/>
        </w:rPr>
        <w:t>-</w:t>
      </w:r>
      <w:r w:rsidRPr="0028154A">
        <w:rPr>
          <w:bCs/>
          <w:i/>
          <w:iCs/>
          <w:szCs w:val="24"/>
        </w:rPr>
        <w:t>year review of a safety case</w:t>
      </w:r>
    </w:p>
    <w:p w14:paraId="44A11798" w14:textId="597C3678" w:rsidR="0028154A" w:rsidRPr="0028154A" w:rsidRDefault="0028154A" w:rsidP="00CA7F1E">
      <w:pPr>
        <w:keepNext/>
        <w:numPr>
          <w:ilvl w:val="0"/>
          <w:numId w:val="1"/>
        </w:numPr>
        <w:spacing w:before="240" w:after="120"/>
        <w:jc w:val="both"/>
        <w:rPr>
          <w:bCs/>
          <w:szCs w:val="24"/>
        </w:rPr>
      </w:pPr>
      <w:r w:rsidRPr="0028154A">
        <w:rPr>
          <w:bCs/>
          <w:szCs w:val="24"/>
        </w:rPr>
        <w:t>Operators of an offshore installation are required to produce a review of a safety case at no more than five year</w:t>
      </w:r>
      <w:r w:rsidR="00DB2B1A">
        <w:rPr>
          <w:bCs/>
          <w:szCs w:val="24"/>
        </w:rPr>
        <w:t>ly</w:t>
      </w:r>
      <w:r w:rsidRPr="0028154A">
        <w:rPr>
          <w:bCs/>
          <w:szCs w:val="24"/>
        </w:rPr>
        <w:t xml:space="preserve"> intervals following the safety case first being accepted.</w:t>
      </w:r>
    </w:p>
    <w:p w14:paraId="731304AC" w14:textId="32A205CC" w:rsid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producing a review of a safety case could vary from £1</w:t>
      </w:r>
      <w:r w:rsidR="00227390">
        <w:rPr>
          <w:bCs/>
          <w:szCs w:val="24"/>
        </w:rPr>
        <w:t>5</w:t>
      </w:r>
      <w:r w:rsidRPr="0028154A">
        <w:rPr>
          <w:bCs/>
          <w:szCs w:val="24"/>
        </w:rPr>
        <w:t>0k to £4</w:t>
      </w:r>
      <w:r w:rsidR="00471F85">
        <w:rPr>
          <w:bCs/>
          <w:szCs w:val="24"/>
        </w:rPr>
        <w:t>3</w:t>
      </w:r>
      <w:r w:rsidRPr="0028154A">
        <w:rPr>
          <w:bCs/>
          <w:szCs w:val="24"/>
        </w:rPr>
        <w:t>0k per installation with a best estimate of £2</w:t>
      </w:r>
      <w:r w:rsidR="00471F85">
        <w:rPr>
          <w:bCs/>
          <w:szCs w:val="24"/>
        </w:rPr>
        <w:t>4</w:t>
      </w:r>
      <w:r w:rsidRPr="0028154A">
        <w:rPr>
          <w:bCs/>
          <w:szCs w:val="24"/>
        </w:rPr>
        <w:t>0k per installation. This cost would be incurred at five-year intervals.</w:t>
      </w:r>
    </w:p>
    <w:p w14:paraId="5D086B85" w14:textId="61194857" w:rsidR="008A27A7" w:rsidRDefault="008A27A7" w:rsidP="00CA7F1E">
      <w:pPr>
        <w:spacing w:before="240" w:after="120"/>
        <w:jc w:val="both"/>
        <w:rPr>
          <w:bCs/>
          <w:i/>
          <w:iCs/>
          <w:szCs w:val="24"/>
        </w:rPr>
      </w:pPr>
      <w:r w:rsidRPr="007C47D0">
        <w:rPr>
          <w:bCs/>
          <w:i/>
          <w:iCs/>
          <w:szCs w:val="24"/>
        </w:rPr>
        <w:t xml:space="preserve">Material </w:t>
      </w:r>
      <w:r w:rsidR="001C0B6F">
        <w:rPr>
          <w:bCs/>
          <w:i/>
          <w:iCs/>
          <w:szCs w:val="24"/>
        </w:rPr>
        <w:t>c</w:t>
      </w:r>
      <w:r w:rsidRPr="007C47D0">
        <w:rPr>
          <w:bCs/>
          <w:i/>
          <w:iCs/>
          <w:szCs w:val="24"/>
        </w:rPr>
        <w:t xml:space="preserve">hange </w:t>
      </w:r>
      <w:r w:rsidR="001C0B6F">
        <w:rPr>
          <w:bCs/>
          <w:i/>
          <w:iCs/>
          <w:szCs w:val="24"/>
        </w:rPr>
        <w:t>n</w:t>
      </w:r>
      <w:r w:rsidRPr="007C47D0">
        <w:rPr>
          <w:bCs/>
          <w:i/>
          <w:iCs/>
          <w:szCs w:val="24"/>
        </w:rPr>
        <w:t>otification</w:t>
      </w:r>
      <w:r w:rsidR="00F20F2D">
        <w:rPr>
          <w:bCs/>
          <w:i/>
          <w:iCs/>
          <w:szCs w:val="24"/>
        </w:rPr>
        <w:t>s</w:t>
      </w:r>
    </w:p>
    <w:p w14:paraId="4AF9E888" w14:textId="3ECA20B4" w:rsidR="008A27A7" w:rsidRDefault="008A27A7" w:rsidP="00CA7F1E">
      <w:pPr>
        <w:keepNext/>
        <w:numPr>
          <w:ilvl w:val="0"/>
          <w:numId w:val="1"/>
        </w:numPr>
        <w:spacing w:before="240" w:after="120"/>
        <w:jc w:val="both"/>
        <w:rPr>
          <w:bCs/>
          <w:szCs w:val="24"/>
        </w:rPr>
      </w:pPr>
      <w:r>
        <w:rPr>
          <w:bCs/>
          <w:szCs w:val="24"/>
        </w:rPr>
        <w:t>Operator</w:t>
      </w:r>
      <w:r w:rsidR="00F0398E">
        <w:rPr>
          <w:bCs/>
          <w:szCs w:val="24"/>
        </w:rPr>
        <w:t>s</w:t>
      </w:r>
      <w:r>
        <w:rPr>
          <w:bCs/>
          <w:szCs w:val="24"/>
        </w:rPr>
        <w:t xml:space="preserve"> are required to </w:t>
      </w:r>
      <w:r w:rsidR="00EE1567">
        <w:rPr>
          <w:bCs/>
          <w:szCs w:val="24"/>
        </w:rPr>
        <w:t>notify HSE of any material changes to the safety case</w:t>
      </w:r>
      <w:r w:rsidR="009F0679">
        <w:rPr>
          <w:rStyle w:val="FootnoteReference"/>
          <w:bCs/>
          <w:szCs w:val="24"/>
        </w:rPr>
        <w:footnoteReference w:id="37"/>
      </w:r>
      <w:r w:rsidR="00EE1567">
        <w:rPr>
          <w:bCs/>
          <w:szCs w:val="24"/>
        </w:rPr>
        <w:t>.</w:t>
      </w:r>
      <w:r w:rsidR="001C0B6F">
        <w:rPr>
          <w:bCs/>
          <w:szCs w:val="24"/>
        </w:rPr>
        <w:t xml:space="preserve"> </w:t>
      </w:r>
      <w:r w:rsidR="006A2003">
        <w:rPr>
          <w:bCs/>
          <w:szCs w:val="24"/>
        </w:rPr>
        <w:t>HSE expert opinion considered it reasonable at this stage to assume that the rate of material changes would be approximately the same for CCUS and hyd</w:t>
      </w:r>
      <w:r w:rsidR="001E2640">
        <w:rPr>
          <w:bCs/>
          <w:szCs w:val="24"/>
        </w:rPr>
        <w:t xml:space="preserve">rogen installations as they are for existing hydrocarbon installations. Based on previous analysis, this has been assumed to be a rate of </w:t>
      </w:r>
      <w:r w:rsidR="00991A04">
        <w:rPr>
          <w:bCs/>
          <w:szCs w:val="24"/>
        </w:rPr>
        <w:t xml:space="preserve">between </w:t>
      </w:r>
      <w:r w:rsidR="00480813">
        <w:rPr>
          <w:bCs/>
          <w:szCs w:val="24"/>
        </w:rPr>
        <w:t xml:space="preserve">0.068 and 0.075 per installation with a best estimate of 0.072 (equivalent to one notification per </w:t>
      </w:r>
      <w:r w:rsidR="00657CBA">
        <w:rPr>
          <w:bCs/>
          <w:szCs w:val="24"/>
        </w:rPr>
        <w:t>14 installations per annum.</w:t>
      </w:r>
    </w:p>
    <w:p w14:paraId="0C5FA817" w14:textId="208476E7" w:rsidR="009E0EFA" w:rsidRPr="00DE0402" w:rsidRDefault="009E0EFA" w:rsidP="00CA7F1E">
      <w:pPr>
        <w:keepNext/>
        <w:numPr>
          <w:ilvl w:val="0"/>
          <w:numId w:val="1"/>
        </w:numPr>
        <w:spacing w:before="240" w:after="120"/>
        <w:jc w:val="both"/>
        <w:rPr>
          <w:szCs w:val="24"/>
        </w:rPr>
      </w:pPr>
      <w:r w:rsidRPr="0028154A">
        <w:rPr>
          <w:bCs/>
          <w:szCs w:val="24"/>
        </w:rPr>
        <w:t>Estimates produced in previous assessments indicate that the cost of producing a</w:t>
      </w:r>
      <w:r>
        <w:rPr>
          <w:bCs/>
          <w:szCs w:val="24"/>
        </w:rPr>
        <w:t xml:space="preserve"> material change notification is between £120k and £150k, with a best estimate of £</w:t>
      </w:r>
      <w:r w:rsidR="000A6B90">
        <w:rPr>
          <w:bCs/>
          <w:szCs w:val="24"/>
        </w:rPr>
        <w:t xml:space="preserve">140k per notification. </w:t>
      </w:r>
      <w:proofErr w:type="gramStart"/>
      <w:r w:rsidR="000A6B90">
        <w:rPr>
          <w:bCs/>
          <w:szCs w:val="24"/>
        </w:rPr>
        <w:t>Taking into account</w:t>
      </w:r>
      <w:proofErr w:type="gramEnd"/>
      <w:r w:rsidR="000A6B90">
        <w:rPr>
          <w:bCs/>
          <w:szCs w:val="24"/>
        </w:rPr>
        <w:t xml:space="preserve"> the assumed rate of notifications, this results in a</w:t>
      </w:r>
      <w:r w:rsidR="00FB23E2">
        <w:rPr>
          <w:bCs/>
          <w:szCs w:val="24"/>
        </w:rPr>
        <w:t xml:space="preserve">n </w:t>
      </w:r>
      <w:r w:rsidR="00FB23E2">
        <w:rPr>
          <w:bCs/>
          <w:szCs w:val="24"/>
        </w:rPr>
        <w:lastRenderedPageBreak/>
        <w:t>estimated cost of between £8.4k and £11k per installation per annum, with a best estimate of £9.8k.</w:t>
      </w:r>
    </w:p>
    <w:p w14:paraId="3BA72E40" w14:textId="77777777" w:rsidR="0028154A" w:rsidRPr="0028154A" w:rsidRDefault="0028154A" w:rsidP="00795E21">
      <w:pPr>
        <w:keepNext/>
        <w:spacing w:before="240" w:after="120"/>
        <w:jc w:val="both"/>
        <w:rPr>
          <w:bCs/>
          <w:i/>
          <w:iCs/>
          <w:szCs w:val="24"/>
        </w:rPr>
      </w:pPr>
      <w:r w:rsidRPr="0028154A">
        <w:rPr>
          <w:bCs/>
          <w:i/>
          <w:iCs/>
          <w:szCs w:val="24"/>
        </w:rPr>
        <w:t>Safety and environmental management system (SEMS)</w:t>
      </w:r>
    </w:p>
    <w:p w14:paraId="17A61928" w14:textId="77777777" w:rsidR="0028154A" w:rsidRPr="0028154A" w:rsidRDefault="0028154A" w:rsidP="00795E21">
      <w:pPr>
        <w:keepNext/>
        <w:numPr>
          <w:ilvl w:val="0"/>
          <w:numId w:val="1"/>
        </w:numPr>
        <w:spacing w:before="240" w:after="120"/>
        <w:jc w:val="both"/>
        <w:rPr>
          <w:bCs/>
          <w:szCs w:val="24"/>
        </w:rPr>
      </w:pPr>
      <w:r w:rsidRPr="0028154A">
        <w:rPr>
          <w:bCs/>
          <w:szCs w:val="24"/>
        </w:rPr>
        <w:t>Operators are required to describe their safety and environmental management systems (SEMS). The upfront cost of outlining their SEMS is estimated to be between £1.8k and £24.5k, with a best estimate of £13.2k per installation. This is a one-off cost.</w:t>
      </w:r>
    </w:p>
    <w:p w14:paraId="5A1FC715" w14:textId="77777777" w:rsidR="0028154A" w:rsidRPr="0028154A" w:rsidRDefault="0028154A" w:rsidP="00CA7F1E">
      <w:pPr>
        <w:spacing w:before="240" w:after="120"/>
        <w:jc w:val="both"/>
        <w:rPr>
          <w:bCs/>
          <w:i/>
          <w:iCs/>
          <w:szCs w:val="24"/>
        </w:rPr>
      </w:pPr>
      <w:r w:rsidRPr="0028154A">
        <w:rPr>
          <w:bCs/>
          <w:i/>
          <w:iCs/>
          <w:szCs w:val="24"/>
        </w:rPr>
        <w:t>Producing a combined operations notification</w:t>
      </w:r>
    </w:p>
    <w:p w14:paraId="10254946" w14:textId="26A1276D" w:rsidR="0028154A" w:rsidRPr="0028154A" w:rsidRDefault="0028154A" w:rsidP="00CA7F1E">
      <w:pPr>
        <w:numPr>
          <w:ilvl w:val="0"/>
          <w:numId w:val="1"/>
        </w:numPr>
        <w:spacing w:before="240" w:after="120"/>
        <w:jc w:val="both"/>
        <w:rPr>
          <w:bCs/>
          <w:szCs w:val="24"/>
        </w:rPr>
      </w:pPr>
      <w:r w:rsidRPr="0028154A">
        <w:rPr>
          <w:bCs/>
          <w:szCs w:val="24"/>
        </w:rPr>
        <w:t>Operators are required to notify HSE where combined operations are taking place.</w:t>
      </w:r>
      <w:r w:rsidR="004C1735">
        <w:rPr>
          <w:bCs/>
          <w:szCs w:val="24"/>
        </w:rPr>
        <w:t xml:space="preserve"> This is </w:t>
      </w:r>
      <w:r w:rsidR="000E650B">
        <w:rPr>
          <w:bCs/>
          <w:szCs w:val="24"/>
        </w:rPr>
        <w:t>where</w:t>
      </w:r>
      <w:r w:rsidRPr="0028154A">
        <w:rPr>
          <w:bCs/>
          <w:szCs w:val="24"/>
        </w:rPr>
        <w:t xml:space="preserve"> </w:t>
      </w:r>
      <w:r w:rsidR="00CF4CF4" w:rsidRPr="00CF4CF4">
        <w:rPr>
          <w:bCs/>
          <w:szCs w:val="24"/>
        </w:rPr>
        <w:t xml:space="preserve">an operation carried out from an installation with another installation or installations for purposes related to the other installation(s) which thereby materially affects the risks to the safety of persons or the protection of the environment on any or </w:t>
      </w:r>
      <w:proofErr w:type="gramStart"/>
      <w:r w:rsidR="00CF4CF4" w:rsidRPr="00CF4CF4">
        <w:rPr>
          <w:bCs/>
          <w:szCs w:val="24"/>
        </w:rPr>
        <w:t>all of</w:t>
      </w:r>
      <w:proofErr w:type="gramEnd"/>
      <w:r w:rsidR="00CF4CF4" w:rsidRPr="00CF4CF4">
        <w:rPr>
          <w:bCs/>
          <w:szCs w:val="24"/>
        </w:rPr>
        <w:t xml:space="preserve"> the installations.</w:t>
      </w:r>
      <w:r w:rsidR="00CF4CF4">
        <w:rPr>
          <w:bCs/>
          <w:szCs w:val="24"/>
        </w:rPr>
        <w:t xml:space="preserve"> </w:t>
      </w:r>
      <w:r w:rsidRPr="0028154A">
        <w:rPr>
          <w:bCs/>
          <w:szCs w:val="24"/>
        </w:rPr>
        <w:t xml:space="preserve">HSE inspector opinion is that this is not likely to happen frequently during the early years of the offshore CCUS and hydrogen sectors as the sort of </w:t>
      </w:r>
      <w:proofErr w:type="gramStart"/>
      <w:r w:rsidRPr="0028154A">
        <w:rPr>
          <w:bCs/>
          <w:szCs w:val="24"/>
        </w:rPr>
        <w:t>large scale</w:t>
      </w:r>
      <w:proofErr w:type="gramEnd"/>
      <w:r w:rsidRPr="0028154A">
        <w:rPr>
          <w:bCs/>
          <w:szCs w:val="24"/>
        </w:rPr>
        <w:t xml:space="preserve"> maintenance that often triggers these notifications is less likely. For the purposes of this </w:t>
      </w:r>
      <w:proofErr w:type="gramStart"/>
      <w:r w:rsidRPr="0028154A">
        <w:rPr>
          <w:bCs/>
          <w:szCs w:val="24"/>
        </w:rPr>
        <w:t>assessment</w:t>
      </w:r>
      <w:proofErr w:type="gramEnd"/>
      <w:r w:rsidRPr="0028154A">
        <w:rPr>
          <w:bCs/>
          <w:szCs w:val="24"/>
        </w:rPr>
        <w:t xml:space="preserve"> it has been deemed reasonable to use the hydrocarbon proxy, as per other requirements, and err on the side of higher cost. </w:t>
      </w:r>
    </w:p>
    <w:p w14:paraId="0178B157" w14:textId="77777777" w:rsidR="0028154A" w:rsidRPr="0028154A" w:rsidRDefault="0028154A" w:rsidP="00CA7F1E">
      <w:pPr>
        <w:numPr>
          <w:ilvl w:val="0"/>
          <w:numId w:val="1"/>
        </w:numPr>
        <w:spacing w:before="240" w:after="120"/>
        <w:jc w:val="both"/>
        <w:rPr>
          <w:bCs/>
          <w:szCs w:val="24"/>
        </w:rPr>
      </w:pPr>
      <w:r w:rsidRPr="0028154A">
        <w:rPr>
          <w:bCs/>
          <w:szCs w:val="24"/>
        </w:rPr>
        <w:t xml:space="preserve">Estimates produced in previous assessments indicate that the cost of producing a combined operations notification could vary from £12k to £63k, with a best estimate of £29k per notification. </w:t>
      </w:r>
    </w:p>
    <w:p w14:paraId="0E37FED8" w14:textId="6E266E7B" w:rsidR="0028154A" w:rsidRPr="0028154A" w:rsidRDefault="0028154A" w:rsidP="00CA7F1E">
      <w:pPr>
        <w:numPr>
          <w:ilvl w:val="0"/>
          <w:numId w:val="1"/>
        </w:numPr>
        <w:spacing w:before="240" w:after="120"/>
        <w:jc w:val="both"/>
        <w:rPr>
          <w:bCs/>
          <w:szCs w:val="24"/>
        </w:rPr>
      </w:pPr>
      <w:r w:rsidRPr="0028154A">
        <w:rPr>
          <w:bCs/>
          <w:szCs w:val="24"/>
        </w:rPr>
        <w:t>HSE inspector opinion is that these are less likely to occur in the initial ten years of the CCUS and hydrogen industries</w:t>
      </w:r>
      <w:r w:rsidR="00281084">
        <w:rPr>
          <w:bCs/>
          <w:szCs w:val="24"/>
        </w:rPr>
        <w:t xml:space="preserve">. </w:t>
      </w:r>
      <w:proofErr w:type="gramStart"/>
      <w:r w:rsidR="00281084">
        <w:rPr>
          <w:bCs/>
          <w:szCs w:val="24"/>
        </w:rPr>
        <w:t>H</w:t>
      </w:r>
      <w:r w:rsidRPr="0028154A">
        <w:rPr>
          <w:bCs/>
          <w:szCs w:val="24"/>
        </w:rPr>
        <w:t>owever</w:t>
      </w:r>
      <w:proofErr w:type="gramEnd"/>
      <w:r w:rsidRPr="0028154A">
        <w:rPr>
          <w:bCs/>
          <w:szCs w:val="24"/>
        </w:rPr>
        <w:t xml:space="preserve"> due to uncertainty around the likely number of notifications and the lower cost impact of combined operations notifications, the proxy assumption that these will occur at a similar rate of hydrocarbons has been retained. </w:t>
      </w:r>
      <w:r w:rsidR="00C83489">
        <w:rPr>
          <w:bCs/>
          <w:szCs w:val="24"/>
        </w:rPr>
        <w:t>Th</w:t>
      </w:r>
      <w:r w:rsidR="00036B25">
        <w:rPr>
          <w:bCs/>
          <w:szCs w:val="24"/>
        </w:rPr>
        <w:t>is</w:t>
      </w:r>
      <w:r w:rsidR="00C83489">
        <w:rPr>
          <w:bCs/>
          <w:szCs w:val="24"/>
        </w:rPr>
        <w:t xml:space="preserve"> is </w:t>
      </w:r>
      <w:r w:rsidRPr="0028154A">
        <w:rPr>
          <w:bCs/>
          <w:szCs w:val="24"/>
        </w:rPr>
        <w:t>an average of 0.2</w:t>
      </w:r>
      <w:r w:rsidR="00C83489">
        <w:rPr>
          <w:bCs/>
          <w:szCs w:val="24"/>
        </w:rPr>
        <w:t xml:space="preserve"> </w:t>
      </w:r>
      <w:r w:rsidR="00036B25">
        <w:rPr>
          <w:bCs/>
          <w:szCs w:val="24"/>
        </w:rPr>
        <w:t>combined operations notifications</w:t>
      </w:r>
      <w:r w:rsidRPr="0028154A">
        <w:rPr>
          <w:bCs/>
          <w:szCs w:val="24"/>
        </w:rPr>
        <w:t xml:space="preserve"> per installation </w:t>
      </w:r>
      <w:r w:rsidR="00036B25">
        <w:rPr>
          <w:bCs/>
          <w:szCs w:val="24"/>
        </w:rPr>
        <w:t xml:space="preserve">per annum </w:t>
      </w:r>
      <w:r w:rsidRPr="0028154A">
        <w:rPr>
          <w:bCs/>
          <w:szCs w:val="24"/>
        </w:rPr>
        <w:t xml:space="preserve">(or one for every fifth installation in any given year). </w:t>
      </w:r>
    </w:p>
    <w:p w14:paraId="15386CB4" w14:textId="77777777" w:rsidR="0028154A" w:rsidRPr="0028154A" w:rsidRDefault="0028154A" w:rsidP="00CA7F1E">
      <w:pPr>
        <w:numPr>
          <w:ilvl w:val="0"/>
          <w:numId w:val="1"/>
        </w:numPr>
        <w:spacing w:before="240" w:after="120"/>
        <w:jc w:val="both"/>
        <w:rPr>
          <w:bCs/>
          <w:szCs w:val="24"/>
        </w:rPr>
      </w:pPr>
      <w:r w:rsidRPr="0028154A">
        <w:rPr>
          <w:bCs/>
          <w:szCs w:val="24"/>
        </w:rPr>
        <w:t>Based on the above assumption, the estimated cost per installation per annum is between £2.3k and £12k, with a best estimate of £5.5k.</w:t>
      </w:r>
    </w:p>
    <w:p w14:paraId="30AEF844" w14:textId="77777777" w:rsidR="0028154A" w:rsidRPr="0028154A" w:rsidRDefault="0028154A" w:rsidP="00CA7F1E">
      <w:pPr>
        <w:spacing w:before="240" w:after="120"/>
        <w:jc w:val="both"/>
        <w:rPr>
          <w:bCs/>
          <w:i/>
          <w:iCs/>
          <w:szCs w:val="24"/>
        </w:rPr>
      </w:pPr>
      <w:r w:rsidRPr="0028154A">
        <w:rPr>
          <w:bCs/>
          <w:i/>
          <w:iCs/>
          <w:szCs w:val="24"/>
        </w:rPr>
        <w:t>Producing a well notification – including ICP consideration</w:t>
      </w:r>
    </w:p>
    <w:p w14:paraId="437713BE" w14:textId="77777777" w:rsidR="0028154A" w:rsidRPr="0028154A" w:rsidRDefault="0028154A" w:rsidP="00CA7F1E">
      <w:pPr>
        <w:numPr>
          <w:ilvl w:val="0"/>
          <w:numId w:val="1"/>
        </w:numPr>
        <w:spacing w:before="240" w:after="120"/>
        <w:jc w:val="both"/>
        <w:rPr>
          <w:bCs/>
          <w:szCs w:val="24"/>
        </w:rPr>
      </w:pPr>
      <w:r w:rsidRPr="0028154A">
        <w:rPr>
          <w:bCs/>
          <w:szCs w:val="24"/>
        </w:rPr>
        <w:t>Operators are required to produce a well operations notification providing prior notice of well operations to HSE. These supplement the existing safety case with well-specific information. These notifications are reviewed and considered by an independent competent person (ICP).</w:t>
      </w:r>
    </w:p>
    <w:p w14:paraId="4A3D49B6" w14:textId="77777777"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producing a well notification could vary from £81k to £100k, with a best estimate of £91k per notification.</w:t>
      </w:r>
    </w:p>
    <w:p w14:paraId="2C4199A5" w14:textId="6CDF95A8" w:rsidR="0028154A" w:rsidRPr="0028154A" w:rsidRDefault="0028154A" w:rsidP="00CA7F1E">
      <w:pPr>
        <w:numPr>
          <w:ilvl w:val="0"/>
          <w:numId w:val="1"/>
        </w:numPr>
        <w:spacing w:before="240" w:after="120"/>
        <w:jc w:val="both"/>
        <w:rPr>
          <w:bCs/>
          <w:szCs w:val="24"/>
        </w:rPr>
      </w:pPr>
      <w:bookmarkStart w:id="16" w:name="_Ref178065669"/>
      <w:r w:rsidRPr="0028154A">
        <w:rPr>
          <w:bCs/>
          <w:szCs w:val="24"/>
        </w:rPr>
        <w:t xml:space="preserve">At this stage it has been assumed, based on HSE expert input, that well notifications will occur at CCUS installations at a similar rate to existing hydrocarbon installations. This rate has therefore been used as a suitable proxy given that the CCUS sector is not yet up and running, so there is no data on the rate at which they make well notifications. </w:t>
      </w:r>
      <w:r w:rsidR="00551C92">
        <w:rPr>
          <w:bCs/>
          <w:szCs w:val="24"/>
        </w:rPr>
        <w:t xml:space="preserve">Wells are not expected to be drilled </w:t>
      </w:r>
      <w:r w:rsidR="00C60068">
        <w:rPr>
          <w:bCs/>
          <w:szCs w:val="24"/>
        </w:rPr>
        <w:t xml:space="preserve">in the offshore production of </w:t>
      </w:r>
      <w:proofErr w:type="gramStart"/>
      <w:r w:rsidR="00C60068">
        <w:rPr>
          <w:bCs/>
          <w:szCs w:val="24"/>
        </w:rPr>
        <w:t>hydrogen</w:t>
      </w:r>
      <w:r w:rsidRPr="0028154A">
        <w:rPr>
          <w:bCs/>
          <w:szCs w:val="24"/>
        </w:rPr>
        <w:t>,</w:t>
      </w:r>
      <w:proofErr w:type="gramEnd"/>
      <w:r w:rsidRPr="0028154A">
        <w:rPr>
          <w:bCs/>
          <w:szCs w:val="24"/>
        </w:rPr>
        <w:t xml:space="preserve"> therefore they will not make well notifications and do not incur these costs.</w:t>
      </w:r>
      <w:bookmarkEnd w:id="16"/>
    </w:p>
    <w:p w14:paraId="6BB01034" w14:textId="52BB68B5" w:rsidR="0028154A" w:rsidRPr="0028154A" w:rsidRDefault="00F32E5C" w:rsidP="00CA7F1E">
      <w:pPr>
        <w:numPr>
          <w:ilvl w:val="0"/>
          <w:numId w:val="1"/>
        </w:numPr>
        <w:spacing w:before="240" w:after="120"/>
        <w:jc w:val="both"/>
        <w:rPr>
          <w:bCs/>
          <w:szCs w:val="24"/>
        </w:rPr>
      </w:pPr>
      <w:r>
        <w:rPr>
          <w:bCs/>
          <w:szCs w:val="24"/>
        </w:rPr>
        <w:lastRenderedPageBreak/>
        <w:t xml:space="preserve">There </w:t>
      </w:r>
      <w:r w:rsidR="0028154A" w:rsidRPr="0028154A">
        <w:rPr>
          <w:bCs/>
          <w:szCs w:val="24"/>
        </w:rPr>
        <w:t xml:space="preserve">is an average of 2.2 </w:t>
      </w:r>
      <w:r>
        <w:rPr>
          <w:bCs/>
          <w:szCs w:val="24"/>
        </w:rPr>
        <w:t xml:space="preserve">well </w:t>
      </w:r>
      <w:r w:rsidR="0028154A" w:rsidRPr="0028154A">
        <w:rPr>
          <w:bCs/>
          <w:szCs w:val="24"/>
        </w:rPr>
        <w:t>notifications per installation per annum</w:t>
      </w:r>
      <w:r>
        <w:rPr>
          <w:bCs/>
          <w:szCs w:val="24"/>
        </w:rPr>
        <w:t xml:space="preserve"> for the existing offshore sector</w:t>
      </w:r>
      <w:r w:rsidR="0028154A" w:rsidRPr="0028154A">
        <w:rPr>
          <w:bCs/>
          <w:szCs w:val="24"/>
        </w:rPr>
        <w:t>. This rate of notifications has been used as a reasonable proxy for the CCUS industry.</w:t>
      </w:r>
    </w:p>
    <w:p w14:paraId="5C6A7CBF" w14:textId="7B7DFBAB" w:rsidR="0028154A" w:rsidRPr="0028154A" w:rsidRDefault="0028154A" w:rsidP="00CA7F1E">
      <w:pPr>
        <w:numPr>
          <w:ilvl w:val="0"/>
          <w:numId w:val="1"/>
        </w:numPr>
        <w:spacing w:before="240" w:after="120"/>
        <w:jc w:val="both"/>
        <w:rPr>
          <w:bCs/>
          <w:szCs w:val="24"/>
        </w:rPr>
      </w:pPr>
      <w:r w:rsidRPr="0028154A">
        <w:rPr>
          <w:bCs/>
          <w:szCs w:val="24"/>
        </w:rPr>
        <w:t>Applying the above assumption results in an estimated cost of between £180k and £230k, with a best estimate of £200k per installation per annum</w:t>
      </w:r>
      <w:r w:rsidR="0049334F">
        <w:rPr>
          <w:bCs/>
          <w:szCs w:val="24"/>
        </w:rPr>
        <w:t xml:space="preserve"> for CCUS installations only</w:t>
      </w:r>
      <w:r w:rsidRPr="0028154A">
        <w:rPr>
          <w:bCs/>
          <w:szCs w:val="24"/>
        </w:rPr>
        <w:t>.</w:t>
      </w:r>
    </w:p>
    <w:p w14:paraId="7C408DEA" w14:textId="77777777" w:rsidR="0028154A" w:rsidRPr="0028154A" w:rsidRDefault="0028154A" w:rsidP="00CA7F1E">
      <w:pPr>
        <w:spacing w:before="240" w:after="120"/>
        <w:jc w:val="both"/>
        <w:rPr>
          <w:bCs/>
          <w:i/>
          <w:iCs/>
          <w:szCs w:val="24"/>
        </w:rPr>
      </w:pPr>
      <w:r w:rsidRPr="0028154A">
        <w:rPr>
          <w:bCs/>
          <w:i/>
          <w:iCs/>
          <w:szCs w:val="24"/>
        </w:rPr>
        <w:t>ICP consideration of material changes to well notifications</w:t>
      </w:r>
    </w:p>
    <w:p w14:paraId="265C102D" w14:textId="7634ECA2" w:rsidR="00DB0E23" w:rsidRPr="00DB0E23" w:rsidRDefault="0028154A" w:rsidP="00CA7F1E">
      <w:pPr>
        <w:numPr>
          <w:ilvl w:val="0"/>
          <w:numId w:val="1"/>
        </w:numPr>
        <w:spacing w:before="240" w:after="120"/>
        <w:jc w:val="both"/>
        <w:rPr>
          <w:bCs/>
          <w:szCs w:val="24"/>
        </w:rPr>
      </w:pPr>
      <w:r w:rsidRPr="0028154A">
        <w:rPr>
          <w:bCs/>
          <w:szCs w:val="24"/>
        </w:rPr>
        <w:t>Operators are required to get ICP consideration of material changes</w:t>
      </w:r>
      <w:r w:rsidR="00B2767F">
        <w:rPr>
          <w:rStyle w:val="FootnoteReference"/>
          <w:bCs/>
          <w:szCs w:val="24"/>
        </w:rPr>
        <w:footnoteReference w:id="38"/>
      </w:r>
      <w:r w:rsidRPr="0028154A">
        <w:rPr>
          <w:bCs/>
          <w:szCs w:val="24"/>
        </w:rPr>
        <w:t xml:space="preserve"> to a well notification. </w:t>
      </w:r>
      <w:r w:rsidR="00DB0E23" w:rsidRPr="00DB0E23">
        <w:rPr>
          <w:bCs/>
          <w:szCs w:val="24"/>
        </w:rPr>
        <w:t xml:space="preserve">A material change is one that is likely to change the basis on which an original safety case or notification was accepted. Such a change merits reappraisal of the risk control arrangements, </w:t>
      </w:r>
      <w:proofErr w:type="gramStart"/>
      <w:r w:rsidR="00DB0E23" w:rsidRPr="00DB0E23">
        <w:rPr>
          <w:bCs/>
          <w:szCs w:val="24"/>
        </w:rPr>
        <w:t>whether or not</w:t>
      </w:r>
      <w:proofErr w:type="gramEnd"/>
      <w:r w:rsidR="00DB0E23" w:rsidRPr="00DB0E23">
        <w:rPr>
          <w:bCs/>
          <w:szCs w:val="24"/>
        </w:rPr>
        <w:t xml:space="preserve"> they require the adjustment of measures to be taken</w:t>
      </w:r>
      <w:r w:rsidR="006874EA">
        <w:rPr>
          <w:bCs/>
          <w:szCs w:val="24"/>
        </w:rPr>
        <w:t>. In practice</w:t>
      </w:r>
      <w:r w:rsidR="00C834CB">
        <w:rPr>
          <w:bCs/>
          <w:szCs w:val="24"/>
        </w:rPr>
        <w:t>, safety case revisions are considered material where they have the potential to affect the major accident risks or their controls, either directly or indirectly</w:t>
      </w:r>
      <w:r w:rsidR="00DB0E23" w:rsidRPr="00DB0E23">
        <w:rPr>
          <w:bCs/>
          <w:szCs w:val="24"/>
        </w:rPr>
        <w:t>.</w:t>
      </w:r>
    </w:p>
    <w:p w14:paraId="539144BD" w14:textId="5F5C50CC"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between £3.6k and £4.3k, with a best estimate of £3.9k per material change.</w:t>
      </w:r>
    </w:p>
    <w:p w14:paraId="0706F4E2" w14:textId="07FCE015" w:rsidR="0028154A" w:rsidRPr="0028154A" w:rsidRDefault="0028154A" w:rsidP="00CA7F1E">
      <w:pPr>
        <w:numPr>
          <w:ilvl w:val="0"/>
          <w:numId w:val="1"/>
        </w:numPr>
        <w:spacing w:before="240" w:after="120"/>
        <w:jc w:val="both"/>
        <w:rPr>
          <w:bCs/>
          <w:szCs w:val="24"/>
        </w:rPr>
      </w:pPr>
      <w:r w:rsidRPr="0028154A">
        <w:rPr>
          <w:bCs/>
          <w:szCs w:val="24"/>
        </w:rPr>
        <w:t>As with well notification themselves, we assume that these will occur at CCUS installations at a similar rate to existing hydrocarbon installations. Based on the 2015 SCR I</w:t>
      </w:r>
      <w:r w:rsidR="00C144F6">
        <w:rPr>
          <w:bCs/>
          <w:szCs w:val="24"/>
        </w:rPr>
        <w:t xml:space="preserve">mpact </w:t>
      </w:r>
      <w:r w:rsidRPr="0028154A">
        <w:rPr>
          <w:bCs/>
          <w:szCs w:val="24"/>
        </w:rPr>
        <w:t>A</w:t>
      </w:r>
      <w:r w:rsidR="00C144F6">
        <w:rPr>
          <w:bCs/>
          <w:szCs w:val="24"/>
        </w:rPr>
        <w:t>ssessment</w:t>
      </w:r>
      <w:r w:rsidRPr="0028154A">
        <w:rPr>
          <w:bCs/>
          <w:szCs w:val="24"/>
        </w:rPr>
        <w:t xml:space="preserve"> it is estimated that there will be 0.9 material changes to well notifications per installation per annum. These do not apply to hydrogen production installations.</w:t>
      </w:r>
    </w:p>
    <w:p w14:paraId="30ED3CFF" w14:textId="7F202DD9" w:rsidR="0028154A" w:rsidRPr="0028154A" w:rsidRDefault="0028154A" w:rsidP="00CA7F1E">
      <w:pPr>
        <w:numPr>
          <w:ilvl w:val="0"/>
          <w:numId w:val="1"/>
        </w:numPr>
        <w:spacing w:before="240" w:after="120"/>
        <w:jc w:val="both"/>
        <w:rPr>
          <w:bCs/>
          <w:szCs w:val="24"/>
        </w:rPr>
      </w:pPr>
      <w:r w:rsidRPr="0028154A">
        <w:rPr>
          <w:bCs/>
          <w:szCs w:val="24"/>
        </w:rPr>
        <w:t>Applying the above assumption results in an estimated cost of between £3.3k and £4.0k, with a best estimate of £3.6k per installation</w:t>
      </w:r>
      <w:r w:rsidR="00127621">
        <w:rPr>
          <w:bCs/>
          <w:szCs w:val="24"/>
        </w:rPr>
        <w:t xml:space="preserve"> for CCUS installations only</w:t>
      </w:r>
      <w:r w:rsidRPr="0028154A">
        <w:rPr>
          <w:bCs/>
          <w:szCs w:val="24"/>
        </w:rPr>
        <w:t>.</w:t>
      </w:r>
    </w:p>
    <w:p w14:paraId="1849D3A3" w14:textId="77777777" w:rsidR="0028154A" w:rsidRPr="0028154A" w:rsidRDefault="0028154A" w:rsidP="00CA7F1E">
      <w:pPr>
        <w:spacing w:before="240" w:after="120"/>
        <w:jc w:val="both"/>
        <w:rPr>
          <w:bCs/>
          <w:i/>
          <w:iCs/>
          <w:szCs w:val="24"/>
        </w:rPr>
      </w:pPr>
      <w:r w:rsidRPr="0028154A">
        <w:rPr>
          <w:bCs/>
          <w:i/>
          <w:iCs/>
          <w:szCs w:val="24"/>
        </w:rPr>
        <w:t>Producing a design notification</w:t>
      </w:r>
    </w:p>
    <w:p w14:paraId="6348D540" w14:textId="59C26515" w:rsidR="0028154A" w:rsidRPr="0028154A" w:rsidRDefault="0028154A" w:rsidP="00CA7F1E">
      <w:pPr>
        <w:numPr>
          <w:ilvl w:val="0"/>
          <w:numId w:val="1"/>
        </w:numPr>
        <w:spacing w:before="240" w:after="120"/>
        <w:jc w:val="both"/>
      </w:pPr>
      <w:r>
        <w:t xml:space="preserve">Operators are required to produce a design notification containing the </w:t>
      </w:r>
      <w:proofErr w:type="gramStart"/>
      <w:r>
        <w:t>principle</w:t>
      </w:r>
      <w:proofErr w:type="gramEnd"/>
      <w:r>
        <w:t xml:space="preserve"> features of the design of </w:t>
      </w:r>
      <w:r w:rsidR="006B347E">
        <w:t xml:space="preserve">their </w:t>
      </w:r>
      <w:r>
        <w:t>structure and plant prior to operation and send this to the competent authority</w:t>
      </w:r>
      <w:r w:rsidR="00994DDA">
        <w:t>.</w:t>
      </w:r>
      <w:r w:rsidR="005C206C">
        <w:t xml:space="preserve"> </w:t>
      </w:r>
      <w:r w:rsidR="00334B3F" w:rsidRPr="00334B3F">
        <w:t xml:space="preserve">A competent authority is a government-appointed body responsible for enforcing laws and regulations within a particular jurisdiction. Examples include: the Control of Major Accident Hazards Regulations 2015 (COMAH) </w:t>
      </w:r>
      <w:r w:rsidR="002D58F5">
        <w:t xml:space="preserve">which </w:t>
      </w:r>
      <w:r w:rsidR="00334B3F" w:rsidRPr="00334B3F">
        <w:t>are enforced by a Competent Authority which comprises jointly the Health and Safety Executive (HSE) in GB and the relevant environment agency (the Environment Agency in England, Scottish Environment Protection Agency in Scotland and Natural Resources Body for Wales in Wales)</w:t>
      </w:r>
      <w:r w:rsidR="005A4C11">
        <w:t xml:space="preserve">. </w:t>
      </w:r>
      <w:r w:rsidR="008B182B">
        <w:t>O</w:t>
      </w:r>
      <w:r w:rsidR="00334B3F" w:rsidRPr="00334B3F">
        <w:t>ffshore, the Offshore Major Accident Regulator (OMAR) is the UK's Offshore Competent Authority (CA). It comprises the HSE and the Offshore Petroleum Regulator for Environment and Decommissioning (OPRED) (part of the Department for Energy, Security and Net Zero) working in partnership.</w:t>
      </w:r>
    </w:p>
    <w:p w14:paraId="7C29EB90" w14:textId="77777777"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producing a design notification is between £33k and £42k, with a best estimate of £38k per notification. This is a one-off cost incurred prior to operation.</w:t>
      </w:r>
    </w:p>
    <w:p w14:paraId="6F3EE20E" w14:textId="77777777" w:rsidR="0028154A" w:rsidRPr="0028154A" w:rsidRDefault="0028154A" w:rsidP="00CA7F1E">
      <w:pPr>
        <w:spacing w:before="240" w:after="120"/>
        <w:jc w:val="both"/>
        <w:rPr>
          <w:bCs/>
          <w:i/>
          <w:iCs/>
          <w:szCs w:val="24"/>
        </w:rPr>
      </w:pPr>
      <w:r w:rsidRPr="0028154A">
        <w:rPr>
          <w:bCs/>
          <w:i/>
          <w:iCs/>
          <w:szCs w:val="24"/>
        </w:rPr>
        <w:t>Establishing, maintaining and reviewing a verification scheme</w:t>
      </w:r>
    </w:p>
    <w:p w14:paraId="5A731EE8" w14:textId="77777777" w:rsidR="0028154A" w:rsidRPr="0028154A" w:rsidRDefault="0028154A" w:rsidP="00CA7F1E">
      <w:pPr>
        <w:numPr>
          <w:ilvl w:val="0"/>
          <w:numId w:val="1"/>
        </w:numPr>
        <w:spacing w:before="240" w:after="120"/>
        <w:jc w:val="both"/>
        <w:rPr>
          <w:bCs/>
          <w:szCs w:val="24"/>
        </w:rPr>
      </w:pPr>
      <w:r w:rsidRPr="0028154A">
        <w:rPr>
          <w:bCs/>
          <w:szCs w:val="24"/>
        </w:rPr>
        <w:lastRenderedPageBreak/>
        <w:t>Operators are required to establish a verification scheme for ensuring that the safety and environmental critical elements are suitable and remain in good repair and condition.</w:t>
      </w:r>
    </w:p>
    <w:p w14:paraId="0D7592CF" w14:textId="77777777"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establishing a verification scheme is between £160k and £2.8m, with a best estimate of £1.6m per installation. This is a one-off cost incurred upfront, prior to operation.</w:t>
      </w:r>
    </w:p>
    <w:p w14:paraId="728DD195" w14:textId="0CC539CE"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maintaining a verification scheme could vary between £83k and £380k, with a best estimate of £34</w:t>
      </w:r>
      <w:r w:rsidR="00075FC4">
        <w:rPr>
          <w:bCs/>
          <w:szCs w:val="24"/>
        </w:rPr>
        <w:t>0</w:t>
      </w:r>
      <w:r w:rsidRPr="0028154A">
        <w:rPr>
          <w:bCs/>
          <w:szCs w:val="24"/>
        </w:rPr>
        <w:t>k installation. This cost is incurred annually.</w:t>
      </w:r>
    </w:p>
    <w:p w14:paraId="45AE3EC9" w14:textId="77777777" w:rsidR="0028154A" w:rsidRPr="0028154A" w:rsidRDefault="0028154A" w:rsidP="00CA7F1E">
      <w:pPr>
        <w:numPr>
          <w:ilvl w:val="0"/>
          <w:numId w:val="1"/>
        </w:numPr>
        <w:spacing w:before="240" w:after="120"/>
        <w:jc w:val="both"/>
        <w:rPr>
          <w:bCs/>
          <w:szCs w:val="24"/>
        </w:rPr>
      </w:pPr>
      <w:r w:rsidRPr="0028154A">
        <w:rPr>
          <w:bCs/>
          <w:szCs w:val="24"/>
        </w:rPr>
        <w:t>Estimates produced in previous assessments indicate that the cost of reviewing the verification scheme could vary between £62k and £75k, with a best estimate of £69k. This cost is incurred every 2.5 years.</w:t>
      </w:r>
    </w:p>
    <w:p w14:paraId="48AB7006" w14:textId="77777777" w:rsidR="0028154A" w:rsidRPr="0028154A" w:rsidRDefault="0028154A" w:rsidP="00CA7F1E">
      <w:pPr>
        <w:spacing w:before="240" w:after="120"/>
        <w:jc w:val="both"/>
        <w:rPr>
          <w:bCs/>
          <w:i/>
          <w:iCs/>
          <w:szCs w:val="24"/>
        </w:rPr>
      </w:pPr>
      <w:r w:rsidRPr="0028154A">
        <w:rPr>
          <w:bCs/>
          <w:i/>
          <w:iCs/>
          <w:szCs w:val="24"/>
        </w:rPr>
        <w:t>Appointing and overseeing an operator</w:t>
      </w:r>
    </w:p>
    <w:p w14:paraId="73F56933" w14:textId="77777777" w:rsidR="0028154A" w:rsidRPr="0028154A" w:rsidRDefault="0028154A" w:rsidP="00CA7F1E">
      <w:pPr>
        <w:numPr>
          <w:ilvl w:val="0"/>
          <w:numId w:val="1"/>
        </w:numPr>
        <w:spacing w:before="240" w:after="120"/>
        <w:jc w:val="both"/>
        <w:rPr>
          <w:bCs/>
          <w:szCs w:val="24"/>
        </w:rPr>
      </w:pPr>
      <w:r w:rsidRPr="0028154A">
        <w:rPr>
          <w:bCs/>
          <w:szCs w:val="24"/>
        </w:rPr>
        <w:t>An operator capable of satisfactorily carrying out the duties under the relevant statutory provisions must be appointed for each installation.</w:t>
      </w:r>
    </w:p>
    <w:p w14:paraId="7F4AC8B8" w14:textId="77777777" w:rsidR="003613F3" w:rsidRDefault="0028154A" w:rsidP="00CA7F1E">
      <w:pPr>
        <w:numPr>
          <w:ilvl w:val="0"/>
          <w:numId w:val="1"/>
        </w:numPr>
        <w:spacing w:before="240" w:after="120"/>
        <w:jc w:val="both"/>
        <w:rPr>
          <w:bCs/>
          <w:szCs w:val="24"/>
        </w:rPr>
      </w:pPr>
      <w:r w:rsidRPr="0028154A">
        <w:rPr>
          <w:bCs/>
          <w:szCs w:val="24"/>
        </w:rPr>
        <w:t>Estimates produced in previous assessments indicate that there is a one</w:t>
      </w:r>
      <w:r w:rsidR="00141E26">
        <w:rPr>
          <w:bCs/>
          <w:szCs w:val="24"/>
        </w:rPr>
        <w:t>-</w:t>
      </w:r>
      <w:r w:rsidRPr="0028154A">
        <w:rPr>
          <w:bCs/>
          <w:szCs w:val="24"/>
        </w:rPr>
        <w:t>off cost of initially appointing an operator of between £37k and £45k, with a best estimate of £41k per installation.</w:t>
      </w:r>
    </w:p>
    <w:p w14:paraId="28D1AD42" w14:textId="4972E57D" w:rsidR="0028154A" w:rsidRPr="0028154A" w:rsidRDefault="00F34F8C" w:rsidP="00CA7F1E">
      <w:pPr>
        <w:numPr>
          <w:ilvl w:val="0"/>
          <w:numId w:val="1"/>
        </w:numPr>
        <w:spacing w:before="240" w:after="120"/>
        <w:jc w:val="both"/>
        <w:rPr>
          <w:bCs/>
          <w:szCs w:val="24"/>
        </w:rPr>
      </w:pPr>
      <w:r>
        <w:rPr>
          <w:bCs/>
          <w:szCs w:val="24"/>
        </w:rPr>
        <w:t>It was also estimated that there would be an</w:t>
      </w:r>
      <w:r w:rsidR="0028154A" w:rsidRPr="0028154A">
        <w:rPr>
          <w:bCs/>
          <w:szCs w:val="24"/>
        </w:rPr>
        <w:t xml:space="preserve"> ongoing annual cost of overseeing the operator of the same </w:t>
      </w:r>
      <w:r w:rsidR="00074CDB">
        <w:rPr>
          <w:bCs/>
          <w:szCs w:val="24"/>
        </w:rPr>
        <w:t>amount</w:t>
      </w:r>
      <w:r w:rsidR="003613F3">
        <w:rPr>
          <w:bCs/>
          <w:szCs w:val="24"/>
        </w:rPr>
        <w:t xml:space="preserve"> (</w:t>
      </w:r>
      <w:r w:rsidR="003613F3" w:rsidRPr="0028154A">
        <w:rPr>
          <w:bCs/>
          <w:szCs w:val="24"/>
        </w:rPr>
        <w:t>between £37k and £45k, with a best estimate of £41k</w:t>
      </w:r>
      <w:r w:rsidR="003613F3">
        <w:rPr>
          <w:bCs/>
          <w:szCs w:val="24"/>
        </w:rPr>
        <w:t xml:space="preserve">) </w:t>
      </w:r>
      <w:r w:rsidR="00074CDB">
        <w:rPr>
          <w:bCs/>
          <w:szCs w:val="24"/>
        </w:rPr>
        <w:t>on a per installation level.</w:t>
      </w:r>
    </w:p>
    <w:p w14:paraId="0EF08DD4" w14:textId="3AE92477" w:rsidR="0028154A" w:rsidRDefault="0028154A" w:rsidP="00CA7F1E">
      <w:pPr>
        <w:numPr>
          <w:ilvl w:val="0"/>
          <w:numId w:val="1"/>
        </w:numPr>
        <w:spacing w:before="240" w:after="120"/>
        <w:jc w:val="both"/>
        <w:rPr>
          <w:bCs/>
          <w:szCs w:val="24"/>
        </w:rPr>
      </w:pPr>
      <w:r w:rsidRPr="0028154A">
        <w:rPr>
          <w:bCs/>
          <w:szCs w:val="24"/>
        </w:rPr>
        <w:t xml:space="preserve">In </w:t>
      </w:r>
      <w:proofErr w:type="gramStart"/>
      <w:r w:rsidRPr="0028154A">
        <w:rPr>
          <w:bCs/>
          <w:szCs w:val="24"/>
        </w:rPr>
        <w:t>addition</w:t>
      </w:r>
      <w:proofErr w:type="gramEnd"/>
      <w:r w:rsidRPr="0028154A">
        <w:rPr>
          <w:bCs/>
          <w:szCs w:val="24"/>
        </w:rPr>
        <w:t xml:space="preserve"> an ongoing time cost at company level was included in the 2012 IA. It was estimated that 4.5k man hours, with a range of 4.1k to 5k, at a cost of £150 per hour, would be spent overseeing operators. This results in a cost per company of between £620k and £750k, with a best estimate of £680k per annum. At 72 companies and 320 installations</w:t>
      </w:r>
      <w:r w:rsidR="00766E2B">
        <w:rPr>
          <w:bCs/>
          <w:szCs w:val="24"/>
        </w:rPr>
        <w:t xml:space="preserve"> (at the time of assessment)</w:t>
      </w:r>
      <w:r w:rsidRPr="0028154A">
        <w:rPr>
          <w:bCs/>
          <w:szCs w:val="24"/>
        </w:rPr>
        <w:t>, this results in an average cost per installation per annum of between £140k and £170k, with a best estimate of £150k.</w:t>
      </w:r>
    </w:p>
    <w:p w14:paraId="0CB9EF2C" w14:textId="151F88C4" w:rsidR="00CC3250" w:rsidRPr="0028154A" w:rsidRDefault="00CC3250" w:rsidP="00CA7F1E">
      <w:pPr>
        <w:numPr>
          <w:ilvl w:val="0"/>
          <w:numId w:val="1"/>
        </w:numPr>
        <w:spacing w:before="240" w:after="120"/>
        <w:jc w:val="both"/>
        <w:rPr>
          <w:bCs/>
          <w:szCs w:val="24"/>
        </w:rPr>
      </w:pPr>
      <w:r>
        <w:rPr>
          <w:bCs/>
          <w:szCs w:val="24"/>
        </w:rPr>
        <w:t>Summing the two components of ongoing cost results</w:t>
      </w:r>
      <w:r w:rsidR="002A32BE">
        <w:rPr>
          <w:bCs/>
          <w:szCs w:val="24"/>
        </w:rPr>
        <w:t xml:space="preserve"> in an </w:t>
      </w:r>
      <w:r w:rsidR="006A6B94">
        <w:rPr>
          <w:bCs/>
          <w:szCs w:val="24"/>
        </w:rPr>
        <w:t xml:space="preserve">estimated </w:t>
      </w:r>
      <w:r w:rsidR="002A32BE">
        <w:rPr>
          <w:bCs/>
          <w:szCs w:val="24"/>
        </w:rPr>
        <w:t>annual cost per installation of between £1</w:t>
      </w:r>
      <w:r w:rsidR="006A6B94">
        <w:rPr>
          <w:bCs/>
          <w:szCs w:val="24"/>
        </w:rPr>
        <w:t>80</w:t>
      </w:r>
      <w:r w:rsidR="002A32BE">
        <w:rPr>
          <w:bCs/>
          <w:szCs w:val="24"/>
        </w:rPr>
        <w:t>k and £2</w:t>
      </w:r>
      <w:r w:rsidR="006A6B94">
        <w:rPr>
          <w:bCs/>
          <w:szCs w:val="24"/>
        </w:rPr>
        <w:t>1</w:t>
      </w:r>
      <w:r w:rsidR="002A32BE">
        <w:rPr>
          <w:bCs/>
          <w:szCs w:val="24"/>
        </w:rPr>
        <w:t>0</w:t>
      </w:r>
      <w:r w:rsidR="006A6B94">
        <w:rPr>
          <w:bCs/>
          <w:szCs w:val="24"/>
        </w:rPr>
        <w:t>k, with a best estimate of £200k.</w:t>
      </w:r>
    </w:p>
    <w:p w14:paraId="3D7DB11E" w14:textId="77777777" w:rsidR="0028154A" w:rsidRPr="0028154A" w:rsidRDefault="0028154A" w:rsidP="00CA7F1E">
      <w:pPr>
        <w:spacing w:before="240" w:after="120"/>
        <w:jc w:val="both"/>
        <w:rPr>
          <w:bCs/>
          <w:i/>
          <w:iCs/>
          <w:szCs w:val="24"/>
        </w:rPr>
      </w:pPr>
      <w:r w:rsidRPr="0028154A">
        <w:rPr>
          <w:bCs/>
          <w:i/>
          <w:iCs/>
          <w:szCs w:val="24"/>
        </w:rPr>
        <w:t>Corporate major accident prevention policy (CMAPP)</w:t>
      </w:r>
    </w:p>
    <w:p w14:paraId="1A00A118" w14:textId="4358F470" w:rsidR="0028154A" w:rsidRDefault="0028154A" w:rsidP="00CA7F1E">
      <w:pPr>
        <w:numPr>
          <w:ilvl w:val="0"/>
          <w:numId w:val="1"/>
        </w:numPr>
        <w:spacing w:before="240" w:after="120"/>
        <w:jc w:val="both"/>
        <w:rPr>
          <w:bCs/>
          <w:szCs w:val="24"/>
        </w:rPr>
      </w:pPr>
      <w:r w:rsidRPr="0028154A">
        <w:rPr>
          <w:bCs/>
          <w:szCs w:val="24"/>
        </w:rPr>
        <w:t>Dutyholders are required to produce and maintain a CMAPP</w:t>
      </w:r>
      <w:r w:rsidR="00BA4D17">
        <w:rPr>
          <w:bCs/>
          <w:szCs w:val="24"/>
        </w:rPr>
        <w:t>,</w:t>
      </w:r>
      <w:r w:rsidRPr="0028154A">
        <w:rPr>
          <w:bCs/>
          <w:szCs w:val="24"/>
        </w:rPr>
        <w:t xml:space="preserve"> which establishes the overall aims and arrangements for controlling risk of a major accident and how those aims are achieved. Each company operating offshore is required to have a CMAPP.</w:t>
      </w:r>
    </w:p>
    <w:p w14:paraId="25676B7D" w14:textId="77777777" w:rsidR="00911DD9" w:rsidRDefault="00E937CC" w:rsidP="00CA7F1E">
      <w:pPr>
        <w:numPr>
          <w:ilvl w:val="0"/>
          <w:numId w:val="1"/>
        </w:numPr>
        <w:spacing w:before="240" w:after="120"/>
        <w:jc w:val="both"/>
        <w:rPr>
          <w:bCs/>
          <w:szCs w:val="24"/>
        </w:rPr>
      </w:pPr>
      <w:r>
        <w:rPr>
          <w:bCs/>
          <w:szCs w:val="24"/>
        </w:rPr>
        <w:t xml:space="preserve">As these are produced at the company level, and most companies operating </w:t>
      </w:r>
      <w:r w:rsidR="007B5242">
        <w:rPr>
          <w:bCs/>
          <w:szCs w:val="24"/>
        </w:rPr>
        <w:t xml:space="preserve">CCUS and hydrogen installations </w:t>
      </w:r>
      <w:r>
        <w:rPr>
          <w:bCs/>
          <w:szCs w:val="24"/>
        </w:rPr>
        <w:t>are expected to be companies already operating offshore</w:t>
      </w:r>
      <w:r w:rsidR="007B5242">
        <w:rPr>
          <w:bCs/>
          <w:szCs w:val="24"/>
        </w:rPr>
        <w:t xml:space="preserve">, </w:t>
      </w:r>
      <w:r w:rsidR="004F3675">
        <w:rPr>
          <w:bCs/>
          <w:szCs w:val="24"/>
        </w:rPr>
        <w:t xml:space="preserve">this should </w:t>
      </w:r>
      <w:r w:rsidR="00326D06">
        <w:rPr>
          <w:bCs/>
          <w:szCs w:val="24"/>
        </w:rPr>
        <w:t>incur minimal to no additional cost</w:t>
      </w:r>
      <w:r w:rsidR="00C446C4">
        <w:rPr>
          <w:bCs/>
          <w:szCs w:val="24"/>
        </w:rPr>
        <w:t xml:space="preserve"> to the company. </w:t>
      </w:r>
      <w:proofErr w:type="gramStart"/>
      <w:r w:rsidR="00C446C4">
        <w:rPr>
          <w:bCs/>
          <w:szCs w:val="24"/>
        </w:rPr>
        <w:t>Furthermore</w:t>
      </w:r>
      <w:proofErr w:type="gramEnd"/>
      <w:r w:rsidR="00C446C4">
        <w:rPr>
          <w:bCs/>
          <w:szCs w:val="24"/>
        </w:rPr>
        <w:t xml:space="preserve"> any cost that is incurred will cover all installations</w:t>
      </w:r>
      <w:r w:rsidR="00C26D7D">
        <w:rPr>
          <w:bCs/>
          <w:szCs w:val="24"/>
        </w:rPr>
        <w:t xml:space="preserve"> that the company operates.</w:t>
      </w:r>
      <w:r w:rsidR="00B05C5C">
        <w:rPr>
          <w:bCs/>
          <w:szCs w:val="24"/>
        </w:rPr>
        <w:t xml:space="preserve"> </w:t>
      </w:r>
    </w:p>
    <w:p w14:paraId="6DDD1B27" w14:textId="331C6CC5" w:rsidR="005C40F7" w:rsidRDefault="005C40F7" w:rsidP="00CA7F1E">
      <w:pPr>
        <w:numPr>
          <w:ilvl w:val="0"/>
          <w:numId w:val="1"/>
        </w:numPr>
        <w:spacing w:before="240" w:after="120"/>
        <w:jc w:val="both"/>
        <w:rPr>
          <w:bCs/>
          <w:szCs w:val="24"/>
        </w:rPr>
      </w:pPr>
      <w:r>
        <w:rPr>
          <w:bCs/>
          <w:szCs w:val="24"/>
        </w:rPr>
        <w:t>The estimated cost of producing an entire CMAPP is between £25k and £95k per company, with a best estimate of £60k. This would be a one-off cost.</w:t>
      </w:r>
      <w:r w:rsidR="00604D5C">
        <w:rPr>
          <w:bCs/>
          <w:szCs w:val="24"/>
        </w:rPr>
        <w:t xml:space="preserve"> There would</w:t>
      </w:r>
      <w:r w:rsidR="00794978">
        <w:rPr>
          <w:bCs/>
          <w:szCs w:val="24"/>
        </w:rPr>
        <w:t xml:space="preserve"> also</w:t>
      </w:r>
      <w:r w:rsidR="00604D5C">
        <w:rPr>
          <w:bCs/>
          <w:szCs w:val="24"/>
        </w:rPr>
        <w:t xml:space="preserve"> </w:t>
      </w:r>
      <w:r w:rsidR="00604D5C">
        <w:rPr>
          <w:bCs/>
          <w:szCs w:val="24"/>
        </w:rPr>
        <w:lastRenderedPageBreak/>
        <w:t xml:space="preserve">be an ongoing </w:t>
      </w:r>
      <w:r w:rsidR="00794978">
        <w:rPr>
          <w:bCs/>
          <w:szCs w:val="24"/>
        </w:rPr>
        <w:t>maintenance</w:t>
      </w:r>
      <w:r w:rsidR="00604D5C">
        <w:rPr>
          <w:bCs/>
          <w:szCs w:val="24"/>
        </w:rPr>
        <w:t xml:space="preserve"> cost of between </w:t>
      </w:r>
      <w:r w:rsidR="00794978">
        <w:rPr>
          <w:bCs/>
          <w:szCs w:val="24"/>
        </w:rPr>
        <w:t>£1.7k and £7.6k per company per annum, with a best estimate of £4.6k.</w:t>
      </w:r>
    </w:p>
    <w:p w14:paraId="69EE43E7" w14:textId="64C037AB" w:rsidR="004E2025" w:rsidRPr="00604D5C" w:rsidRDefault="00911DD9" w:rsidP="00CA7F1E">
      <w:pPr>
        <w:numPr>
          <w:ilvl w:val="0"/>
          <w:numId w:val="1"/>
        </w:numPr>
        <w:spacing w:before="240" w:after="120"/>
        <w:jc w:val="both"/>
        <w:rPr>
          <w:bCs/>
          <w:szCs w:val="24"/>
        </w:rPr>
      </w:pPr>
      <w:r>
        <w:rPr>
          <w:bCs/>
          <w:szCs w:val="24"/>
        </w:rPr>
        <w:t>It</w:t>
      </w:r>
      <w:r w:rsidR="00B05C5C">
        <w:rPr>
          <w:bCs/>
          <w:szCs w:val="24"/>
        </w:rPr>
        <w:t xml:space="preserve"> </w:t>
      </w:r>
      <w:r w:rsidR="006A03D9">
        <w:rPr>
          <w:bCs/>
          <w:szCs w:val="24"/>
        </w:rPr>
        <w:t xml:space="preserve">is not </w:t>
      </w:r>
      <w:r>
        <w:rPr>
          <w:bCs/>
          <w:szCs w:val="24"/>
        </w:rPr>
        <w:t xml:space="preserve">considered </w:t>
      </w:r>
      <w:r w:rsidR="006A03D9">
        <w:rPr>
          <w:bCs/>
          <w:szCs w:val="24"/>
        </w:rPr>
        <w:t>appropriate to convert these costs to a ‘per installation’ basis, as t</w:t>
      </w:r>
      <w:r w:rsidR="00E81D04">
        <w:rPr>
          <w:bCs/>
          <w:szCs w:val="24"/>
        </w:rPr>
        <w:t>his would depend on whether the company already operates and how many installations they operate.</w:t>
      </w:r>
      <w:r w:rsidR="00604D5C">
        <w:rPr>
          <w:bCs/>
          <w:szCs w:val="24"/>
        </w:rPr>
        <w:t xml:space="preserve"> </w:t>
      </w:r>
      <w:r w:rsidR="004E2025" w:rsidRPr="00604D5C">
        <w:rPr>
          <w:bCs/>
          <w:szCs w:val="24"/>
        </w:rPr>
        <w:t>A</w:t>
      </w:r>
      <w:r w:rsidR="00604D5C" w:rsidRPr="00604D5C">
        <w:rPr>
          <w:bCs/>
          <w:szCs w:val="24"/>
        </w:rPr>
        <w:t>dditionally, a</w:t>
      </w:r>
      <w:r w:rsidR="004E2025" w:rsidRPr="00604D5C">
        <w:rPr>
          <w:bCs/>
          <w:szCs w:val="24"/>
        </w:rPr>
        <w:t xml:space="preserve">nalysis of existing cost estimates </w:t>
      </w:r>
      <w:r w:rsidR="004B1B1B" w:rsidRPr="00604D5C">
        <w:rPr>
          <w:bCs/>
          <w:szCs w:val="24"/>
        </w:rPr>
        <w:t xml:space="preserve">suggests </w:t>
      </w:r>
      <w:r w:rsidR="004E2025" w:rsidRPr="00604D5C">
        <w:rPr>
          <w:bCs/>
          <w:szCs w:val="24"/>
        </w:rPr>
        <w:t xml:space="preserve">that even if </w:t>
      </w:r>
      <w:r w:rsidR="004B1B1B" w:rsidRPr="00604D5C">
        <w:rPr>
          <w:bCs/>
          <w:szCs w:val="24"/>
        </w:rPr>
        <w:t xml:space="preserve">companies operating CCUS and hydrogen installations needed to produce whole new CMAPPs the </w:t>
      </w:r>
      <w:r w:rsidR="00604D5C" w:rsidRPr="00604D5C">
        <w:rPr>
          <w:bCs/>
          <w:szCs w:val="24"/>
        </w:rPr>
        <w:t xml:space="preserve">total </w:t>
      </w:r>
      <w:r w:rsidR="00AC5EC0" w:rsidRPr="00604D5C">
        <w:rPr>
          <w:bCs/>
          <w:szCs w:val="24"/>
        </w:rPr>
        <w:t>cost would</w:t>
      </w:r>
      <w:r w:rsidR="00D546DF" w:rsidRPr="00604D5C">
        <w:rPr>
          <w:bCs/>
          <w:szCs w:val="24"/>
        </w:rPr>
        <w:t xml:space="preserve"> likely</w:t>
      </w:r>
      <w:r w:rsidR="00AC5EC0" w:rsidRPr="00604D5C">
        <w:rPr>
          <w:bCs/>
          <w:szCs w:val="24"/>
        </w:rPr>
        <w:t xml:space="preserve"> be negligible </w:t>
      </w:r>
      <w:r w:rsidR="00CD2464" w:rsidRPr="00604D5C">
        <w:rPr>
          <w:bCs/>
          <w:szCs w:val="24"/>
        </w:rPr>
        <w:t>relative to the full set of costs associated with the proposed requirements.</w:t>
      </w:r>
      <w:r w:rsidRPr="00604D5C">
        <w:rPr>
          <w:bCs/>
          <w:szCs w:val="24"/>
        </w:rPr>
        <w:t xml:space="preserve"> For these reasons the cost of CMAPP has been left out of the ‘per installation’ cost estimates in this OA.</w:t>
      </w:r>
    </w:p>
    <w:p w14:paraId="50B6801F" w14:textId="77777777" w:rsidR="0028154A" w:rsidRPr="0028154A" w:rsidRDefault="0028154A" w:rsidP="00CA7F1E">
      <w:pPr>
        <w:keepNext/>
        <w:spacing w:before="240" w:after="120"/>
        <w:jc w:val="both"/>
        <w:rPr>
          <w:bCs/>
          <w:i/>
          <w:iCs/>
          <w:szCs w:val="24"/>
        </w:rPr>
      </w:pPr>
      <w:r w:rsidRPr="0028154A">
        <w:rPr>
          <w:bCs/>
          <w:i/>
          <w:iCs/>
          <w:szCs w:val="24"/>
        </w:rPr>
        <w:t>Notifying HSE of installations entering or leaving relevant waters</w:t>
      </w:r>
    </w:p>
    <w:p w14:paraId="48C861BF" w14:textId="79981576" w:rsidR="004C69CC" w:rsidRDefault="0028154A" w:rsidP="00CA7F1E">
      <w:pPr>
        <w:keepNext/>
        <w:numPr>
          <w:ilvl w:val="0"/>
          <w:numId w:val="1"/>
        </w:numPr>
        <w:spacing w:before="240" w:after="120"/>
        <w:jc w:val="both"/>
      </w:pPr>
      <w:r w:rsidRPr="0028154A">
        <w:t xml:space="preserve">Operators are required to notify HSE where an installation enters or leaves relevant waters. HSE inspector opinion is that this is not likely to happen frequently during the early years of the offshore CCUS and hydrogen sectors as the sort of </w:t>
      </w:r>
      <w:proofErr w:type="gramStart"/>
      <w:r w:rsidRPr="0028154A">
        <w:t>large scale</w:t>
      </w:r>
      <w:proofErr w:type="gramEnd"/>
      <w:r w:rsidRPr="0028154A">
        <w:t xml:space="preserve"> maintenance that often triggers these notifications is </w:t>
      </w:r>
      <w:r w:rsidR="27200619">
        <w:t>less</w:t>
      </w:r>
      <w:r w:rsidRPr="0028154A">
        <w:t xml:space="preserve"> likely. </w:t>
      </w:r>
      <w:proofErr w:type="gramStart"/>
      <w:r w:rsidRPr="0028154A">
        <w:t>F</w:t>
      </w:r>
      <w:r w:rsidR="004C69CC">
        <w:t>urthermore</w:t>
      </w:r>
      <w:proofErr w:type="gramEnd"/>
      <w:r w:rsidR="004C69CC">
        <w:t xml:space="preserve"> the cost of </w:t>
      </w:r>
      <w:r w:rsidR="007537D9">
        <w:t xml:space="preserve">notifying HSE </w:t>
      </w:r>
      <w:r w:rsidR="009C529F">
        <w:t xml:space="preserve">in these cases is considered to be very little, therefore the </w:t>
      </w:r>
      <w:r w:rsidR="0066698C">
        <w:t>overall cost of these notifications is considered negligible for the purpose of this OA.</w:t>
      </w:r>
    </w:p>
    <w:p w14:paraId="6F7FD0D2" w14:textId="643E657D" w:rsidR="0028154A" w:rsidRPr="00000900" w:rsidRDefault="0028154A" w:rsidP="00CA7F1E">
      <w:pPr>
        <w:spacing w:before="240" w:after="120"/>
        <w:jc w:val="both"/>
      </w:pPr>
      <w:r w:rsidRPr="004C69CC">
        <w:rPr>
          <w:bCs/>
          <w:i/>
          <w:iCs/>
          <w:szCs w:val="24"/>
        </w:rPr>
        <w:t>Cost Recovery</w:t>
      </w:r>
    </w:p>
    <w:p w14:paraId="157AF47D" w14:textId="1D007595" w:rsidR="0028154A" w:rsidRPr="0028154A" w:rsidRDefault="0028154A" w:rsidP="00CA7F1E">
      <w:pPr>
        <w:numPr>
          <w:ilvl w:val="0"/>
          <w:numId w:val="1"/>
        </w:numPr>
        <w:spacing w:before="240" w:after="120"/>
        <w:jc w:val="both"/>
        <w:rPr>
          <w:bCs/>
          <w:szCs w:val="24"/>
        </w:rPr>
      </w:pPr>
      <w:r w:rsidRPr="0028154A">
        <w:rPr>
          <w:bCs/>
          <w:szCs w:val="24"/>
        </w:rPr>
        <w:t xml:space="preserve">A fee is payable by the operator for the recovery of costs incurred by the competent authority for the assessment of safety cases and the relevant notifications as listed under Schedule 10 of the Health and Safety and Nuclear (Fees) Regulations 2022. </w:t>
      </w:r>
    </w:p>
    <w:p w14:paraId="29021DFA" w14:textId="513724C5" w:rsidR="0028154A" w:rsidRPr="0028154A" w:rsidRDefault="0028154A" w:rsidP="00CA7F1E">
      <w:pPr>
        <w:numPr>
          <w:ilvl w:val="0"/>
          <w:numId w:val="1"/>
        </w:numPr>
        <w:spacing w:before="240" w:after="120"/>
        <w:jc w:val="both"/>
        <w:rPr>
          <w:bCs/>
          <w:szCs w:val="24"/>
        </w:rPr>
      </w:pPr>
      <w:r w:rsidRPr="0028154A">
        <w:rPr>
          <w:bCs/>
          <w:szCs w:val="24"/>
        </w:rPr>
        <w:t xml:space="preserve">Cost recovery data held by HSE has provided data for the number of </w:t>
      </w:r>
      <w:r w:rsidR="003E3347">
        <w:rPr>
          <w:bCs/>
          <w:szCs w:val="24"/>
        </w:rPr>
        <w:t>chargeable</w:t>
      </w:r>
      <w:r w:rsidRPr="0028154A">
        <w:rPr>
          <w:bCs/>
          <w:szCs w:val="24"/>
        </w:rPr>
        <w:t xml:space="preserve"> hours. This has then been multiplied by the current fee for offshore recoveries of £307 per hour to estimate the amount charged to industry.</w:t>
      </w:r>
    </w:p>
    <w:p w14:paraId="5144CCFF" w14:textId="4CB97DA2" w:rsidR="0028154A" w:rsidRPr="0028154A" w:rsidRDefault="0028154A" w:rsidP="00CA7F1E">
      <w:pPr>
        <w:numPr>
          <w:ilvl w:val="0"/>
          <w:numId w:val="1"/>
        </w:numPr>
        <w:spacing w:before="240" w:after="120"/>
        <w:jc w:val="both"/>
        <w:rPr>
          <w:bCs/>
          <w:szCs w:val="24"/>
        </w:rPr>
      </w:pPr>
      <w:r w:rsidRPr="0028154A">
        <w:rPr>
          <w:bCs/>
          <w:szCs w:val="24"/>
        </w:rPr>
        <w:t>HSE holds data for upfront cost recovery for assessment of new safety cases and design notifications, dating from 2015 to 2024. Across this data</w:t>
      </w:r>
      <w:r w:rsidR="00972442">
        <w:rPr>
          <w:bCs/>
          <w:szCs w:val="24"/>
        </w:rPr>
        <w:t>,</w:t>
      </w:r>
      <w:r w:rsidRPr="0028154A">
        <w:rPr>
          <w:bCs/>
          <w:szCs w:val="24"/>
        </w:rPr>
        <w:t xml:space="preserve"> the average amount of time spent on a design notification assessment is 120 hours</w:t>
      </w:r>
      <w:r w:rsidR="00972442">
        <w:rPr>
          <w:bCs/>
          <w:szCs w:val="24"/>
        </w:rPr>
        <w:t>;</w:t>
      </w:r>
      <w:r w:rsidRPr="0028154A">
        <w:rPr>
          <w:bCs/>
          <w:szCs w:val="24"/>
        </w:rPr>
        <w:t xml:space="preserve"> this is taken as a best estimate. A 20% range has been added </w:t>
      </w:r>
      <w:r w:rsidR="00B636E1">
        <w:rPr>
          <w:bCs/>
          <w:szCs w:val="24"/>
        </w:rPr>
        <w:t xml:space="preserve">to capture uncertainty </w:t>
      </w:r>
      <w:r w:rsidRPr="0028154A">
        <w:rPr>
          <w:bCs/>
          <w:szCs w:val="24"/>
        </w:rPr>
        <w:t>in either direction</w:t>
      </w:r>
      <w:r w:rsidR="00D011A2">
        <w:rPr>
          <w:bCs/>
          <w:szCs w:val="24"/>
        </w:rPr>
        <w:t>,</w:t>
      </w:r>
      <w:r w:rsidR="00B37F2C">
        <w:rPr>
          <w:bCs/>
          <w:szCs w:val="24"/>
        </w:rPr>
        <w:t xml:space="preserve"> this is an arbitrary range intended to capture the </w:t>
      </w:r>
      <w:r w:rsidR="007F6737">
        <w:rPr>
          <w:bCs/>
          <w:szCs w:val="24"/>
        </w:rPr>
        <w:t xml:space="preserve">variation and </w:t>
      </w:r>
      <w:r w:rsidR="00B37F2C">
        <w:rPr>
          <w:bCs/>
          <w:szCs w:val="24"/>
        </w:rPr>
        <w:t>uncertainty</w:t>
      </w:r>
      <w:r w:rsidR="00731CAF">
        <w:rPr>
          <w:bCs/>
          <w:szCs w:val="24"/>
        </w:rPr>
        <w:t xml:space="preserve"> and offset spurious accuracy</w:t>
      </w:r>
      <w:r w:rsidR="00682BC0">
        <w:rPr>
          <w:bCs/>
          <w:szCs w:val="24"/>
        </w:rPr>
        <w:t>. This results in</w:t>
      </w:r>
      <w:r w:rsidRPr="0028154A" w:rsidDel="00D011A2">
        <w:rPr>
          <w:bCs/>
          <w:szCs w:val="24"/>
        </w:rPr>
        <w:t xml:space="preserve"> </w:t>
      </w:r>
      <w:r w:rsidRPr="0028154A">
        <w:rPr>
          <w:bCs/>
          <w:szCs w:val="24"/>
        </w:rPr>
        <w:t>a range of between 92 and 140 hours. For new safety cases the average time spent is 144 hours, with the same 20% assumption applied to give a range of between 120 hours and 170 hours. Applying the cost of £307 per hour result in an upfront cost recovery of between £64k and £96k, with a best estimate of £80k.</w:t>
      </w:r>
    </w:p>
    <w:p w14:paraId="57792FEC" w14:textId="57DACB91" w:rsidR="0028154A" w:rsidRPr="0028154A" w:rsidRDefault="0028154A" w:rsidP="00CA7F1E">
      <w:pPr>
        <w:numPr>
          <w:ilvl w:val="0"/>
          <w:numId w:val="1"/>
        </w:numPr>
        <w:spacing w:before="240" w:after="120"/>
        <w:jc w:val="both"/>
        <w:rPr>
          <w:bCs/>
          <w:szCs w:val="24"/>
        </w:rPr>
      </w:pPr>
      <w:r w:rsidRPr="0028154A">
        <w:rPr>
          <w:bCs/>
          <w:szCs w:val="24"/>
        </w:rPr>
        <w:t>The average annual amount of time cost recovered for ongoing costs over the years 2021, 2022, and 2023 is 8,200 hours</w:t>
      </w:r>
      <w:r w:rsidR="003E3459">
        <w:rPr>
          <w:bCs/>
          <w:szCs w:val="24"/>
        </w:rPr>
        <w:t>;</w:t>
      </w:r>
      <w:r w:rsidRPr="0028154A">
        <w:rPr>
          <w:bCs/>
          <w:szCs w:val="24"/>
        </w:rPr>
        <w:t xml:space="preserve"> this is taken as a best estimate for annual ongoing cost recovery across industry. A range has been formed taking in the highest and lowest amount across the </w:t>
      </w:r>
      <w:proofErr w:type="gramStart"/>
      <w:r w:rsidRPr="0028154A">
        <w:rPr>
          <w:bCs/>
          <w:szCs w:val="24"/>
        </w:rPr>
        <w:t>three year</w:t>
      </w:r>
      <w:proofErr w:type="gramEnd"/>
      <w:r w:rsidRPr="0028154A">
        <w:rPr>
          <w:bCs/>
          <w:szCs w:val="24"/>
        </w:rPr>
        <w:t xml:space="preserve"> period</w:t>
      </w:r>
      <w:r w:rsidR="003B0BE1">
        <w:rPr>
          <w:bCs/>
          <w:szCs w:val="24"/>
        </w:rPr>
        <w:t>;</w:t>
      </w:r>
      <w:r w:rsidRPr="0028154A">
        <w:rPr>
          <w:bCs/>
          <w:szCs w:val="24"/>
        </w:rPr>
        <w:t xml:space="preserve"> this is between 8000 and 8400 hours. These estimates are then divided across the estimated 320 hydrocarbon installations to give an estimate of between 25.0 and 26.4 hours of cost recovery per installation per annum, with a best estimate of 25.6 hours per annum. Applying the £</w:t>
      </w:r>
      <w:r w:rsidR="00693BF1">
        <w:rPr>
          <w:bCs/>
          <w:szCs w:val="24"/>
        </w:rPr>
        <w:t>307</w:t>
      </w:r>
      <w:r w:rsidRPr="0028154A">
        <w:rPr>
          <w:bCs/>
          <w:szCs w:val="24"/>
        </w:rPr>
        <w:t xml:space="preserve"> per hour </w:t>
      </w:r>
      <w:r w:rsidR="00780856">
        <w:rPr>
          <w:bCs/>
          <w:szCs w:val="24"/>
        </w:rPr>
        <w:t>hourly charge</w:t>
      </w:r>
      <w:r w:rsidRPr="0028154A">
        <w:rPr>
          <w:bCs/>
          <w:szCs w:val="24"/>
        </w:rPr>
        <w:t xml:space="preserve"> rate gives an estimate of between £7.7k and £8.1k per installation per annum, with a best estimate of £7.9k.</w:t>
      </w:r>
    </w:p>
    <w:p w14:paraId="5F30500B" w14:textId="77777777" w:rsidR="0028154A" w:rsidRPr="0028154A" w:rsidRDefault="0028154A" w:rsidP="00CA7F1E">
      <w:pPr>
        <w:keepNext/>
        <w:spacing w:before="240" w:after="120"/>
        <w:jc w:val="both"/>
        <w:rPr>
          <w:bCs/>
          <w:szCs w:val="24"/>
          <w:u w:val="single"/>
        </w:rPr>
      </w:pPr>
      <w:r w:rsidRPr="0028154A">
        <w:rPr>
          <w:bCs/>
          <w:szCs w:val="24"/>
          <w:u w:val="single"/>
        </w:rPr>
        <w:lastRenderedPageBreak/>
        <w:t>MAR95</w:t>
      </w:r>
    </w:p>
    <w:p w14:paraId="5B7B91A2" w14:textId="77777777" w:rsidR="0028154A" w:rsidRPr="0028154A" w:rsidRDefault="0028154A" w:rsidP="00CA7F1E">
      <w:pPr>
        <w:keepNext/>
        <w:spacing w:before="240" w:after="120"/>
        <w:jc w:val="both"/>
        <w:rPr>
          <w:bCs/>
          <w:i/>
          <w:iCs/>
          <w:szCs w:val="24"/>
        </w:rPr>
      </w:pPr>
      <w:r w:rsidRPr="0028154A">
        <w:rPr>
          <w:bCs/>
          <w:i/>
          <w:iCs/>
          <w:szCs w:val="24"/>
        </w:rPr>
        <w:t>Training an offshore installation manager</w:t>
      </w:r>
    </w:p>
    <w:p w14:paraId="2E8ED350" w14:textId="30C9780D" w:rsidR="0028154A" w:rsidRPr="0028154A" w:rsidRDefault="0028154A" w:rsidP="00CA7F1E">
      <w:pPr>
        <w:keepNext/>
        <w:numPr>
          <w:ilvl w:val="0"/>
          <w:numId w:val="1"/>
        </w:numPr>
        <w:spacing w:before="240" w:after="120"/>
        <w:jc w:val="both"/>
        <w:rPr>
          <w:bCs/>
          <w:szCs w:val="24"/>
        </w:rPr>
      </w:pPr>
      <w:r w:rsidRPr="0028154A">
        <w:rPr>
          <w:bCs/>
          <w:szCs w:val="24"/>
        </w:rPr>
        <w:t xml:space="preserve">The dutyholder is required to ensure that the installation is under the charge of a competent person. The salary of the manager is not included as cost of compliance as the operator would require a manager for the installation in the absence of MAR. </w:t>
      </w:r>
      <w:r w:rsidR="00F90C5A">
        <w:rPr>
          <w:bCs/>
          <w:szCs w:val="24"/>
        </w:rPr>
        <w:t xml:space="preserve">It is likely that a more competent manager would cost a </w:t>
      </w:r>
      <w:r w:rsidR="00926264">
        <w:rPr>
          <w:bCs/>
          <w:szCs w:val="24"/>
        </w:rPr>
        <w:t xml:space="preserve">premium in </w:t>
      </w:r>
      <w:proofErr w:type="gramStart"/>
      <w:r w:rsidR="00926264">
        <w:rPr>
          <w:bCs/>
          <w:szCs w:val="24"/>
        </w:rPr>
        <w:t>wages</w:t>
      </w:r>
      <w:proofErr w:type="gramEnd"/>
      <w:r w:rsidR="00926264">
        <w:rPr>
          <w:bCs/>
          <w:szCs w:val="24"/>
        </w:rPr>
        <w:t xml:space="preserve"> but </w:t>
      </w:r>
      <w:r w:rsidR="004E5A4F">
        <w:rPr>
          <w:bCs/>
          <w:szCs w:val="24"/>
        </w:rPr>
        <w:t>this is not currently proportionate to measure, instead t</w:t>
      </w:r>
      <w:r w:rsidRPr="0028154A">
        <w:rPr>
          <w:bCs/>
          <w:szCs w:val="24"/>
        </w:rPr>
        <w:t>raining costs have been included as per previous cost assessments in order to capture the cost of maintaining the appropriate level of competence.</w:t>
      </w:r>
    </w:p>
    <w:p w14:paraId="384D6746" w14:textId="54DD2E4E" w:rsidR="0028154A" w:rsidRPr="0028154A" w:rsidRDefault="0028154A" w:rsidP="00CA7F1E">
      <w:pPr>
        <w:numPr>
          <w:ilvl w:val="0"/>
          <w:numId w:val="1"/>
        </w:numPr>
        <w:spacing w:before="240" w:after="120"/>
        <w:jc w:val="both"/>
        <w:rPr>
          <w:bCs/>
          <w:szCs w:val="24"/>
        </w:rPr>
      </w:pPr>
      <w:r w:rsidRPr="0028154A">
        <w:rPr>
          <w:bCs/>
          <w:szCs w:val="24"/>
        </w:rPr>
        <w:t xml:space="preserve">Estimates produced in previous assessments indicate that the cost of training would be between £19k and £23k, with a best estimate of £21k per manager. Based on figures from the 2012 baseline </w:t>
      </w:r>
      <w:r w:rsidR="00F82158">
        <w:rPr>
          <w:bCs/>
          <w:szCs w:val="24"/>
        </w:rPr>
        <w:t>assessment</w:t>
      </w:r>
      <w:r w:rsidRPr="0028154A">
        <w:rPr>
          <w:bCs/>
          <w:szCs w:val="24"/>
        </w:rPr>
        <w:t xml:space="preserve"> we assume there could be 3</w:t>
      </w:r>
      <w:r w:rsidR="00390FC6">
        <w:rPr>
          <w:bCs/>
          <w:szCs w:val="24"/>
        </w:rPr>
        <w:t>.1 to 3.8</w:t>
      </w:r>
      <w:r w:rsidRPr="0028154A">
        <w:rPr>
          <w:bCs/>
          <w:szCs w:val="24"/>
        </w:rPr>
        <w:t xml:space="preserve"> managers per installation</w:t>
      </w:r>
      <w:r w:rsidR="00390FC6">
        <w:rPr>
          <w:bCs/>
          <w:szCs w:val="24"/>
        </w:rPr>
        <w:t>, with a best estimate of 3.4</w:t>
      </w:r>
      <w:r w:rsidRPr="0028154A">
        <w:rPr>
          <w:bCs/>
          <w:szCs w:val="24"/>
        </w:rPr>
        <w:t>. This results in a training cost per installation of between £57k and £85k, with a best estimate of £70k. This cost would be incurred upfront, and then at three</w:t>
      </w:r>
      <w:r w:rsidR="00535447">
        <w:rPr>
          <w:bCs/>
          <w:szCs w:val="24"/>
        </w:rPr>
        <w:t>-</w:t>
      </w:r>
      <w:r w:rsidRPr="0028154A">
        <w:rPr>
          <w:bCs/>
          <w:szCs w:val="24"/>
        </w:rPr>
        <w:t>year intervals for refresher training.</w:t>
      </w:r>
    </w:p>
    <w:p w14:paraId="0C7FBFA6" w14:textId="77777777" w:rsidR="0028154A" w:rsidRPr="0028154A" w:rsidRDefault="0028154A" w:rsidP="00CA7F1E">
      <w:pPr>
        <w:spacing w:before="240" w:after="120"/>
        <w:jc w:val="both"/>
        <w:rPr>
          <w:bCs/>
          <w:i/>
          <w:iCs/>
          <w:szCs w:val="24"/>
        </w:rPr>
      </w:pPr>
      <w:r w:rsidRPr="0028154A">
        <w:rPr>
          <w:bCs/>
          <w:i/>
          <w:iCs/>
          <w:szCs w:val="24"/>
        </w:rPr>
        <w:t>Employing and training a helicopter landing officer</w:t>
      </w:r>
    </w:p>
    <w:p w14:paraId="1BE80744" w14:textId="2E04C34E" w:rsidR="0028154A" w:rsidRPr="0028154A" w:rsidRDefault="0028154A" w:rsidP="00CA7F1E">
      <w:pPr>
        <w:numPr>
          <w:ilvl w:val="0"/>
          <w:numId w:val="1"/>
        </w:numPr>
        <w:spacing w:before="240" w:after="120"/>
        <w:jc w:val="both"/>
        <w:rPr>
          <w:bCs/>
          <w:szCs w:val="24"/>
        </w:rPr>
      </w:pPr>
      <w:r w:rsidRPr="0028154A">
        <w:rPr>
          <w:bCs/>
          <w:szCs w:val="24"/>
        </w:rPr>
        <w:t xml:space="preserve">Dutyholders are required to have a competent helicopter landing officer (HLO) in control of helideck operations on an installation. Previous assessments determined that an installation </w:t>
      </w:r>
      <w:proofErr w:type="gramStart"/>
      <w:r w:rsidRPr="0028154A">
        <w:rPr>
          <w:bCs/>
          <w:szCs w:val="24"/>
        </w:rPr>
        <w:t>will</w:t>
      </w:r>
      <w:proofErr w:type="gramEnd"/>
      <w:r w:rsidRPr="0028154A">
        <w:rPr>
          <w:bCs/>
          <w:szCs w:val="24"/>
        </w:rPr>
        <w:t xml:space="preserve"> have between 4 and 6 HLOs, with a best estimate of 5.</w:t>
      </w:r>
    </w:p>
    <w:p w14:paraId="2F6B8BE1" w14:textId="40A9843D" w:rsidR="0028154A" w:rsidRPr="0028154A" w:rsidRDefault="0062672D" w:rsidP="00CA7F1E">
      <w:pPr>
        <w:numPr>
          <w:ilvl w:val="0"/>
          <w:numId w:val="1"/>
        </w:numPr>
        <w:spacing w:before="240" w:after="120"/>
        <w:jc w:val="both"/>
        <w:rPr>
          <w:bCs/>
          <w:szCs w:val="24"/>
        </w:rPr>
      </w:pPr>
      <w:r>
        <w:rPr>
          <w:bCs/>
          <w:szCs w:val="24"/>
        </w:rPr>
        <w:t>T</w:t>
      </w:r>
      <w:r w:rsidR="0028154A" w:rsidRPr="0028154A">
        <w:rPr>
          <w:bCs/>
          <w:szCs w:val="24"/>
        </w:rPr>
        <w:t xml:space="preserve">he 2012 IA noted that full salary costs for HLOs would not be an appropriate measure of the true opportunity cost of complying with the regulation, as when the helicopter landing officers were not employed in the capacity of this regulation, they would be conducting </w:t>
      </w:r>
      <w:r w:rsidR="002977B9">
        <w:rPr>
          <w:bCs/>
          <w:szCs w:val="24"/>
        </w:rPr>
        <w:t>other duties</w:t>
      </w:r>
      <w:r w:rsidR="0028154A" w:rsidRPr="0028154A" w:rsidDel="002977B9">
        <w:rPr>
          <w:bCs/>
          <w:szCs w:val="24"/>
        </w:rPr>
        <w:t xml:space="preserve"> </w:t>
      </w:r>
      <w:r w:rsidR="0028154A" w:rsidRPr="0028154A">
        <w:rPr>
          <w:bCs/>
          <w:szCs w:val="24"/>
        </w:rPr>
        <w:t>onboard the installation.  It was therefore suggested that a percentage of their time should be attributed to this regulation.  It was deemed reasonable that a HLO would spend between 20% and 40% of their time on duties that comply with this regulation, with a best estimate of 30%.</w:t>
      </w:r>
    </w:p>
    <w:p w14:paraId="4BE1F7DA" w14:textId="77777777" w:rsidR="0028154A" w:rsidRPr="0028154A" w:rsidRDefault="0028154A" w:rsidP="00CA7F1E">
      <w:pPr>
        <w:numPr>
          <w:ilvl w:val="0"/>
          <w:numId w:val="1"/>
        </w:numPr>
        <w:spacing w:before="240" w:after="120"/>
        <w:jc w:val="both"/>
        <w:rPr>
          <w:bCs/>
          <w:szCs w:val="24"/>
        </w:rPr>
      </w:pPr>
      <w:r w:rsidRPr="0028154A">
        <w:rPr>
          <w:bCs/>
          <w:szCs w:val="24"/>
        </w:rPr>
        <w:t xml:space="preserve">The full economic cost (FEC) of a HLO salary is estimated in previous assessments to be between £69k and £165k, with a best estimate of £96k per annum. </w:t>
      </w:r>
      <w:proofErr w:type="gramStart"/>
      <w:r w:rsidRPr="0028154A">
        <w:rPr>
          <w:bCs/>
          <w:szCs w:val="24"/>
        </w:rPr>
        <w:t>Taking into account</w:t>
      </w:r>
      <w:proofErr w:type="gramEnd"/>
      <w:r w:rsidRPr="0028154A">
        <w:rPr>
          <w:bCs/>
          <w:szCs w:val="24"/>
        </w:rPr>
        <w:t xml:space="preserve"> the above assumptions, the cost to each installation is estimated to be between £55k and £400k, with a best estimate of £140k per annum.</w:t>
      </w:r>
    </w:p>
    <w:p w14:paraId="36EE3A1E" w14:textId="25422324" w:rsidR="0028154A" w:rsidRDefault="0028154A" w:rsidP="00CA7F1E">
      <w:pPr>
        <w:numPr>
          <w:ilvl w:val="0"/>
          <w:numId w:val="1"/>
        </w:numPr>
        <w:spacing w:before="240" w:after="120"/>
        <w:jc w:val="both"/>
        <w:rPr>
          <w:bCs/>
          <w:szCs w:val="24"/>
        </w:rPr>
      </w:pPr>
      <w:r w:rsidRPr="0028154A">
        <w:rPr>
          <w:bCs/>
          <w:szCs w:val="24"/>
        </w:rPr>
        <w:t>On top of the salary costs it was also estimated that there would be annual training costs of between £6.2k and £7.5k, with a best estimate of £6.9k per annum. Across all HLOs on an installation</w:t>
      </w:r>
      <w:r w:rsidR="002E6F90">
        <w:rPr>
          <w:bCs/>
          <w:szCs w:val="24"/>
        </w:rPr>
        <w:t>,</w:t>
      </w:r>
      <w:r w:rsidRPr="0028154A">
        <w:rPr>
          <w:bCs/>
          <w:szCs w:val="24"/>
        </w:rPr>
        <w:t xml:space="preserve"> this is a cost of between £25k and £45k, with a best estimate of £34k per installation per annum.</w:t>
      </w:r>
    </w:p>
    <w:p w14:paraId="5E21FC66" w14:textId="772BF4F3" w:rsidR="001142F7" w:rsidRDefault="00305EF9" w:rsidP="00CA7F1E">
      <w:pPr>
        <w:spacing w:before="240" w:after="120"/>
        <w:jc w:val="both"/>
        <w:rPr>
          <w:bCs/>
          <w:i/>
          <w:iCs/>
          <w:szCs w:val="24"/>
        </w:rPr>
      </w:pPr>
      <w:r w:rsidRPr="007C47D0">
        <w:rPr>
          <w:bCs/>
          <w:i/>
          <w:iCs/>
          <w:szCs w:val="24"/>
        </w:rPr>
        <w:t>Displaying the installation name and other identifying marking</w:t>
      </w:r>
    </w:p>
    <w:p w14:paraId="66CEFDC9" w14:textId="1831EF38" w:rsidR="00305EF9" w:rsidRDefault="00305EF9" w:rsidP="00CA7F1E">
      <w:pPr>
        <w:numPr>
          <w:ilvl w:val="0"/>
          <w:numId w:val="1"/>
        </w:numPr>
        <w:spacing w:before="240" w:after="120"/>
        <w:jc w:val="both"/>
        <w:rPr>
          <w:bCs/>
          <w:szCs w:val="24"/>
        </w:rPr>
      </w:pPr>
      <w:r w:rsidRPr="0028154A">
        <w:rPr>
          <w:bCs/>
          <w:szCs w:val="24"/>
        </w:rPr>
        <w:t>Dutyholders are required to</w:t>
      </w:r>
      <w:r w:rsidR="00BD22EA">
        <w:rPr>
          <w:bCs/>
          <w:szCs w:val="24"/>
        </w:rPr>
        <w:t xml:space="preserve"> display the installation name and identifying marking </w:t>
      </w:r>
      <w:proofErr w:type="gramStart"/>
      <w:r w:rsidR="00BD22EA">
        <w:rPr>
          <w:bCs/>
          <w:szCs w:val="24"/>
        </w:rPr>
        <w:t>in order to</w:t>
      </w:r>
      <w:proofErr w:type="gramEnd"/>
      <w:r w:rsidR="00BD22EA">
        <w:rPr>
          <w:bCs/>
          <w:szCs w:val="24"/>
        </w:rPr>
        <w:t xml:space="preserve"> make their installation readily identifiable on approach by sea and air.</w:t>
      </w:r>
    </w:p>
    <w:p w14:paraId="5608449C" w14:textId="4DED76D0" w:rsidR="00305EF9" w:rsidRDefault="00897261" w:rsidP="00CA7F1E">
      <w:pPr>
        <w:numPr>
          <w:ilvl w:val="0"/>
          <w:numId w:val="1"/>
        </w:numPr>
        <w:spacing w:before="240" w:after="120"/>
        <w:jc w:val="both"/>
        <w:rPr>
          <w:bCs/>
          <w:szCs w:val="24"/>
        </w:rPr>
      </w:pPr>
      <w:r w:rsidRPr="0028154A">
        <w:rPr>
          <w:bCs/>
          <w:szCs w:val="24"/>
        </w:rPr>
        <w:t>Estimates produced in previous assessments indicate that the cost of</w:t>
      </w:r>
      <w:r>
        <w:rPr>
          <w:bCs/>
          <w:szCs w:val="24"/>
        </w:rPr>
        <w:t xml:space="preserve"> this requirement would be between £34k and £140k, with a best estimate of £82k per installation. This would be a</w:t>
      </w:r>
      <w:r w:rsidR="00461D72">
        <w:rPr>
          <w:bCs/>
          <w:szCs w:val="24"/>
        </w:rPr>
        <w:t xml:space="preserve"> one-off upfront cost.</w:t>
      </w:r>
    </w:p>
    <w:p w14:paraId="23828126" w14:textId="0F3FF244" w:rsidR="00BD22EA" w:rsidRDefault="0059160D" w:rsidP="00CA7F1E">
      <w:pPr>
        <w:spacing w:before="240" w:after="120"/>
        <w:jc w:val="both"/>
        <w:rPr>
          <w:bCs/>
          <w:i/>
          <w:iCs/>
          <w:szCs w:val="24"/>
        </w:rPr>
      </w:pPr>
      <w:r w:rsidRPr="007C47D0">
        <w:rPr>
          <w:bCs/>
          <w:i/>
          <w:iCs/>
          <w:szCs w:val="24"/>
        </w:rPr>
        <w:lastRenderedPageBreak/>
        <w:t>Putting instructions and procedures into writing</w:t>
      </w:r>
    </w:p>
    <w:p w14:paraId="3BDBF00B" w14:textId="7034453A" w:rsidR="0059160D" w:rsidRDefault="0059160D" w:rsidP="00CA7F1E">
      <w:pPr>
        <w:numPr>
          <w:ilvl w:val="0"/>
          <w:numId w:val="1"/>
        </w:numPr>
        <w:spacing w:before="240" w:after="120"/>
        <w:jc w:val="both"/>
        <w:rPr>
          <w:bCs/>
          <w:szCs w:val="24"/>
        </w:rPr>
      </w:pPr>
      <w:r w:rsidRPr="0028154A">
        <w:rPr>
          <w:bCs/>
          <w:szCs w:val="24"/>
        </w:rPr>
        <w:t>Dutyholders are required to</w:t>
      </w:r>
      <w:r w:rsidR="009A2B9D">
        <w:rPr>
          <w:bCs/>
          <w:szCs w:val="24"/>
        </w:rPr>
        <w:t xml:space="preserve"> ensure that </w:t>
      </w:r>
      <w:r w:rsidR="00D41897">
        <w:rPr>
          <w:bCs/>
          <w:szCs w:val="24"/>
        </w:rPr>
        <w:t>comprehensible instructions on procedures to be observed on the installation are put in writing and the relevant part of the instructions brought to the attention of any person wh</w:t>
      </w:r>
      <w:r w:rsidR="003C489B">
        <w:rPr>
          <w:bCs/>
          <w:szCs w:val="24"/>
        </w:rPr>
        <w:t>o is to do anything to which that part relates.</w:t>
      </w:r>
      <w:r w:rsidR="00D35E15">
        <w:rPr>
          <w:bCs/>
          <w:szCs w:val="24"/>
        </w:rPr>
        <w:t xml:space="preserve"> This is a task carried out at company level and disseminated to the installations.</w:t>
      </w:r>
    </w:p>
    <w:p w14:paraId="0BC6F27E" w14:textId="1B342E2F" w:rsidR="003C489B" w:rsidRDefault="003C489B" w:rsidP="00CA7F1E">
      <w:pPr>
        <w:numPr>
          <w:ilvl w:val="0"/>
          <w:numId w:val="1"/>
        </w:numPr>
        <w:spacing w:before="240" w:after="120"/>
        <w:jc w:val="both"/>
        <w:rPr>
          <w:bCs/>
          <w:szCs w:val="24"/>
        </w:rPr>
      </w:pPr>
      <w:r w:rsidRPr="0028154A">
        <w:rPr>
          <w:bCs/>
          <w:szCs w:val="24"/>
        </w:rPr>
        <w:t xml:space="preserve">Estimates produced in previous assessments indicate that the </w:t>
      </w:r>
      <w:r w:rsidR="003B3A0C">
        <w:rPr>
          <w:bCs/>
          <w:szCs w:val="24"/>
        </w:rPr>
        <w:t>annual</w:t>
      </w:r>
      <w:r w:rsidR="00B14871">
        <w:rPr>
          <w:bCs/>
          <w:szCs w:val="24"/>
        </w:rPr>
        <w:t xml:space="preserve"> </w:t>
      </w:r>
      <w:r w:rsidRPr="0028154A">
        <w:rPr>
          <w:bCs/>
          <w:szCs w:val="24"/>
        </w:rPr>
        <w:t>cost of</w:t>
      </w:r>
      <w:r>
        <w:rPr>
          <w:bCs/>
          <w:szCs w:val="24"/>
        </w:rPr>
        <w:t xml:space="preserve"> this requirement</w:t>
      </w:r>
      <w:r w:rsidR="00B14871">
        <w:rPr>
          <w:bCs/>
          <w:szCs w:val="24"/>
        </w:rPr>
        <w:t xml:space="preserve"> would be between £340k and £1m</w:t>
      </w:r>
      <w:r w:rsidR="00E16E66">
        <w:rPr>
          <w:bCs/>
          <w:szCs w:val="24"/>
        </w:rPr>
        <w:t xml:space="preserve">, with a best estimate of £690k per </w:t>
      </w:r>
      <w:r w:rsidR="00D35E15">
        <w:rPr>
          <w:bCs/>
          <w:szCs w:val="24"/>
        </w:rPr>
        <w:t>company</w:t>
      </w:r>
      <w:r w:rsidR="005F546C">
        <w:rPr>
          <w:bCs/>
          <w:szCs w:val="24"/>
        </w:rPr>
        <w:t xml:space="preserve"> per annum</w:t>
      </w:r>
      <w:r w:rsidR="00D35E15">
        <w:rPr>
          <w:bCs/>
          <w:szCs w:val="24"/>
        </w:rPr>
        <w:t xml:space="preserve">. Accounting for the average number of installations managed per company of 4.4, this results in a per installation upfront cost of between </w:t>
      </w:r>
      <w:r w:rsidR="00932C40">
        <w:rPr>
          <w:bCs/>
          <w:szCs w:val="24"/>
        </w:rPr>
        <w:t>£77k and £230k, with a best estimate of £150k</w:t>
      </w:r>
      <w:r w:rsidR="00A37206">
        <w:rPr>
          <w:bCs/>
          <w:szCs w:val="24"/>
        </w:rPr>
        <w:t xml:space="preserve"> per annum.</w:t>
      </w:r>
    </w:p>
    <w:p w14:paraId="6C385528" w14:textId="77777777" w:rsidR="0028154A" w:rsidRPr="0028154A" w:rsidRDefault="0028154A" w:rsidP="00CA7F1E">
      <w:pPr>
        <w:spacing w:before="240" w:after="120"/>
        <w:jc w:val="both"/>
        <w:rPr>
          <w:bCs/>
          <w:szCs w:val="24"/>
          <w:u w:val="single"/>
        </w:rPr>
      </w:pPr>
      <w:r w:rsidRPr="0028154A">
        <w:rPr>
          <w:bCs/>
          <w:szCs w:val="24"/>
          <w:u w:val="single"/>
        </w:rPr>
        <w:t>DCR96</w:t>
      </w:r>
    </w:p>
    <w:p w14:paraId="4827CB94" w14:textId="77777777" w:rsidR="0028154A" w:rsidRPr="0028154A" w:rsidRDefault="0028154A" w:rsidP="00CA7F1E">
      <w:pPr>
        <w:spacing w:before="240" w:after="120"/>
        <w:jc w:val="both"/>
        <w:rPr>
          <w:bCs/>
          <w:i/>
          <w:iCs/>
          <w:szCs w:val="24"/>
        </w:rPr>
      </w:pPr>
      <w:r w:rsidRPr="0028154A">
        <w:rPr>
          <w:bCs/>
          <w:i/>
          <w:iCs/>
          <w:szCs w:val="24"/>
        </w:rPr>
        <w:t>Well examination by a competent person and subsequent reviewing of arrangements</w:t>
      </w:r>
    </w:p>
    <w:p w14:paraId="39B9C3E8" w14:textId="0C76F099" w:rsidR="0028154A" w:rsidRPr="0028154A" w:rsidRDefault="0028154A" w:rsidP="00CA7F1E">
      <w:pPr>
        <w:numPr>
          <w:ilvl w:val="0"/>
          <w:numId w:val="1"/>
        </w:numPr>
        <w:spacing w:before="240" w:after="120"/>
        <w:jc w:val="both"/>
        <w:rPr>
          <w:bCs/>
          <w:szCs w:val="24"/>
        </w:rPr>
      </w:pPr>
      <w:r w:rsidRPr="0028154A">
        <w:rPr>
          <w:bCs/>
          <w:szCs w:val="24"/>
        </w:rPr>
        <w:t>Operators are required under DCR to have well examinations carried out by a competent person and the arrangements subsequently reviewed. Estimates produced in previous assessments indicate that the cost of a well examination is between £2.7k and £27k, with a best estimate of £1</w:t>
      </w:r>
      <w:r w:rsidR="00B3394A">
        <w:rPr>
          <w:bCs/>
          <w:szCs w:val="24"/>
        </w:rPr>
        <w:t>4</w:t>
      </w:r>
      <w:r w:rsidRPr="0028154A">
        <w:rPr>
          <w:bCs/>
          <w:szCs w:val="24"/>
        </w:rPr>
        <w:t>k per examination.</w:t>
      </w:r>
    </w:p>
    <w:p w14:paraId="269D7EA3" w14:textId="38379C5C" w:rsidR="0028154A" w:rsidRPr="0028154A" w:rsidRDefault="0028154A" w:rsidP="00CA7F1E">
      <w:pPr>
        <w:numPr>
          <w:ilvl w:val="0"/>
          <w:numId w:val="1"/>
        </w:numPr>
        <w:spacing w:before="240" w:after="120"/>
        <w:jc w:val="both"/>
        <w:rPr>
          <w:bCs/>
          <w:szCs w:val="24"/>
        </w:rPr>
      </w:pPr>
      <w:r w:rsidRPr="0028154A">
        <w:rPr>
          <w:bCs/>
          <w:szCs w:val="24"/>
        </w:rPr>
        <w:t>It was also estimated that each well examination and subsequent review would require between 68 and 83 person hours of work with a best estimate of 75 hours. This would be carried out by a worker on an estimated FEC of £113 per hour, resulting in a cost of between £7.7k and £9.4k, with a best estimate of £8.5k per examination.</w:t>
      </w:r>
    </w:p>
    <w:p w14:paraId="03100783" w14:textId="20B1CD42" w:rsidR="0028154A" w:rsidRPr="0028154A" w:rsidRDefault="0028154A" w:rsidP="00CA7F1E">
      <w:pPr>
        <w:numPr>
          <w:ilvl w:val="0"/>
          <w:numId w:val="1"/>
        </w:numPr>
        <w:spacing w:before="240" w:after="120"/>
        <w:jc w:val="both"/>
        <w:rPr>
          <w:bCs/>
          <w:szCs w:val="24"/>
        </w:rPr>
      </w:pPr>
      <w:r w:rsidRPr="0028154A">
        <w:rPr>
          <w:bCs/>
          <w:szCs w:val="24"/>
        </w:rPr>
        <w:t xml:space="preserve">Based on the number of well notifications per installation per annum, outlined in paragraph </w:t>
      </w:r>
      <w:r w:rsidRPr="0028154A">
        <w:rPr>
          <w:bCs/>
          <w:szCs w:val="24"/>
        </w:rPr>
        <w:fldChar w:fldCharType="begin"/>
      </w:r>
      <w:r w:rsidRPr="0028154A">
        <w:rPr>
          <w:bCs/>
          <w:szCs w:val="24"/>
        </w:rPr>
        <w:instrText xml:space="preserve"> REF _Ref178065669 \r \h </w:instrText>
      </w:r>
      <w:r w:rsidR="00CA7F1E">
        <w:rPr>
          <w:bCs/>
          <w:szCs w:val="24"/>
        </w:rPr>
        <w:instrText xml:space="preserve"> \* MERGEFORMAT </w:instrText>
      </w:r>
      <w:r w:rsidRPr="0028154A">
        <w:rPr>
          <w:bCs/>
          <w:szCs w:val="24"/>
        </w:rPr>
      </w:r>
      <w:r w:rsidRPr="0028154A">
        <w:rPr>
          <w:bCs/>
          <w:szCs w:val="24"/>
        </w:rPr>
        <w:fldChar w:fldCharType="separate"/>
      </w:r>
      <w:r w:rsidR="0086161D">
        <w:rPr>
          <w:bCs/>
          <w:szCs w:val="24"/>
          <w:cs/>
        </w:rPr>
        <w:t>‎</w:t>
      </w:r>
      <w:r w:rsidR="0086161D">
        <w:rPr>
          <w:bCs/>
          <w:szCs w:val="24"/>
        </w:rPr>
        <w:t>53</w:t>
      </w:r>
      <w:r w:rsidRPr="0028154A">
        <w:rPr>
          <w:bCs/>
          <w:szCs w:val="24"/>
        </w:rPr>
        <w:fldChar w:fldCharType="end"/>
      </w:r>
      <w:r w:rsidR="003B0FB7">
        <w:rPr>
          <w:bCs/>
          <w:szCs w:val="24"/>
        </w:rPr>
        <w:t xml:space="preserve"> (2.2 per installation per annum)</w:t>
      </w:r>
      <w:r w:rsidRPr="0028154A">
        <w:rPr>
          <w:bCs/>
          <w:szCs w:val="24"/>
        </w:rPr>
        <w:t>, this results in a total cost of between £23k and £83k, with a best estimate of £50</w:t>
      </w:r>
      <w:r w:rsidR="00234984">
        <w:rPr>
          <w:bCs/>
          <w:szCs w:val="24"/>
        </w:rPr>
        <w:t>k</w:t>
      </w:r>
      <w:r w:rsidRPr="0028154A">
        <w:rPr>
          <w:bCs/>
          <w:szCs w:val="24"/>
        </w:rPr>
        <w:t xml:space="preserve"> per installation per annum. Note that these will be carried out by CCUS installations, but not hydrogen installations.</w:t>
      </w:r>
    </w:p>
    <w:p w14:paraId="18FCED55" w14:textId="77777777" w:rsidR="0028154A" w:rsidRPr="0028154A" w:rsidRDefault="0028154A" w:rsidP="00CA7F1E">
      <w:pPr>
        <w:spacing w:before="240" w:after="120"/>
        <w:jc w:val="both"/>
        <w:rPr>
          <w:bCs/>
          <w:szCs w:val="24"/>
        </w:rPr>
      </w:pPr>
      <w:r w:rsidRPr="0028154A">
        <w:rPr>
          <w:bCs/>
          <w:i/>
          <w:iCs/>
          <w:szCs w:val="24"/>
        </w:rPr>
        <w:t>Provision of appropriate accommodation</w:t>
      </w:r>
    </w:p>
    <w:p w14:paraId="3A2986F6" w14:textId="77777777" w:rsidR="0028154A" w:rsidRPr="0028154A" w:rsidRDefault="0028154A" w:rsidP="00CA7F1E">
      <w:pPr>
        <w:numPr>
          <w:ilvl w:val="0"/>
          <w:numId w:val="1"/>
        </w:numPr>
        <w:spacing w:before="240" w:after="120"/>
        <w:jc w:val="both"/>
        <w:rPr>
          <w:bCs/>
          <w:szCs w:val="24"/>
        </w:rPr>
      </w:pPr>
      <w:r w:rsidRPr="0028154A">
        <w:rPr>
          <w:bCs/>
          <w:szCs w:val="24"/>
        </w:rPr>
        <w:t xml:space="preserve">Operators are required to provide two-berth cabins with facilities to be shared between two cabins </w:t>
      </w:r>
      <w:proofErr w:type="gramStart"/>
      <w:r w:rsidRPr="0028154A">
        <w:rPr>
          <w:bCs/>
          <w:szCs w:val="24"/>
        </w:rPr>
        <w:t>in order to</w:t>
      </w:r>
      <w:proofErr w:type="gramEnd"/>
      <w:r w:rsidRPr="0028154A">
        <w:rPr>
          <w:bCs/>
          <w:szCs w:val="24"/>
        </w:rPr>
        <w:t xml:space="preserve"> ensure adequate accommodation. HSE expert advice indicated that operators may find it economically advantageous to provide accommodation that falls short of this standard should DCR not apply. For this </w:t>
      </w:r>
      <w:proofErr w:type="gramStart"/>
      <w:r w:rsidRPr="0028154A">
        <w:rPr>
          <w:bCs/>
          <w:szCs w:val="24"/>
        </w:rPr>
        <w:t>reason</w:t>
      </w:r>
      <w:proofErr w:type="gramEnd"/>
      <w:r w:rsidRPr="0028154A">
        <w:rPr>
          <w:bCs/>
          <w:szCs w:val="24"/>
        </w:rPr>
        <w:t xml:space="preserve"> the cost of providing appropriate accommodation has been included as a cost of compliance.</w:t>
      </w:r>
    </w:p>
    <w:p w14:paraId="662B54DF" w14:textId="366BB419" w:rsidR="0028154A" w:rsidRPr="0028154A" w:rsidRDefault="0028154A" w:rsidP="00CA7F1E">
      <w:pPr>
        <w:numPr>
          <w:ilvl w:val="0"/>
          <w:numId w:val="1"/>
        </w:numPr>
        <w:spacing w:before="240" w:after="120"/>
        <w:jc w:val="both"/>
        <w:rPr>
          <w:bCs/>
          <w:szCs w:val="24"/>
        </w:rPr>
      </w:pPr>
      <w:r w:rsidRPr="0028154A">
        <w:rPr>
          <w:bCs/>
          <w:szCs w:val="24"/>
        </w:rPr>
        <w:t xml:space="preserve">In the 2012 </w:t>
      </w:r>
      <w:r w:rsidR="00B3394A">
        <w:rPr>
          <w:bCs/>
          <w:szCs w:val="24"/>
        </w:rPr>
        <w:t>assessment</w:t>
      </w:r>
      <w:r w:rsidR="00255D0E">
        <w:rPr>
          <w:bCs/>
          <w:szCs w:val="24"/>
        </w:rPr>
        <w:t>,</w:t>
      </w:r>
      <w:r w:rsidRPr="0028154A">
        <w:rPr>
          <w:bCs/>
          <w:szCs w:val="24"/>
        </w:rPr>
        <w:t xml:space="preserve"> it was estimated that between 3.2 and 9.7 cabins had needed to be upgraded to meet standards per installation on average</w:t>
      </w:r>
      <w:r w:rsidR="00264A90">
        <w:rPr>
          <w:bCs/>
          <w:szCs w:val="24"/>
        </w:rPr>
        <w:t>, with a best estimate of 6.4 cabins</w:t>
      </w:r>
      <w:r w:rsidRPr="0028154A">
        <w:rPr>
          <w:bCs/>
          <w:szCs w:val="24"/>
        </w:rPr>
        <w:t>. For CCUS and hydrogen this figure is likely to be lower given that installations will be largely ‘normally unmanned</w:t>
      </w:r>
      <w:proofErr w:type="gramStart"/>
      <w:r w:rsidRPr="0028154A">
        <w:rPr>
          <w:bCs/>
          <w:szCs w:val="24"/>
        </w:rPr>
        <w:t>’</w:t>
      </w:r>
      <w:proofErr w:type="gramEnd"/>
      <w:r w:rsidRPr="0028154A">
        <w:rPr>
          <w:bCs/>
          <w:szCs w:val="24"/>
        </w:rPr>
        <w:t xml:space="preserve"> but these will still require multiple cabins of emergency accommodation. To err on the side of increased cost the assumption from the 2012 IA has been maintained.</w:t>
      </w:r>
    </w:p>
    <w:p w14:paraId="2763D01F" w14:textId="77777777" w:rsidR="0028154A" w:rsidRPr="0028154A" w:rsidRDefault="0028154A" w:rsidP="00CA7F1E">
      <w:pPr>
        <w:numPr>
          <w:ilvl w:val="0"/>
          <w:numId w:val="1"/>
        </w:numPr>
        <w:spacing w:before="240" w:after="120"/>
        <w:jc w:val="both"/>
        <w:rPr>
          <w:bCs/>
          <w:szCs w:val="24"/>
        </w:rPr>
      </w:pPr>
      <w:r w:rsidRPr="0028154A">
        <w:rPr>
          <w:bCs/>
          <w:szCs w:val="24"/>
        </w:rPr>
        <w:t xml:space="preserve">It was estimated that the cost of upgrading a cabin from a four-berth to two-berth is between £48k and £140k, with a best estimate of £100k per installation. </w:t>
      </w:r>
      <w:proofErr w:type="gramStart"/>
      <w:r w:rsidRPr="0028154A">
        <w:rPr>
          <w:bCs/>
          <w:szCs w:val="24"/>
        </w:rPr>
        <w:t>Taking into account</w:t>
      </w:r>
      <w:proofErr w:type="gramEnd"/>
      <w:r w:rsidRPr="0028154A">
        <w:rPr>
          <w:bCs/>
          <w:szCs w:val="24"/>
        </w:rPr>
        <w:t xml:space="preserve"> the above assumption, this results in a cost of between £150k and £1.3m, with a best estimate of £660k per installation. This is incurred as an upfront one-off cost.</w:t>
      </w:r>
    </w:p>
    <w:p w14:paraId="3B33F853" w14:textId="77777777" w:rsidR="0028154A" w:rsidRPr="0028154A" w:rsidRDefault="0028154A" w:rsidP="00CA7F1E">
      <w:pPr>
        <w:spacing w:before="240" w:after="120"/>
        <w:jc w:val="both"/>
        <w:rPr>
          <w:bCs/>
          <w:szCs w:val="24"/>
          <w:u w:val="single"/>
        </w:rPr>
      </w:pPr>
      <w:r w:rsidRPr="0028154A">
        <w:rPr>
          <w:bCs/>
          <w:szCs w:val="24"/>
          <w:u w:val="single"/>
        </w:rPr>
        <w:lastRenderedPageBreak/>
        <w:t>PSR96</w:t>
      </w:r>
    </w:p>
    <w:p w14:paraId="53CA516E" w14:textId="6D0CA586" w:rsidR="0028154A" w:rsidRPr="0028154A" w:rsidRDefault="0028154A" w:rsidP="00CA7F1E">
      <w:pPr>
        <w:numPr>
          <w:ilvl w:val="0"/>
          <w:numId w:val="1"/>
        </w:numPr>
        <w:spacing w:before="240" w:after="120"/>
        <w:jc w:val="both"/>
        <w:rPr>
          <w:u w:val="single"/>
        </w:rPr>
      </w:pPr>
      <w:r>
        <w:t xml:space="preserve">The following costs incurred by major hazard pipelines under PSR would apply only to CCUS </w:t>
      </w:r>
      <w:r w:rsidR="007C6A21">
        <w:t>CO</w:t>
      </w:r>
      <w:r w:rsidR="007C6A21" w:rsidRPr="2D4E2F9C">
        <w:rPr>
          <w:vertAlign w:val="subscript"/>
        </w:rPr>
        <w:t xml:space="preserve">2 </w:t>
      </w:r>
      <w:r>
        <w:t xml:space="preserve">pipelines under legislative options. </w:t>
      </w:r>
      <w:r w:rsidR="00BE1E38">
        <w:t>Hydrogen is already classified as a dangerous fluid and as such these requirements already apply to hydrogen pipelines</w:t>
      </w:r>
      <w:r w:rsidR="0C56A5A8">
        <w:t>, meaning that</w:t>
      </w:r>
      <w:r w:rsidR="18A46E5C">
        <w:t xml:space="preserve"> n</w:t>
      </w:r>
      <w:r w:rsidR="00BE1E38">
        <w:t>one of these would be new costs for hydrogen production under the proposed options</w:t>
      </w:r>
      <w:r>
        <w:t>. As described in the sources section, this cost information has been derived via a survey of members of the trade-body UKOPA.</w:t>
      </w:r>
    </w:p>
    <w:p w14:paraId="4777F938" w14:textId="70BEDA19" w:rsidR="00521B1E" w:rsidRPr="000F1B89" w:rsidRDefault="00521B1E" w:rsidP="00CA7F1E">
      <w:pPr>
        <w:numPr>
          <w:ilvl w:val="0"/>
          <w:numId w:val="1"/>
        </w:numPr>
        <w:spacing w:before="240" w:after="120"/>
        <w:jc w:val="both"/>
        <w:rPr>
          <w:bCs/>
          <w:szCs w:val="24"/>
          <w:u w:val="single"/>
        </w:rPr>
      </w:pPr>
      <w:r>
        <w:rPr>
          <w:bCs/>
          <w:szCs w:val="24"/>
        </w:rPr>
        <w:t xml:space="preserve">Estimates in this section are </w:t>
      </w:r>
      <w:r w:rsidR="00E2534F">
        <w:rPr>
          <w:bCs/>
          <w:szCs w:val="24"/>
        </w:rPr>
        <w:t xml:space="preserve">derived from a </w:t>
      </w:r>
      <w:r w:rsidR="009B1281">
        <w:rPr>
          <w:bCs/>
          <w:szCs w:val="24"/>
        </w:rPr>
        <w:t xml:space="preserve">limited sample </w:t>
      </w:r>
      <w:r w:rsidR="00FE3762">
        <w:rPr>
          <w:bCs/>
          <w:szCs w:val="24"/>
        </w:rPr>
        <w:t xml:space="preserve">and do contain some substantial outliers </w:t>
      </w:r>
      <w:r w:rsidR="00FB1BE0">
        <w:rPr>
          <w:bCs/>
          <w:szCs w:val="24"/>
        </w:rPr>
        <w:t xml:space="preserve">that could not be robustly ruled out. </w:t>
      </w:r>
      <w:r w:rsidR="005C1FA8">
        <w:rPr>
          <w:bCs/>
          <w:szCs w:val="24"/>
        </w:rPr>
        <w:t>These estimates will be validated and improved through public consultation.</w:t>
      </w:r>
    </w:p>
    <w:p w14:paraId="39608A2B" w14:textId="518B2CA2" w:rsidR="001758C8" w:rsidRPr="0028154A" w:rsidRDefault="00933D8E" w:rsidP="00CA7F1E">
      <w:pPr>
        <w:numPr>
          <w:ilvl w:val="0"/>
          <w:numId w:val="1"/>
        </w:numPr>
        <w:spacing w:before="240" w:after="120"/>
        <w:jc w:val="both"/>
        <w:rPr>
          <w:u w:val="single"/>
        </w:rPr>
      </w:pPr>
      <w:r>
        <w:t>Some of the CO</w:t>
      </w:r>
      <w:r w:rsidRPr="2D4E2F9C">
        <w:rPr>
          <w:vertAlign w:val="subscript"/>
        </w:rPr>
        <w:t xml:space="preserve">2 </w:t>
      </w:r>
      <w:r>
        <w:t>pipelines to be used for CCUS are expected to be repurposed existing pipelines</w:t>
      </w:r>
      <w:r w:rsidR="007F7A86">
        <w:t xml:space="preserve"> that may have been used for carrying natural gas for example. HSE pipeline experts advised that this should not substantially impact the cost of compliance</w:t>
      </w:r>
      <w:r w:rsidR="001F1D0A">
        <w:t xml:space="preserve">. This is because the operators would still need to carry out the same processes as </w:t>
      </w:r>
      <w:r w:rsidR="00C544C3">
        <w:t xml:space="preserve">they would for a new pipeline, and </w:t>
      </w:r>
      <w:r w:rsidR="00C44E39">
        <w:t>t</w:t>
      </w:r>
      <w:r w:rsidR="00C544C3">
        <w:t xml:space="preserve">hey would require similar resource. </w:t>
      </w:r>
      <w:r w:rsidR="00C44E39">
        <w:t>The requirements of ‘</w:t>
      </w:r>
      <w:r w:rsidR="7DFEB40E">
        <w:t>Pa</w:t>
      </w:r>
      <w:r w:rsidR="00C44E39">
        <w:t xml:space="preserve">rt 3’ of PSR are predominantly around identifying hazards, planning and notifying </w:t>
      </w:r>
      <w:r w:rsidR="00DB293B">
        <w:t xml:space="preserve">HSE which would need to be done again for the new use. </w:t>
      </w:r>
      <w:r w:rsidR="00960399">
        <w:t>There is currently no better evidence available on how costs could differ between new and repurposed pipelines</w:t>
      </w:r>
      <w:r w:rsidR="00232ADD">
        <w:t>, so compliance costs are assumed to be the same.</w:t>
      </w:r>
    </w:p>
    <w:p w14:paraId="13A2DB88" w14:textId="77777777" w:rsidR="0028154A" w:rsidRPr="0028154A" w:rsidRDefault="0028154A" w:rsidP="00CA7F1E">
      <w:pPr>
        <w:spacing w:before="240" w:after="120"/>
        <w:jc w:val="both"/>
        <w:rPr>
          <w:bCs/>
          <w:i/>
          <w:iCs/>
          <w:szCs w:val="24"/>
        </w:rPr>
      </w:pPr>
      <w:r w:rsidRPr="0028154A">
        <w:rPr>
          <w:bCs/>
          <w:i/>
          <w:iCs/>
          <w:szCs w:val="24"/>
        </w:rPr>
        <w:t>Emergency shut-down valves (ESDVs)</w:t>
      </w:r>
    </w:p>
    <w:p w14:paraId="69CC9977" w14:textId="4A471869" w:rsidR="0028154A" w:rsidRPr="0028154A" w:rsidRDefault="0028154A" w:rsidP="00CA7F1E">
      <w:pPr>
        <w:numPr>
          <w:ilvl w:val="0"/>
          <w:numId w:val="1"/>
        </w:numPr>
        <w:spacing w:before="240" w:after="120"/>
        <w:jc w:val="both"/>
        <w:rPr>
          <w:bCs/>
          <w:szCs w:val="24"/>
        </w:rPr>
      </w:pPr>
      <w:r w:rsidRPr="0028154A">
        <w:rPr>
          <w:bCs/>
          <w:szCs w:val="24"/>
        </w:rPr>
        <w:t>Operators are required to</w:t>
      </w:r>
      <w:r w:rsidR="00C755DD">
        <w:rPr>
          <w:bCs/>
          <w:szCs w:val="24"/>
        </w:rPr>
        <w:t xml:space="preserve"> </w:t>
      </w:r>
      <w:r w:rsidRPr="0028154A">
        <w:rPr>
          <w:bCs/>
          <w:szCs w:val="24"/>
        </w:rPr>
        <w:t xml:space="preserve">fit ESDVs to all risers of major hazard pipelines </w:t>
      </w:r>
      <w:r w:rsidR="00C755DD">
        <w:rPr>
          <w:bCs/>
          <w:szCs w:val="24"/>
        </w:rPr>
        <w:t>i</w:t>
      </w:r>
      <w:r w:rsidRPr="0028154A">
        <w:rPr>
          <w:bCs/>
          <w:szCs w:val="24"/>
        </w:rPr>
        <w:t xml:space="preserve">f over 40mm in diameter at offshore installations. This is assumed to apply to all CCUS trunklines running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offshore.</w:t>
      </w:r>
      <w:r w:rsidR="007901FE">
        <w:rPr>
          <w:bCs/>
          <w:szCs w:val="24"/>
        </w:rPr>
        <w:t xml:space="preserve"> While some of the re</w:t>
      </w:r>
      <w:r w:rsidR="00B00DFD">
        <w:rPr>
          <w:bCs/>
          <w:szCs w:val="24"/>
        </w:rPr>
        <w:t>purposed pipelines may already have these fitted, they would likely require some retrofitting for the use of CCUS. HSE pipeline experts advised that this process should be assumed to be as costly as fitting a new ESDV and in some cases could be more complex and costly a process.</w:t>
      </w:r>
    </w:p>
    <w:p w14:paraId="692858BF" w14:textId="079E05EA" w:rsidR="0028154A" w:rsidRPr="0028154A" w:rsidRDefault="0028154A" w:rsidP="00CA7F1E">
      <w:pPr>
        <w:numPr>
          <w:ilvl w:val="0"/>
          <w:numId w:val="1"/>
        </w:numPr>
        <w:spacing w:before="240" w:after="120"/>
        <w:jc w:val="both"/>
        <w:rPr>
          <w:bCs/>
          <w:szCs w:val="24"/>
        </w:rPr>
      </w:pPr>
      <w:r w:rsidRPr="0028154A">
        <w:rPr>
          <w:bCs/>
          <w:szCs w:val="24"/>
        </w:rPr>
        <w:t>Initial evidence gathered in a survey of UKOPA indicated that these can cost between £10k and £1.0m, with a best estimate of £240k in capital costs per pipeline, and between £10k and £200k, with a best estimate of £78k in labour costs per pipeline. These costs would be one-off upfront costs.</w:t>
      </w:r>
    </w:p>
    <w:p w14:paraId="4BE19484" w14:textId="77777777" w:rsidR="0028154A" w:rsidRPr="0028154A" w:rsidRDefault="0028154A" w:rsidP="00CA7F1E">
      <w:pPr>
        <w:numPr>
          <w:ilvl w:val="0"/>
          <w:numId w:val="1"/>
        </w:numPr>
        <w:spacing w:before="240" w:after="120"/>
        <w:jc w:val="both"/>
        <w:rPr>
          <w:bCs/>
          <w:szCs w:val="24"/>
        </w:rPr>
      </w:pPr>
      <w:r w:rsidRPr="0028154A">
        <w:rPr>
          <w:bCs/>
          <w:szCs w:val="24"/>
        </w:rPr>
        <w:t>In addition, there would be an ongoing component for maintaining and testing the ESDV. Survey evidence indicated that this would cost between £400 and £20k, with a best estimate of £7.5k in capital costs per pipeline, and between £500 and £5k, with a best estimate of £3.5k in labour costs per pipeline. This would be an annual cost.</w:t>
      </w:r>
    </w:p>
    <w:p w14:paraId="280B72D5" w14:textId="77777777" w:rsidR="0028154A" w:rsidRPr="0028154A" w:rsidRDefault="0028154A" w:rsidP="00CA7F1E">
      <w:pPr>
        <w:spacing w:before="240" w:after="120"/>
        <w:jc w:val="both"/>
        <w:rPr>
          <w:bCs/>
          <w:i/>
          <w:iCs/>
          <w:szCs w:val="24"/>
        </w:rPr>
      </w:pPr>
      <w:r w:rsidRPr="0028154A">
        <w:rPr>
          <w:bCs/>
          <w:i/>
          <w:iCs/>
          <w:szCs w:val="24"/>
        </w:rPr>
        <w:t>Notification of construction</w:t>
      </w:r>
    </w:p>
    <w:p w14:paraId="5A4117EA" w14:textId="2C4E185E" w:rsidR="0028154A" w:rsidRPr="0028154A" w:rsidRDefault="0028154A" w:rsidP="00CA7F1E">
      <w:pPr>
        <w:numPr>
          <w:ilvl w:val="0"/>
          <w:numId w:val="1"/>
        </w:numPr>
        <w:spacing w:before="240" w:after="120"/>
        <w:jc w:val="both"/>
      </w:pPr>
      <w:bookmarkStart w:id="17" w:name="_Ref178065710"/>
      <w:r>
        <w:t xml:space="preserve">Operators are required to notify HSE prior to construction of a major accident hazard pipeline. This is assumed to apply only to new pipelines, not repurposed existing pipelines. It isn’t currently clear what proportion of </w:t>
      </w:r>
      <w:r w:rsidR="007C6A21">
        <w:t>CO</w:t>
      </w:r>
      <w:r w:rsidR="007C6A21" w:rsidRPr="2D4E2F9C">
        <w:rPr>
          <w:vertAlign w:val="subscript"/>
        </w:rPr>
        <w:t xml:space="preserve">2 </w:t>
      </w:r>
      <w:r>
        <w:t xml:space="preserve">pipelines will </w:t>
      </w:r>
      <w:proofErr w:type="gramStart"/>
      <w:r>
        <w:t>be  new</w:t>
      </w:r>
      <w:proofErr w:type="gramEnd"/>
      <w:r>
        <w:t>, therefore a</w:t>
      </w:r>
      <w:r w:rsidR="00884625">
        <w:t>n</w:t>
      </w:r>
      <w:r>
        <w:t xml:space="preserve"> illustrative assumption of between 25% and 75%, with a best estimate of 50% has been used. This assumption has a minimal impact on overall costs, so has been deemed appropriate at this stage given the lack of evidence available.</w:t>
      </w:r>
      <w:bookmarkEnd w:id="17"/>
    </w:p>
    <w:p w14:paraId="0E3F513D" w14:textId="26BBABD6" w:rsidR="0028154A" w:rsidRPr="0028154A" w:rsidRDefault="0028154A" w:rsidP="00CA7F1E">
      <w:pPr>
        <w:numPr>
          <w:ilvl w:val="0"/>
          <w:numId w:val="1"/>
        </w:numPr>
        <w:spacing w:before="240" w:after="120"/>
        <w:jc w:val="both"/>
        <w:rPr>
          <w:bCs/>
          <w:szCs w:val="24"/>
        </w:rPr>
      </w:pPr>
      <w:r w:rsidRPr="0028154A">
        <w:rPr>
          <w:bCs/>
          <w:szCs w:val="24"/>
        </w:rPr>
        <w:lastRenderedPageBreak/>
        <w:t xml:space="preserve">Survey evidence indicates that the labour input required to produce a notification would cost between £300 and £20k, with a best estimate of £10k per pipeline. </w:t>
      </w:r>
      <w:proofErr w:type="gramStart"/>
      <w:r w:rsidRPr="0028154A">
        <w:rPr>
          <w:bCs/>
          <w:szCs w:val="24"/>
        </w:rPr>
        <w:t>Taking into account</w:t>
      </w:r>
      <w:proofErr w:type="gramEnd"/>
      <w:r w:rsidRPr="0028154A">
        <w:rPr>
          <w:bCs/>
          <w:szCs w:val="24"/>
        </w:rPr>
        <w:t xml:space="preserve"> the assumption in paragraph </w:t>
      </w:r>
      <w:r w:rsidRPr="0028154A">
        <w:rPr>
          <w:bCs/>
          <w:szCs w:val="24"/>
        </w:rPr>
        <w:fldChar w:fldCharType="begin"/>
      </w:r>
      <w:r w:rsidRPr="0028154A">
        <w:rPr>
          <w:bCs/>
          <w:szCs w:val="24"/>
        </w:rPr>
        <w:instrText xml:space="preserve"> REF _Ref178065710 \r \h </w:instrText>
      </w:r>
      <w:r w:rsidRPr="0028154A">
        <w:rPr>
          <w:bCs/>
          <w:szCs w:val="24"/>
        </w:rPr>
      </w:r>
      <w:r w:rsidRPr="0028154A">
        <w:rPr>
          <w:bCs/>
          <w:szCs w:val="24"/>
        </w:rPr>
        <w:fldChar w:fldCharType="separate"/>
      </w:r>
      <w:r w:rsidR="002C5C8E">
        <w:rPr>
          <w:bCs/>
          <w:szCs w:val="24"/>
          <w:cs/>
        </w:rPr>
        <w:t>‎</w:t>
      </w:r>
      <w:r w:rsidR="002C5C8E">
        <w:rPr>
          <w:bCs/>
          <w:szCs w:val="24"/>
        </w:rPr>
        <w:t>104</w:t>
      </w:r>
      <w:r w:rsidRPr="0028154A">
        <w:rPr>
          <w:bCs/>
          <w:szCs w:val="24"/>
        </w:rPr>
        <w:fldChar w:fldCharType="end"/>
      </w:r>
      <w:r w:rsidRPr="0028154A">
        <w:rPr>
          <w:bCs/>
          <w:szCs w:val="24"/>
        </w:rPr>
        <w:t xml:space="preserve"> the average cost across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 would be between £75 and £15k, with a best estimate of £5.1k per pipeline. This would be an upfront one-off cost.</w:t>
      </w:r>
    </w:p>
    <w:p w14:paraId="2E1C53D9" w14:textId="77777777" w:rsidR="0028154A" w:rsidRPr="0028154A" w:rsidRDefault="0028154A" w:rsidP="00CA7F1E">
      <w:pPr>
        <w:spacing w:before="240" w:after="120"/>
        <w:jc w:val="both"/>
        <w:rPr>
          <w:bCs/>
          <w:i/>
          <w:iCs/>
          <w:szCs w:val="24"/>
        </w:rPr>
      </w:pPr>
      <w:r w:rsidRPr="0028154A">
        <w:rPr>
          <w:bCs/>
          <w:i/>
          <w:iCs/>
          <w:szCs w:val="24"/>
        </w:rPr>
        <w:t>Notification before use</w:t>
      </w:r>
    </w:p>
    <w:p w14:paraId="0FC978A3" w14:textId="24414C4B" w:rsidR="0028154A" w:rsidRPr="0028154A" w:rsidRDefault="0028154A" w:rsidP="00CA7F1E">
      <w:pPr>
        <w:numPr>
          <w:ilvl w:val="0"/>
          <w:numId w:val="1"/>
        </w:numPr>
        <w:spacing w:before="240" w:after="120"/>
        <w:jc w:val="both"/>
      </w:pPr>
      <w:r>
        <w:t>Operators are required to notify HSE prior to use of a major accident hazard pipeline. This applies to both new and repurposed pipelines.</w:t>
      </w:r>
    </w:p>
    <w:p w14:paraId="3F25BFA9" w14:textId="182FBDAD" w:rsidR="0028154A" w:rsidRPr="0028154A" w:rsidRDefault="0028154A" w:rsidP="00CA7F1E">
      <w:pPr>
        <w:numPr>
          <w:ilvl w:val="0"/>
          <w:numId w:val="1"/>
        </w:numPr>
        <w:spacing w:before="240" w:after="120"/>
        <w:jc w:val="both"/>
        <w:rPr>
          <w:bCs/>
          <w:szCs w:val="24"/>
        </w:rPr>
      </w:pPr>
      <w:r w:rsidRPr="0028154A">
        <w:rPr>
          <w:bCs/>
          <w:szCs w:val="24"/>
        </w:rPr>
        <w:t>Survey evidence indicates that the labour input required to produce a notification would cost between £300 and £20k, with a best estimate of £6.9k per pipeline. This would be an upfront one-off cost.</w:t>
      </w:r>
    </w:p>
    <w:p w14:paraId="263683F2" w14:textId="77777777" w:rsidR="0028154A" w:rsidRPr="0028154A" w:rsidRDefault="0028154A" w:rsidP="00CA7F1E">
      <w:pPr>
        <w:spacing w:before="240" w:after="120"/>
        <w:jc w:val="both"/>
        <w:rPr>
          <w:bCs/>
          <w:i/>
          <w:iCs/>
          <w:szCs w:val="24"/>
        </w:rPr>
      </w:pPr>
      <w:r w:rsidRPr="0028154A">
        <w:rPr>
          <w:bCs/>
          <w:i/>
          <w:iCs/>
          <w:szCs w:val="24"/>
        </w:rPr>
        <w:t>Notification in other cases (change in use)</w:t>
      </w:r>
    </w:p>
    <w:p w14:paraId="1470B4AE" w14:textId="524A6445" w:rsidR="0028154A" w:rsidRPr="0028154A" w:rsidRDefault="0028154A" w:rsidP="00CA7F1E">
      <w:pPr>
        <w:numPr>
          <w:ilvl w:val="0"/>
          <w:numId w:val="1"/>
        </w:numPr>
        <w:spacing w:before="240" w:after="120"/>
        <w:jc w:val="both"/>
        <w:rPr>
          <w:bCs/>
          <w:szCs w:val="24"/>
        </w:rPr>
      </w:pPr>
      <w:r w:rsidRPr="0028154A">
        <w:rPr>
          <w:bCs/>
          <w:szCs w:val="24"/>
        </w:rPr>
        <w:t xml:space="preserve">Operators are required to notify HSE of any changes to the pipeline that would affect the level of risk. It is assumed that any repurposed pipelines would be captured by this notification. As per paragraph </w:t>
      </w:r>
      <w:r w:rsidRPr="0028154A">
        <w:rPr>
          <w:bCs/>
          <w:szCs w:val="24"/>
        </w:rPr>
        <w:fldChar w:fldCharType="begin"/>
      </w:r>
      <w:r w:rsidRPr="0028154A">
        <w:rPr>
          <w:bCs/>
          <w:szCs w:val="24"/>
        </w:rPr>
        <w:instrText xml:space="preserve"> REF _Ref178065710 \r \h </w:instrText>
      </w:r>
      <w:r w:rsidRPr="0028154A">
        <w:rPr>
          <w:bCs/>
          <w:szCs w:val="24"/>
        </w:rPr>
      </w:r>
      <w:r w:rsidRPr="0028154A">
        <w:rPr>
          <w:bCs/>
          <w:szCs w:val="24"/>
        </w:rPr>
        <w:fldChar w:fldCharType="separate"/>
      </w:r>
      <w:r w:rsidR="002C5C8E">
        <w:rPr>
          <w:bCs/>
          <w:szCs w:val="24"/>
          <w:cs/>
        </w:rPr>
        <w:t>‎</w:t>
      </w:r>
      <w:r w:rsidR="002C5C8E">
        <w:rPr>
          <w:bCs/>
          <w:szCs w:val="24"/>
        </w:rPr>
        <w:t>104</w:t>
      </w:r>
      <w:r w:rsidRPr="0028154A">
        <w:rPr>
          <w:bCs/>
          <w:szCs w:val="24"/>
        </w:rPr>
        <w:fldChar w:fldCharType="end"/>
      </w:r>
      <w:r w:rsidRPr="0028154A">
        <w:rPr>
          <w:bCs/>
          <w:szCs w:val="24"/>
        </w:rPr>
        <w:t>, this is assumed to be between 75%</w:t>
      </w:r>
      <w:r w:rsidR="006D313D">
        <w:rPr>
          <w:bCs/>
          <w:szCs w:val="24"/>
        </w:rPr>
        <w:t xml:space="preserve"> </w:t>
      </w:r>
      <w:r w:rsidR="00FE3281">
        <w:rPr>
          <w:bCs/>
          <w:szCs w:val="24"/>
        </w:rPr>
        <w:t xml:space="preserve">and 25% (the inverse of the assumption in paragraph </w:t>
      </w:r>
      <w:r w:rsidR="005D735C">
        <w:rPr>
          <w:bCs/>
          <w:szCs w:val="24"/>
        </w:rPr>
        <w:fldChar w:fldCharType="begin"/>
      </w:r>
      <w:r w:rsidR="005D735C">
        <w:rPr>
          <w:bCs/>
          <w:szCs w:val="24"/>
        </w:rPr>
        <w:instrText xml:space="preserve"> REF _Ref178065710 \r \h </w:instrText>
      </w:r>
      <w:r w:rsidR="005D735C">
        <w:rPr>
          <w:bCs/>
          <w:szCs w:val="24"/>
        </w:rPr>
      </w:r>
      <w:r w:rsidR="005D735C">
        <w:rPr>
          <w:bCs/>
          <w:szCs w:val="24"/>
        </w:rPr>
        <w:fldChar w:fldCharType="separate"/>
      </w:r>
      <w:r w:rsidR="002C5C8E">
        <w:rPr>
          <w:bCs/>
          <w:szCs w:val="24"/>
          <w:cs/>
        </w:rPr>
        <w:t>‎</w:t>
      </w:r>
      <w:r w:rsidR="002C5C8E">
        <w:rPr>
          <w:bCs/>
          <w:szCs w:val="24"/>
        </w:rPr>
        <w:t>104</w:t>
      </w:r>
      <w:r w:rsidR="005D735C">
        <w:rPr>
          <w:bCs/>
          <w:szCs w:val="24"/>
        </w:rPr>
        <w:fldChar w:fldCharType="end"/>
      </w:r>
      <w:r w:rsidR="005D735C">
        <w:rPr>
          <w:bCs/>
          <w:szCs w:val="24"/>
        </w:rPr>
        <w:t>)</w:t>
      </w:r>
      <w:r w:rsidRPr="0028154A">
        <w:rPr>
          <w:bCs/>
          <w:szCs w:val="24"/>
        </w:rPr>
        <w:t>, with a best estimate of 50%.</w:t>
      </w:r>
    </w:p>
    <w:p w14:paraId="42D041EA" w14:textId="2227C0C3" w:rsidR="0028154A" w:rsidRPr="0028154A" w:rsidRDefault="0028154A" w:rsidP="00CA7F1E">
      <w:pPr>
        <w:numPr>
          <w:ilvl w:val="0"/>
          <w:numId w:val="1"/>
        </w:numPr>
        <w:spacing w:before="240" w:after="120"/>
        <w:jc w:val="both"/>
        <w:rPr>
          <w:bCs/>
          <w:szCs w:val="24"/>
        </w:rPr>
      </w:pPr>
      <w:r w:rsidRPr="0028154A">
        <w:rPr>
          <w:bCs/>
          <w:szCs w:val="24"/>
        </w:rPr>
        <w:t xml:space="preserve">Survey evidence indicates that the labour input required to produce a notification would cost between £300 and £10k, with a best estimate of £4.0k per pipeline. </w:t>
      </w:r>
      <w:proofErr w:type="gramStart"/>
      <w:r w:rsidRPr="0028154A">
        <w:rPr>
          <w:bCs/>
          <w:szCs w:val="24"/>
        </w:rPr>
        <w:t>Taking into account</w:t>
      </w:r>
      <w:proofErr w:type="gramEnd"/>
      <w:r w:rsidRPr="0028154A">
        <w:rPr>
          <w:bCs/>
          <w:szCs w:val="24"/>
        </w:rPr>
        <w:t xml:space="preserve"> the assumption in paragraph </w:t>
      </w:r>
      <w:r w:rsidRPr="0028154A">
        <w:rPr>
          <w:bCs/>
          <w:szCs w:val="24"/>
        </w:rPr>
        <w:fldChar w:fldCharType="begin"/>
      </w:r>
      <w:r w:rsidRPr="0028154A">
        <w:rPr>
          <w:bCs/>
          <w:szCs w:val="24"/>
        </w:rPr>
        <w:instrText xml:space="preserve"> REF _Ref178065710 \r \h </w:instrText>
      </w:r>
      <w:r w:rsidRPr="0028154A">
        <w:rPr>
          <w:bCs/>
          <w:szCs w:val="24"/>
        </w:rPr>
      </w:r>
      <w:r w:rsidRPr="0028154A">
        <w:rPr>
          <w:bCs/>
          <w:szCs w:val="24"/>
        </w:rPr>
        <w:fldChar w:fldCharType="separate"/>
      </w:r>
      <w:r w:rsidR="002C5C8E">
        <w:rPr>
          <w:bCs/>
          <w:szCs w:val="24"/>
          <w:cs/>
        </w:rPr>
        <w:t>‎</w:t>
      </w:r>
      <w:r w:rsidR="002C5C8E">
        <w:rPr>
          <w:bCs/>
          <w:szCs w:val="24"/>
        </w:rPr>
        <w:t>104</w:t>
      </w:r>
      <w:r w:rsidRPr="0028154A">
        <w:rPr>
          <w:bCs/>
          <w:szCs w:val="24"/>
        </w:rPr>
        <w:fldChar w:fldCharType="end"/>
      </w:r>
      <w:r w:rsidRPr="0028154A">
        <w:rPr>
          <w:bCs/>
          <w:szCs w:val="24"/>
        </w:rPr>
        <w:t xml:space="preserve"> the average cost across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pipelines would be between £230 and £2.5k, with a best estimate of £1.8k per pipeline. This would be an upfront one-off cost.</w:t>
      </w:r>
    </w:p>
    <w:p w14:paraId="4A7D8B85" w14:textId="77777777" w:rsidR="0028154A" w:rsidRPr="0028154A" w:rsidRDefault="0028154A" w:rsidP="00CA7F1E">
      <w:pPr>
        <w:spacing w:before="240" w:after="120"/>
        <w:jc w:val="both"/>
        <w:rPr>
          <w:bCs/>
          <w:i/>
          <w:iCs/>
          <w:szCs w:val="24"/>
          <w:lang w:val="fr-FR"/>
        </w:rPr>
      </w:pPr>
      <w:r w:rsidRPr="0028154A">
        <w:rPr>
          <w:bCs/>
          <w:i/>
          <w:iCs/>
          <w:szCs w:val="24"/>
          <w:lang w:val="fr-FR"/>
        </w:rPr>
        <w:t>Major accident prevention document (MAPD)</w:t>
      </w:r>
    </w:p>
    <w:p w14:paraId="4D5E3B2B" w14:textId="77777777" w:rsidR="0028154A" w:rsidRPr="0028154A" w:rsidRDefault="0028154A" w:rsidP="00CA7F1E">
      <w:pPr>
        <w:numPr>
          <w:ilvl w:val="0"/>
          <w:numId w:val="1"/>
        </w:numPr>
        <w:spacing w:before="240" w:after="120"/>
        <w:jc w:val="both"/>
        <w:rPr>
          <w:bCs/>
          <w:szCs w:val="24"/>
        </w:rPr>
      </w:pPr>
      <w:r w:rsidRPr="0028154A">
        <w:rPr>
          <w:bCs/>
          <w:szCs w:val="24"/>
        </w:rPr>
        <w:t>Operators are required to prepare and maintain a MAPD demonstrating that hazards and risks have been identified and evaluated, and the safety system is adequate.</w:t>
      </w:r>
    </w:p>
    <w:p w14:paraId="3310AFE5" w14:textId="415522A3" w:rsidR="0028154A" w:rsidRPr="0028154A" w:rsidRDefault="0028154A" w:rsidP="00CA7F1E">
      <w:pPr>
        <w:numPr>
          <w:ilvl w:val="0"/>
          <w:numId w:val="1"/>
        </w:numPr>
        <w:spacing w:before="240" w:after="120"/>
        <w:jc w:val="both"/>
      </w:pPr>
      <w:r>
        <w:t>Survey evidence indicates that the upfront capital cost of preparing the MAPD is between £5k and £50k, with a best estimate of £21k per pipeline. The upfront labour cost is estimated to be between £1k and £10k, with a best estimate of £6.5k. These are one-off costs.</w:t>
      </w:r>
    </w:p>
    <w:p w14:paraId="2238C4C7" w14:textId="77777777" w:rsidR="0028154A" w:rsidRPr="0028154A" w:rsidRDefault="0028154A" w:rsidP="00CA7F1E">
      <w:pPr>
        <w:numPr>
          <w:ilvl w:val="0"/>
          <w:numId w:val="1"/>
        </w:numPr>
        <w:spacing w:before="240" w:after="120"/>
        <w:jc w:val="both"/>
        <w:rPr>
          <w:bCs/>
          <w:szCs w:val="24"/>
        </w:rPr>
      </w:pPr>
      <w:r w:rsidRPr="0028154A">
        <w:rPr>
          <w:bCs/>
          <w:szCs w:val="24"/>
        </w:rPr>
        <w:t>In addition, there would be an ongoing component for reviewing and updating the MAPD. Survey evidence indicated that this would cost between £100 and £2k, with a best estimate of £1.0k in capital costs per pipeline, and between £100 and £10k, with a best estimate of £3.3k in labour costs per pipeline. This would be an annual cost.</w:t>
      </w:r>
    </w:p>
    <w:p w14:paraId="76E1BEF0" w14:textId="77777777" w:rsidR="0028154A" w:rsidRPr="0028154A" w:rsidRDefault="0028154A" w:rsidP="00CA7F1E">
      <w:pPr>
        <w:spacing w:before="240" w:after="120"/>
        <w:jc w:val="both"/>
        <w:rPr>
          <w:bCs/>
          <w:i/>
          <w:iCs/>
          <w:szCs w:val="24"/>
        </w:rPr>
      </w:pPr>
      <w:r w:rsidRPr="0028154A">
        <w:rPr>
          <w:bCs/>
          <w:i/>
          <w:iCs/>
          <w:szCs w:val="24"/>
        </w:rPr>
        <w:t>Emergency procedures</w:t>
      </w:r>
    </w:p>
    <w:p w14:paraId="4D66E350" w14:textId="428B6DEE" w:rsidR="0028154A" w:rsidRPr="0028154A" w:rsidRDefault="0028154A" w:rsidP="00CA7F1E">
      <w:pPr>
        <w:numPr>
          <w:ilvl w:val="0"/>
          <w:numId w:val="1"/>
        </w:numPr>
        <w:spacing w:before="240" w:after="120"/>
        <w:jc w:val="both"/>
        <w:rPr>
          <w:bCs/>
          <w:szCs w:val="24"/>
        </w:rPr>
      </w:pPr>
      <w:r w:rsidRPr="0028154A">
        <w:rPr>
          <w:bCs/>
          <w:szCs w:val="24"/>
        </w:rPr>
        <w:t xml:space="preserve">Operators are required to ensure appropriate organisation and arrangements are established and recorded for the event of an emergency. These </w:t>
      </w:r>
      <w:r w:rsidR="005D735C">
        <w:rPr>
          <w:bCs/>
          <w:szCs w:val="24"/>
        </w:rPr>
        <w:t>sh</w:t>
      </w:r>
      <w:r w:rsidRPr="0028154A">
        <w:rPr>
          <w:bCs/>
          <w:szCs w:val="24"/>
        </w:rPr>
        <w:t>ould be maintained and kept up to date over time.</w:t>
      </w:r>
    </w:p>
    <w:p w14:paraId="7F2B6414" w14:textId="77777777" w:rsidR="0028154A" w:rsidRPr="0028154A" w:rsidRDefault="0028154A" w:rsidP="00CA7F1E">
      <w:pPr>
        <w:numPr>
          <w:ilvl w:val="0"/>
          <w:numId w:val="1"/>
        </w:numPr>
        <w:spacing w:before="240" w:after="120"/>
        <w:jc w:val="both"/>
        <w:rPr>
          <w:bCs/>
          <w:szCs w:val="24"/>
        </w:rPr>
      </w:pPr>
      <w:r w:rsidRPr="0028154A">
        <w:rPr>
          <w:bCs/>
          <w:szCs w:val="24"/>
        </w:rPr>
        <w:t xml:space="preserve">Survey evidence indicates that the upfront capital cost of preparing the emergency procedures is between £1k and £60k, with a best estimate of £28k per pipeline. The </w:t>
      </w:r>
      <w:r w:rsidRPr="0028154A">
        <w:rPr>
          <w:bCs/>
          <w:szCs w:val="24"/>
        </w:rPr>
        <w:lastRenderedPageBreak/>
        <w:t>upfront labour cost is estimated to be between £1k and £25k, with a best estimate of £15k. These are one-off costs.</w:t>
      </w:r>
    </w:p>
    <w:p w14:paraId="3EAB424F" w14:textId="77777777" w:rsidR="0028154A" w:rsidRPr="0028154A" w:rsidRDefault="0028154A" w:rsidP="00CA7F1E">
      <w:pPr>
        <w:numPr>
          <w:ilvl w:val="0"/>
          <w:numId w:val="1"/>
        </w:numPr>
        <w:spacing w:before="240" w:after="120"/>
        <w:jc w:val="both"/>
        <w:rPr>
          <w:bCs/>
          <w:szCs w:val="24"/>
        </w:rPr>
      </w:pPr>
      <w:r w:rsidRPr="0028154A">
        <w:rPr>
          <w:bCs/>
          <w:szCs w:val="24"/>
        </w:rPr>
        <w:t>In addition, there would be an ongoing component for reviewing and updating the procedures. Survey evidence indicated that this would cost between £100 and £25k, with a best estimate of £7.8k in capital costs per pipeline, and between £200 and £25k, with a best estimate of £8.8k in labour costs per pipeline. This would be an annual cost.</w:t>
      </w:r>
    </w:p>
    <w:p w14:paraId="4B1BB208" w14:textId="77777777" w:rsidR="0028154A" w:rsidRPr="0028154A" w:rsidRDefault="0028154A" w:rsidP="00CA7F1E">
      <w:pPr>
        <w:spacing w:before="240" w:after="120"/>
        <w:jc w:val="both"/>
        <w:rPr>
          <w:bCs/>
          <w:i/>
          <w:iCs/>
          <w:szCs w:val="24"/>
        </w:rPr>
      </w:pPr>
      <w:r w:rsidRPr="0028154A">
        <w:rPr>
          <w:bCs/>
          <w:i/>
          <w:iCs/>
          <w:szCs w:val="24"/>
        </w:rPr>
        <w:t>Local Authority (LA) emergency plans</w:t>
      </w:r>
    </w:p>
    <w:p w14:paraId="0089B4E0" w14:textId="0AD72EB0" w:rsidR="0028154A" w:rsidRPr="0028154A" w:rsidRDefault="0028154A" w:rsidP="00CA7F1E">
      <w:pPr>
        <w:numPr>
          <w:ilvl w:val="0"/>
          <w:numId w:val="1"/>
        </w:numPr>
        <w:spacing w:before="240" w:after="120"/>
        <w:jc w:val="both"/>
        <w:rPr>
          <w:bCs/>
          <w:szCs w:val="24"/>
        </w:rPr>
      </w:pPr>
      <w:r w:rsidRPr="0028154A">
        <w:rPr>
          <w:bCs/>
          <w:szCs w:val="24"/>
        </w:rPr>
        <w:t>LAs are required to prepare and maintain an emergency plan for each major accident hazard pipeline in the LA area. Operators are required to liaise and assist the LA in this process.</w:t>
      </w:r>
    </w:p>
    <w:p w14:paraId="3DECB24B" w14:textId="77777777" w:rsidR="0028154A" w:rsidRPr="0028154A" w:rsidRDefault="0028154A" w:rsidP="00CA7F1E">
      <w:pPr>
        <w:numPr>
          <w:ilvl w:val="0"/>
          <w:numId w:val="1"/>
        </w:numPr>
        <w:spacing w:before="240" w:after="120"/>
        <w:jc w:val="both"/>
        <w:rPr>
          <w:bCs/>
          <w:szCs w:val="24"/>
        </w:rPr>
      </w:pPr>
      <w:r w:rsidRPr="0028154A">
        <w:rPr>
          <w:bCs/>
          <w:szCs w:val="24"/>
        </w:rPr>
        <w:t xml:space="preserve">Survey evidence indicates that there is an upfront labour cost of assisting the LA with the emergency plans of between £800 and £20k, with a best estimate of £7.9k per pipeline. </w:t>
      </w:r>
    </w:p>
    <w:p w14:paraId="3C80B493" w14:textId="2E614F63" w:rsidR="0028154A" w:rsidRPr="0028154A" w:rsidRDefault="0028154A" w:rsidP="00CA7F1E">
      <w:pPr>
        <w:numPr>
          <w:ilvl w:val="0"/>
          <w:numId w:val="1"/>
        </w:numPr>
        <w:spacing w:before="240" w:after="120"/>
        <w:jc w:val="both"/>
      </w:pPr>
      <w:r>
        <w:t>In addition</w:t>
      </w:r>
      <w:r w:rsidR="731E4A6A">
        <w:t>,</w:t>
      </w:r>
      <w:r>
        <w:t xml:space="preserve"> there is an ongoing component for maintaining the plans. Survey evidence indicated that this would cost between £400 and £10k, with a best estimate of £3.4k in capital costs per pipeline, and between £400 and £10k, with a best estimate of £3.1k in labour costs per pipeline. This would be an annual cost.</w:t>
      </w:r>
    </w:p>
    <w:p w14:paraId="309C3BBA" w14:textId="04F7E132" w:rsidR="0028154A" w:rsidRPr="0028154A" w:rsidRDefault="0028154A" w:rsidP="00CA7F1E">
      <w:pPr>
        <w:numPr>
          <w:ilvl w:val="0"/>
          <w:numId w:val="1"/>
        </w:numPr>
        <w:spacing w:before="240" w:after="120"/>
        <w:jc w:val="both"/>
        <w:rPr>
          <w:bCs/>
          <w:szCs w:val="24"/>
        </w:rPr>
      </w:pPr>
      <w:r w:rsidRPr="0028154A">
        <w:rPr>
          <w:bCs/>
          <w:szCs w:val="24"/>
        </w:rPr>
        <w:t>LAs are also able to charge operators a fee for costs incurred by the LA in preparing and maintaining the emergency plans. Survey evidence indicated that L</w:t>
      </w:r>
      <w:r w:rsidR="00990ED4">
        <w:rPr>
          <w:bCs/>
          <w:szCs w:val="24"/>
        </w:rPr>
        <w:t>A</w:t>
      </w:r>
      <w:r w:rsidRPr="0028154A">
        <w:rPr>
          <w:bCs/>
          <w:szCs w:val="24"/>
        </w:rPr>
        <w:t>s charge between £0 and £800, with a best estimate of £400 in upfront costs per pipeline, and between £0 and £4k, with a best estimate of £1.4k in ongoing annual costs per pipeline.</w:t>
      </w:r>
    </w:p>
    <w:p w14:paraId="74AC1D9E" w14:textId="77777777" w:rsidR="0028154A" w:rsidRPr="0028154A" w:rsidRDefault="0028154A" w:rsidP="00CA7F1E">
      <w:pPr>
        <w:spacing w:before="240" w:after="120"/>
        <w:jc w:val="both"/>
        <w:rPr>
          <w:bCs/>
          <w:i/>
          <w:iCs/>
          <w:szCs w:val="24"/>
        </w:rPr>
      </w:pPr>
      <w:r w:rsidRPr="0028154A">
        <w:rPr>
          <w:bCs/>
          <w:szCs w:val="24"/>
          <w:u w:val="single"/>
        </w:rPr>
        <w:t>Familiarisation</w:t>
      </w:r>
    </w:p>
    <w:p w14:paraId="115E8BE6" w14:textId="77777777" w:rsidR="00921BE6" w:rsidRPr="00BA245F" w:rsidRDefault="00921BE6" w:rsidP="00921BE6">
      <w:pPr>
        <w:numPr>
          <w:ilvl w:val="0"/>
          <w:numId w:val="1"/>
        </w:numPr>
        <w:spacing w:before="240" w:after="120"/>
        <w:jc w:val="both"/>
        <w:rPr>
          <w:bCs/>
          <w:color w:val="FF0000"/>
          <w:szCs w:val="24"/>
        </w:rPr>
      </w:pPr>
      <w:r w:rsidRPr="00BA245F">
        <w:rPr>
          <w:bCs/>
          <w:color w:val="FF0000"/>
          <w:szCs w:val="24"/>
        </w:rPr>
        <w:t xml:space="preserve">We anticipate, based on engagement with DESNZ and the emerging sectors, that </w:t>
      </w:r>
      <w:proofErr w:type="gramStart"/>
      <w:r w:rsidRPr="00BA245F">
        <w:rPr>
          <w:bCs/>
          <w:color w:val="FF0000"/>
          <w:szCs w:val="24"/>
        </w:rPr>
        <w:t>the majority of</w:t>
      </w:r>
      <w:proofErr w:type="gramEnd"/>
      <w:r w:rsidRPr="00BA245F">
        <w:rPr>
          <w:bCs/>
          <w:color w:val="FF0000"/>
          <w:szCs w:val="24"/>
        </w:rPr>
        <w:t xml:space="preserve"> businesses operating hydrogen production installations, CCUS installations and CO</w:t>
      </w:r>
      <w:r w:rsidRPr="00BA245F">
        <w:rPr>
          <w:bCs/>
          <w:color w:val="FF0000"/>
          <w:szCs w:val="24"/>
          <w:vertAlign w:val="subscript"/>
        </w:rPr>
        <w:t>2</w:t>
      </w:r>
      <w:r w:rsidRPr="00BA245F">
        <w:rPr>
          <w:bCs/>
          <w:color w:val="FF0000"/>
          <w:szCs w:val="24"/>
        </w:rPr>
        <w:t xml:space="preserve"> pipelines will be businesses already operating within SCR15, DCR, MAR and PSR. As such, we anticipate that they will already be familiar with their requirements to a significant extent. Initially, this led us to estimate that the costs of familiarisation were therefore likely to be minimal. However, the RPC suggested that dutyholders would still have to consider the requirements “as they now will apply to hydrogen production installations, CCUS installations and CCUS CO2 pipelines”. </w:t>
      </w:r>
    </w:p>
    <w:p w14:paraId="7329A336" w14:textId="0093AE36" w:rsidR="00921BE6" w:rsidRPr="00BA245F" w:rsidRDefault="00921BE6" w:rsidP="00921BE6">
      <w:pPr>
        <w:numPr>
          <w:ilvl w:val="0"/>
          <w:numId w:val="1"/>
        </w:numPr>
        <w:spacing w:before="240" w:after="120"/>
        <w:jc w:val="both"/>
        <w:rPr>
          <w:color w:val="FF0000"/>
        </w:rPr>
      </w:pPr>
      <w:r w:rsidRPr="00BA245F">
        <w:rPr>
          <w:color w:val="FF0000"/>
        </w:rPr>
        <w:t>This conception of familiarisation seems sensible. We would expect that dutyholders would have to consider the physical characteristics of hydrogen and CO</w:t>
      </w:r>
      <w:r w:rsidRPr="00BA245F">
        <w:rPr>
          <w:color w:val="FF0000"/>
          <w:vertAlign w:val="subscript"/>
        </w:rPr>
        <w:t>2</w:t>
      </w:r>
      <w:r w:rsidRPr="00BA245F">
        <w:rPr>
          <w:color w:val="FF0000"/>
        </w:rPr>
        <w:t xml:space="preserve"> and how they will interact with their assets to understand how to interpret and apply the requirements to these novel operations. Usual models of familiarisation, such as dutyholders sitting down to read the guidance, costed at the full economic cost of that time, are not applicable to this conception of familiarisation, which could include physical chemistry tests, stress testing of equipment etc. We will work during consultation to gather qualitative and quantitative data on the types of activities that could be necessary here and what costs might arise to include in the final stage impact assessment. </w:t>
      </w:r>
    </w:p>
    <w:p w14:paraId="7CBFB031" w14:textId="77777777" w:rsidR="0028154A" w:rsidRPr="007C47D0" w:rsidRDefault="0028154A" w:rsidP="00CA7F1E">
      <w:pPr>
        <w:keepNext/>
        <w:keepLines/>
        <w:spacing w:before="240" w:after="120" w:line="240" w:lineRule="auto"/>
        <w:jc w:val="both"/>
        <w:outlineLvl w:val="2"/>
        <w:rPr>
          <w:rFonts w:eastAsia="Arial" w:cs="Arial"/>
          <w:b/>
          <w:color w:val="000000"/>
          <w:sz w:val="28"/>
          <w:szCs w:val="28"/>
        </w:rPr>
      </w:pPr>
      <w:r w:rsidRPr="007C47D0">
        <w:rPr>
          <w:rFonts w:eastAsia="Arial" w:cs="Arial"/>
          <w:b/>
          <w:color w:val="000000"/>
          <w:sz w:val="28"/>
          <w:szCs w:val="28"/>
        </w:rPr>
        <w:lastRenderedPageBreak/>
        <w:t>Options Under Consideration</w:t>
      </w:r>
    </w:p>
    <w:p w14:paraId="60D73A11" w14:textId="709ADDEB" w:rsidR="0028154A" w:rsidRPr="0028154A" w:rsidRDefault="0028154A" w:rsidP="00CA7F1E">
      <w:pPr>
        <w:keepNext/>
        <w:keepLines/>
        <w:spacing w:before="240" w:after="120"/>
        <w:ind w:firstLine="360"/>
        <w:jc w:val="both"/>
        <w:outlineLvl w:val="3"/>
        <w:rPr>
          <w:b/>
          <w:bCs/>
        </w:rPr>
      </w:pPr>
      <w:r w:rsidRPr="7B58D2CB">
        <w:rPr>
          <w:b/>
          <w:bCs/>
        </w:rPr>
        <w:t>Option 1 – Business as Usual Baseline</w:t>
      </w:r>
    </w:p>
    <w:p w14:paraId="3BDB782A" w14:textId="77777777" w:rsidR="0028154A" w:rsidRPr="0028154A" w:rsidRDefault="0028154A" w:rsidP="00CA7F1E">
      <w:pPr>
        <w:numPr>
          <w:ilvl w:val="0"/>
          <w:numId w:val="1"/>
        </w:numPr>
        <w:spacing w:before="240" w:after="120"/>
        <w:jc w:val="both"/>
        <w:rPr>
          <w:bCs/>
          <w:szCs w:val="24"/>
        </w:rPr>
      </w:pPr>
      <w:r w:rsidRPr="0028154A">
        <w:rPr>
          <w:bCs/>
          <w:szCs w:val="24"/>
        </w:rPr>
        <w:t xml:space="preserve">The </w:t>
      </w:r>
      <w:proofErr w:type="gramStart"/>
      <w:r w:rsidRPr="0028154A">
        <w:rPr>
          <w:bCs/>
          <w:szCs w:val="24"/>
        </w:rPr>
        <w:t>business as usual</w:t>
      </w:r>
      <w:proofErr w:type="gramEnd"/>
      <w:r w:rsidRPr="0028154A">
        <w:rPr>
          <w:bCs/>
          <w:szCs w:val="24"/>
        </w:rPr>
        <w:t xml:space="preserve"> option involves no additional interventions being made by HSE. This is a notional baseline against which the alternative options are being assessed. Net impacts under the baseline are therefore nil.</w:t>
      </w:r>
    </w:p>
    <w:p w14:paraId="6D9DC2DD" w14:textId="5F216CE1" w:rsidR="0028154A" w:rsidRPr="0028154A" w:rsidRDefault="0028154A" w:rsidP="00CA7F1E">
      <w:pPr>
        <w:numPr>
          <w:ilvl w:val="0"/>
          <w:numId w:val="1"/>
        </w:numPr>
        <w:spacing w:before="240" w:after="120"/>
        <w:jc w:val="both"/>
      </w:pPr>
      <w:r>
        <w:t xml:space="preserve">At this stage it is not clear how the CCUS and offshore hydrogen industries would behave under business as usual </w:t>
      </w:r>
      <w:proofErr w:type="gramStart"/>
      <w:r>
        <w:t>due to the fact that</w:t>
      </w:r>
      <w:proofErr w:type="gramEnd"/>
      <w:r>
        <w:t xml:space="preserve"> </w:t>
      </w:r>
      <w:r w:rsidR="00025856">
        <w:t>there is no offshore hydrogen or CCUS infrastructure currently operating</w:t>
      </w:r>
      <w:r>
        <w:t xml:space="preserve">. Informal discussion with industry </w:t>
      </w:r>
      <w:proofErr w:type="gramStart"/>
      <w:r>
        <w:t>suggest</w:t>
      </w:r>
      <w:proofErr w:type="gramEnd"/>
      <w:r>
        <w:t xml:space="preserve"> that businesses are likely to prefer to voluntarily comply with offshore major hazard and onshore pipeline regulations as this would be the most familiar and cost effective means of complying with the requirement under the Health and Safety at Work Act (HSWA) to manage risk to ‘as low as reasonably practicable’</w:t>
      </w:r>
      <w:r w:rsidR="10E09C2D">
        <w:t xml:space="preserve"> (ALARP)</w:t>
      </w:r>
      <w:r>
        <w:t xml:space="preserve">. </w:t>
      </w:r>
      <w:proofErr w:type="gramStart"/>
      <w:r>
        <w:t>However</w:t>
      </w:r>
      <w:proofErr w:type="gramEnd"/>
      <w:r>
        <w:t xml:space="preserve"> as HSE does not currently have robust evidence for voluntary compliance currently or in future, and to ensure cautious appraisal of the cost of intervention, actions required by SCR15, MAR95, DCR96 and PSR96 are assumed not to be being carried out under the business as usual option.</w:t>
      </w:r>
    </w:p>
    <w:p w14:paraId="58498FCB" w14:textId="118A7385" w:rsidR="0028154A" w:rsidRPr="0028154A" w:rsidRDefault="0028154A" w:rsidP="00CA7F1E">
      <w:pPr>
        <w:numPr>
          <w:ilvl w:val="0"/>
          <w:numId w:val="1"/>
        </w:numPr>
        <w:spacing w:before="240" w:after="120"/>
        <w:jc w:val="both"/>
      </w:pPr>
      <w:r>
        <w:t xml:space="preserve">Even without voluntary compliance there would be a cost to dutyholders under HSWA </w:t>
      </w:r>
      <w:proofErr w:type="gramStart"/>
      <w:r>
        <w:t>in order for</w:t>
      </w:r>
      <w:proofErr w:type="gramEnd"/>
      <w:r>
        <w:t xml:space="preserve"> them to exercise judgement and manage risk to ALARP in the way they deem suitable, as is required by HSWA. It is not currently clear how dutyholders would achieve this and not proportionate at this stage to estimate the ALARP burden robustly. </w:t>
      </w:r>
      <w:proofErr w:type="gramStart"/>
      <w:r>
        <w:t>Additionally</w:t>
      </w:r>
      <w:proofErr w:type="gramEnd"/>
      <w:r>
        <w:t xml:space="preserve"> this assessment intends to fully cost compliance, erring on the side of overestimate of costs</w:t>
      </w:r>
      <w:r w:rsidR="003478C6">
        <w:t xml:space="preserve">. </w:t>
      </w:r>
      <w:proofErr w:type="gramStart"/>
      <w:r w:rsidR="003478C6">
        <w:t>T</w:t>
      </w:r>
      <w:r>
        <w:t>herefore</w:t>
      </w:r>
      <w:proofErr w:type="gramEnd"/>
      <w:r>
        <w:t xml:space="preserve"> this baseline cost has not been quantified.</w:t>
      </w:r>
    </w:p>
    <w:p w14:paraId="191E5429" w14:textId="77777777" w:rsidR="0028154A" w:rsidRPr="0028154A" w:rsidRDefault="0028154A" w:rsidP="00CA7F1E">
      <w:pPr>
        <w:numPr>
          <w:ilvl w:val="0"/>
          <w:numId w:val="1"/>
        </w:numPr>
        <w:spacing w:before="240" w:after="120"/>
        <w:jc w:val="both"/>
        <w:rPr>
          <w:bCs/>
          <w:szCs w:val="24"/>
        </w:rPr>
      </w:pPr>
      <w:r w:rsidRPr="0028154A">
        <w:rPr>
          <w:bCs/>
          <w:szCs w:val="24"/>
        </w:rPr>
        <w:t>More information around baseline activity and voluntary compliance with major hazard regulations under business as usual will be gathered in ongoing evidence gathering and stakeholder engagement.</w:t>
      </w:r>
    </w:p>
    <w:p w14:paraId="3B8F7493" w14:textId="52E8849B" w:rsidR="0028154A" w:rsidRPr="0028154A" w:rsidRDefault="0028154A" w:rsidP="00CA7F1E">
      <w:pPr>
        <w:keepNext/>
        <w:keepLines/>
        <w:spacing w:before="240" w:after="120"/>
        <w:ind w:firstLine="360"/>
        <w:jc w:val="both"/>
        <w:outlineLvl w:val="3"/>
        <w:rPr>
          <w:b/>
          <w:szCs w:val="24"/>
        </w:rPr>
      </w:pPr>
      <w:r w:rsidRPr="0028154A">
        <w:rPr>
          <w:b/>
          <w:szCs w:val="24"/>
        </w:rPr>
        <w:t xml:space="preserve">Option </w:t>
      </w:r>
      <w:r w:rsidR="00576A12">
        <w:rPr>
          <w:b/>
          <w:szCs w:val="24"/>
        </w:rPr>
        <w:t>5</w:t>
      </w:r>
      <w:r w:rsidRPr="0028154A">
        <w:rPr>
          <w:b/>
          <w:szCs w:val="24"/>
        </w:rPr>
        <w:t xml:space="preserve"> – Partial Regulation</w:t>
      </w:r>
    </w:p>
    <w:p w14:paraId="0977F06A" w14:textId="5C853166" w:rsidR="0028154A" w:rsidRPr="0028154A" w:rsidRDefault="0028154A" w:rsidP="00CA7F1E">
      <w:pPr>
        <w:numPr>
          <w:ilvl w:val="0"/>
          <w:numId w:val="1"/>
        </w:numPr>
        <w:spacing w:before="240" w:after="120"/>
        <w:jc w:val="both"/>
        <w:rPr>
          <w:bCs/>
          <w:szCs w:val="24"/>
        </w:rPr>
      </w:pPr>
      <w:r w:rsidRPr="0028154A">
        <w:rPr>
          <w:bCs/>
          <w:szCs w:val="24"/>
        </w:rPr>
        <w:t xml:space="preserve">Option </w:t>
      </w:r>
      <w:r w:rsidR="00576A12">
        <w:rPr>
          <w:bCs/>
          <w:szCs w:val="24"/>
        </w:rPr>
        <w:t>5</w:t>
      </w:r>
      <w:r w:rsidRPr="0028154A">
        <w:rPr>
          <w:bCs/>
          <w:szCs w:val="24"/>
        </w:rPr>
        <w:t xml:space="preserve"> proposes regulatory </w:t>
      </w:r>
      <w:r w:rsidR="00FA43A4">
        <w:rPr>
          <w:bCs/>
          <w:szCs w:val="24"/>
        </w:rPr>
        <w:t>changes</w:t>
      </w:r>
      <w:r w:rsidR="00FA43A4" w:rsidRPr="0028154A">
        <w:rPr>
          <w:bCs/>
          <w:szCs w:val="24"/>
        </w:rPr>
        <w:t xml:space="preserve"> </w:t>
      </w:r>
      <w:r w:rsidRPr="0028154A">
        <w:rPr>
          <w:bCs/>
          <w:szCs w:val="24"/>
        </w:rPr>
        <w:t>that would bring CCUS activities into scope of major hazard regulations (SCR</w:t>
      </w:r>
      <w:r w:rsidR="00D62CBF">
        <w:rPr>
          <w:bCs/>
          <w:szCs w:val="24"/>
        </w:rPr>
        <w:t>15</w:t>
      </w:r>
      <w:r w:rsidRPr="0028154A">
        <w:rPr>
          <w:bCs/>
          <w:szCs w:val="24"/>
        </w:rPr>
        <w:t>, MAR</w:t>
      </w:r>
      <w:r w:rsidR="00D62CBF">
        <w:rPr>
          <w:bCs/>
          <w:szCs w:val="24"/>
        </w:rPr>
        <w:t>95</w:t>
      </w:r>
      <w:r w:rsidRPr="0028154A">
        <w:rPr>
          <w:bCs/>
          <w:szCs w:val="24"/>
        </w:rPr>
        <w:t>, DCR</w:t>
      </w:r>
      <w:r w:rsidR="00D62CBF">
        <w:rPr>
          <w:bCs/>
          <w:szCs w:val="24"/>
        </w:rPr>
        <w:t>96</w:t>
      </w:r>
      <w:r w:rsidRPr="0028154A">
        <w:rPr>
          <w:bCs/>
          <w:szCs w:val="24"/>
        </w:rPr>
        <w:t>, PSR</w:t>
      </w:r>
      <w:r w:rsidR="00D62CBF">
        <w:rPr>
          <w:bCs/>
          <w:szCs w:val="24"/>
        </w:rPr>
        <w:t>96</w:t>
      </w:r>
      <w:r w:rsidRPr="0028154A">
        <w:rPr>
          <w:bCs/>
          <w:szCs w:val="24"/>
        </w:rPr>
        <w:t>) for both offshore installations and onshore pipelines, but would not bring hydrogen production into scope of the offshore regulatory regime.</w:t>
      </w:r>
    </w:p>
    <w:p w14:paraId="594ED126" w14:textId="5D91C49F" w:rsidR="0028154A" w:rsidRPr="0028154A" w:rsidRDefault="0028154A" w:rsidP="00CA7F1E">
      <w:pPr>
        <w:numPr>
          <w:ilvl w:val="0"/>
          <w:numId w:val="1"/>
        </w:numPr>
        <w:spacing w:before="240" w:after="120"/>
        <w:jc w:val="both"/>
        <w:rPr>
          <w:bCs/>
          <w:szCs w:val="24"/>
        </w:rPr>
      </w:pPr>
      <w:r w:rsidRPr="0028154A">
        <w:rPr>
          <w:bCs/>
          <w:szCs w:val="24"/>
        </w:rPr>
        <w:t xml:space="preserve">A full cost breakdown for the impact of each individual provision has been provided in the costs section (from paragraph </w:t>
      </w:r>
      <w:r w:rsidRPr="0028154A">
        <w:rPr>
          <w:bCs/>
          <w:szCs w:val="24"/>
        </w:rPr>
        <w:fldChar w:fldCharType="begin"/>
      </w:r>
      <w:r w:rsidRPr="0028154A">
        <w:rPr>
          <w:bCs/>
          <w:szCs w:val="24"/>
        </w:rPr>
        <w:instrText xml:space="preserve"> REF _Ref178586020 \r \h </w:instrText>
      </w:r>
      <w:r w:rsidRPr="0028154A">
        <w:rPr>
          <w:bCs/>
          <w:szCs w:val="24"/>
        </w:rPr>
      </w:r>
      <w:r w:rsidRPr="0028154A">
        <w:rPr>
          <w:bCs/>
          <w:szCs w:val="24"/>
        </w:rPr>
        <w:fldChar w:fldCharType="separate"/>
      </w:r>
      <w:r w:rsidR="002C5C8E">
        <w:rPr>
          <w:bCs/>
          <w:szCs w:val="24"/>
          <w:cs/>
        </w:rPr>
        <w:t>‎</w:t>
      </w:r>
      <w:r w:rsidR="002C5C8E">
        <w:rPr>
          <w:bCs/>
          <w:szCs w:val="24"/>
        </w:rPr>
        <w:t>38</w:t>
      </w:r>
      <w:r w:rsidRPr="0028154A">
        <w:rPr>
          <w:bCs/>
          <w:szCs w:val="24"/>
        </w:rPr>
        <w:fldChar w:fldCharType="end"/>
      </w:r>
      <w:r w:rsidRPr="0028154A">
        <w:rPr>
          <w:bCs/>
          <w:szCs w:val="24"/>
        </w:rPr>
        <w:t xml:space="preserve">). Option </w:t>
      </w:r>
      <w:r w:rsidR="004C438E">
        <w:rPr>
          <w:bCs/>
          <w:szCs w:val="24"/>
        </w:rPr>
        <w:t>5</w:t>
      </w:r>
      <w:r w:rsidRPr="0028154A">
        <w:rPr>
          <w:bCs/>
          <w:szCs w:val="24"/>
        </w:rPr>
        <w:t xml:space="preserve"> would incur </w:t>
      </w:r>
      <w:r w:rsidR="00A52F5A">
        <w:rPr>
          <w:bCs/>
          <w:szCs w:val="24"/>
        </w:rPr>
        <w:t>the</w:t>
      </w:r>
      <w:r w:rsidRPr="0028154A">
        <w:rPr>
          <w:bCs/>
          <w:szCs w:val="24"/>
        </w:rPr>
        <w:t xml:space="preserve"> full set of costs outlined, but only for CCUS installations and pipelines. </w:t>
      </w:r>
      <w:r w:rsidRPr="0028154A">
        <w:rPr>
          <w:b/>
          <w:szCs w:val="24"/>
        </w:rPr>
        <w:t xml:space="preserve">For option </w:t>
      </w:r>
      <w:r w:rsidR="004C438E">
        <w:rPr>
          <w:b/>
          <w:szCs w:val="24"/>
        </w:rPr>
        <w:t>5</w:t>
      </w:r>
      <w:r w:rsidRPr="0028154A">
        <w:rPr>
          <w:b/>
          <w:szCs w:val="24"/>
        </w:rPr>
        <w:t xml:space="preserve"> the net impact for hydrogen production installations would be nil.</w:t>
      </w:r>
    </w:p>
    <w:p w14:paraId="3FBA72F3" w14:textId="77777777" w:rsidR="0028154A" w:rsidRPr="0028154A" w:rsidRDefault="0028154A" w:rsidP="0028154A">
      <w:pPr>
        <w:spacing w:before="240" w:after="120"/>
        <w:rPr>
          <w:bCs/>
          <w:szCs w:val="24"/>
          <w:u w:val="single"/>
        </w:rPr>
      </w:pPr>
      <w:r w:rsidRPr="0028154A">
        <w:rPr>
          <w:bCs/>
          <w:szCs w:val="24"/>
          <w:u w:val="single"/>
        </w:rPr>
        <w:t>Total cost per CC</w:t>
      </w:r>
      <w:r w:rsidRPr="007C6A21">
        <w:rPr>
          <w:bCs/>
          <w:szCs w:val="24"/>
          <w:u w:val="single"/>
        </w:rPr>
        <w:t xml:space="preserve">US </w:t>
      </w:r>
      <w:r w:rsidR="007C6A21" w:rsidRPr="0062485D">
        <w:rPr>
          <w:bCs/>
          <w:szCs w:val="24"/>
          <w:u w:val="single"/>
        </w:rPr>
        <w:t>CO</w:t>
      </w:r>
      <w:r w:rsidR="007C6A21" w:rsidRPr="00000900">
        <w:rPr>
          <w:bCs/>
          <w:szCs w:val="24"/>
          <w:u w:val="single"/>
          <w:vertAlign w:val="subscript"/>
        </w:rPr>
        <w:t xml:space="preserve">2 </w:t>
      </w:r>
      <w:r w:rsidRPr="007C6A21">
        <w:rPr>
          <w:bCs/>
          <w:szCs w:val="24"/>
          <w:u w:val="single"/>
        </w:rPr>
        <w:t>Pipeline</w:t>
      </w:r>
    </w:p>
    <w:p w14:paraId="6ED8AD71" w14:textId="2D47F872" w:rsidR="0028154A" w:rsidRPr="0028154A" w:rsidRDefault="0028154A" w:rsidP="00CA7F1E">
      <w:pPr>
        <w:numPr>
          <w:ilvl w:val="0"/>
          <w:numId w:val="1"/>
        </w:numPr>
        <w:spacing w:before="240" w:after="120"/>
        <w:jc w:val="both"/>
        <w:rPr>
          <w:bCs/>
          <w:szCs w:val="24"/>
        </w:rPr>
      </w:pPr>
      <w:r w:rsidRPr="0028154A">
        <w:rPr>
          <w:bCs/>
          <w:szCs w:val="24"/>
        </w:rPr>
        <w:t>Under this option</w:t>
      </w:r>
      <w:r w:rsidR="00EB62AB">
        <w:rPr>
          <w:bCs/>
          <w:szCs w:val="24"/>
        </w:rPr>
        <w:t>,</w:t>
      </w:r>
      <w:r w:rsidRPr="0028154A">
        <w:rPr>
          <w:bCs/>
          <w:szCs w:val="24"/>
        </w:rPr>
        <w:t xml:space="preserve">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 xml:space="preserve">CCUS pipelines will incur the onshore pipeline costs outlined in the above costs section for PSR. </w:t>
      </w:r>
      <w:r w:rsidR="00584628" w:rsidRPr="00BA245F">
        <w:rPr>
          <w:bCs/>
          <w:color w:val="FF0000"/>
          <w:szCs w:val="24"/>
        </w:rPr>
        <w:t xml:space="preserve">As discussed in section </w:t>
      </w:r>
      <w:r w:rsidR="00584628" w:rsidRPr="00BA245F">
        <w:rPr>
          <w:bCs/>
          <w:color w:val="FF0000"/>
          <w:szCs w:val="24"/>
        </w:rPr>
        <w:fldChar w:fldCharType="begin"/>
      </w:r>
      <w:r w:rsidR="00584628" w:rsidRPr="00BA245F">
        <w:rPr>
          <w:bCs/>
          <w:color w:val="FF0000"/>
          <w:szCs w:val="24"/>
        </w:rPr>
        <w:instrText xml:space="preserve"> REF _Ref183608566 \r \h </w:instrText>
      </w:r>
      <w:r w:rsidR="00584628" w:rsidRPr="00BA245F">
        <w:rPr>
          <w:bCs/>
          <w:color w:val="FF0000"/>
          <w:szCs w:val="24"/>
        </w:rPr>
      </w:r>
      <w:r w:rsidR="00584628" w:rsidRPr="00BA245F">
        <w:rPr>
          <w:bCs/>
          <w:color w:val="FF0000"/>
          <w:szCs w:val="24"/>
        </w:rPr>
        <w:fldChar w:fldCharType="separate"/>
      </w:r>
      <w:r w:rsidR="00584628" w:rsidRPr="00BA245F">
        <w:rPr>
          <w:bCs/>
          <w:color w:val="FF0000"/>
          <w:szCs w:val="24"/>
          <w:cs/>
        </w:rPr>
        <w:t>‎</w:t>
      </w:r>
      <w:r w:rsidR="00584628" w:rsidRPr="00BA245F">
        <w:rPr>
          <w:bCs/>
          <w:color w:val="FF0000"/>
          <w:szCs w:val="24"/>
        </w:rPr>
        <w:t>5.3</w:t>
      </w:r>
      <w:r w:rsidR="00584628" w:rsidRPr="00BA245F">
        <w:rPr>
          <w:bCs/>
          <w:color w:val="FF0000"/>
          <w:szCs w:val="24"/>
        </w:rPr>
        <w:fldChar w:fldCharType="end"/>
      </w:r>
      <w:r w:rsidR="00584628" w:rsidRPr="00BA245F">
        <w:rPr>
          <w:bCs/>
          <w:color w:val="FF0000"/>
          <w:szCs w:val="24"/>
        </w:rPr>
        <w:t>, we are not able to disaggregate costs by business size at this stage</w:t>
      </w:r>
      <w:r w:rsidR="00584628">
        <w:rPr>
          <w:bCs/>
          <w:szCs w:val="24"/>
        </w:rPr>
        <w:t xml:space="preserve">. </w:t>
      </w:r>
      <w:r w:rsidRPr="0028154A">
        <w:rPr>
          <w:bCs/>
          <w:szCs w:val="24"/>
        </w:rPr>
        <w:t xml:space="preserve">The estimated 10-year present value of the cost of compliance for a </w:t>
      </w:r>
      <w:r w:rsidRPr="0028154A">
        <w:rPr>
          <w:bCs/>
          <w:i/>
          <w:iCs/>
          <w:szCs w:val="24"/>
        </w:rPr>
        <w:t>single</w:t>
      </w:r>
      <w:r w:rsidRPr="0028154A">
        <w:rPr>
          <w:bCs/>
          <w:szCs w:val="24"/>
        </w:rPr>
        <w:t xml:space="preserve">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CCUS pipeline and the EANDCB is as follows:</w:t>
      </w:r>
    </w:p>
    <w:tbl>
      <w:tblPr>
        <w:tblStyle w:val="TableGrid1"/>
        <w:tblW w:w="0" w:type="auto"/>
        <w:tblInd w:w="607" w:type="dxa"/>
        <w:tblLook w:val="04A0" w:firstRow="1" w:lastRow="0" w:firstColumn="1" w:lastColumn="0" w:noHBand="0" w:noVBand="1"/>
      </w:tblPr>
      <w:tblGrid>
        <w:gridCol w:w="2689"/>
        <w:gridCol w:w="1134"/>
        <w:gridCol w:w="1134"/>
        <w:gridCol w:w="1275"/>
      </w:tblGrid>
      <w:tr w:rsidR="0028154A" w:rsidRPr="0028154A" w14:paraId="09EB24D4" w14:textId="77777777">
        <w:tc>
          <w:tcPr>
            <w:tcW w:w="2689" w:type="dxa"/>
          </w:tcPr>
          <w:p w14:paraId="0982A7BD" w14:textId="77777777" w:rsidR="0028154A" w:rsidRPr="0028154A" w:rsidRDefault="0028154A" w:rsidP="0028154A">
            <w:pPr>
              <w:rPr>
                <w:bCs/>
                <w:szCs w:val="24"/>
              </w:rPr>
            </w:pPr>
            <w:bookmarkStart w:id="18" w:name="_Hlk177998768"/>
            <w:r w:rsidRPr="0028154A">
              <w:rPr>
                <w:b/>
                <w:szCs w:val="24"/>
              </w:rPr>
              <w:lastRenderedPageBreak/>
              <w:t>Cost per CCUS pipeline</w:t>
            </w:r>
          </w:p>
        </w:tc>
        <w:tc>
          <w:tcPr>
            <w:tcW w:w="1134" w:type="dxa"/>
          </w:tcPr>
          <w:p w14:paraId="7469AF7C" w14:textId="77777777" w:rsidR="0028154A" w:rsidRPr="0028154A" w:rsidRDefault="0028154A" w:rsidP="0028154A">
            <w:pPr>
              <w:rPr>
                <w:b/>
                <w:szCs w:val="24"/>
              </w:rPr>
            </w:pPr>
            <w:r w:rsidRPr="0028154A">
              <w:rPr>
                <w:b/>
                <w:szCs w:val="24"/>
              </w:rPr>
              <w:t>Low</w:t>
            </w:r>
          </w:p>
        </w:tc>
        <w:tc>
          <w:tcPr>
            <w:tcW w:w="1134" w:type="dxa"/>
          </w:tcPr>
          <w:p w14:paraId="157E203C" w14:textId="77777777" w:rsidR="0028154A" w:rsidRPr="0028154A" w:rsidRDefault="0028154A" w:rsidP="0028154A">
            <w:pPr>
              <w:rPr>
                <w:b/>
                <w:szCs w:val="24"/>
              </w:rPr>
            </w:pPr>
            <w:r w:rsidRPr="0028154A">
              <w:rPr>
                <w:b/>
                <w:szCs w:val="24"/>
              </w:rPr>
              <w:t>Mid</w:t>
            </w:r>
          </w:p>
        </w:tc>
        <w:tc>
          <w:tcPr>
            <w:tcW w:w="1275" w:type="dxa"/>
          </w:tcPr>
          <w:p w14:paraId="22A75EC3" w14:textId="77777777" w:rsidR="0028154A" w:rsidRPr="0028154A" w:rsidRDefault="0028154A" w:rsidP="0028154A">
            <w:pPr>
              <w:rPr>
                <w:b/>
                <w:szCs w:val="24"/>
              </w:rPr>
            </w:pPr>
            <w:r w:rsidRPr="0028154A">
              <w:rPr>
                <w:b/>
                <w:szCs w:val="24"/>
              </w:rPr>
              <w:t>High</w:t>
            </w:r>
          </w:p>
        </w:tc>
      </w:tr>
      <w:tr w:rsidR="0028154A" w:rsidRPr="0028154A" w14:paraId="0C27F3E3" w14:textId="77777777">
        <w:tc>
          <w:tcPr>
            <w:tcW w:w="2689" w:type="dxa"/>
          </w:tcPr>
          <w:p w14:paraId="1CF07F28" w14:textId="77777777" w:rsidR="0028154A" w:rsidRPr="0028154A" w:rsidRDefault="0028154A" w:rsidP="0028154A">
            <w:pPr>
              <w:rPr>
                <w:b/>
                <w:szCs w:val="24"/>
              </w:rPr>
            </w:pPr>
            <w:r w:rsidRPr="0028154A">
              <w:rPr>
                <w:b/>
                <w:szCs w:val="24"/>
              </w:rPr>
              <w:t>10-year net present cost</w:t>
            </w:r>
          </w:p>
        </w:tc>
        <w:tc>
          <w:tcPr>
            <w:tcW w:w="1134" w:type="dxa"/>
          </w:tcPr>
          <w:p w14:paraId="514AE677" w14:textId="77777777" w:rsidR="0028154A" w:rsidRPr="0028154A" w:rsidRDefault="0028154A" w:rsidP="0028154A">
            <w:pPr>
              <w:rPr>
                <w:bCs/>
                <w:szCs w:val="24"/>
              </w:rPr>
            </w:pPr>
            <w:r w:rsidRPr="0028154A">
              <w:rPr>
                <w:bCs/>
                <w:szCs w:val="24"/>
              </w:rPr>
              <w:t>£47</w:t>
            </w:r>
          </w:p>
        </w:tc>
        <w:tc>
          <w:tcPr>
            <w:tcW w:w="1134" w:type="dxa"/>
          </w:tcPr>
          <w:p w14:paraId="41784144" w14:textId="77777777" w:rsidR="0028154A" w:rsidRPr="0028154A" w:rsidRDefault="0028154A" w:rsidP="0028154A">
            <w:pPr>
              <w:rPr>
                <w:bCs/>
                <w:szCs w:val="24"/>
              </w:rPr>
            </w:pPr>
            <w:r w:rsidRPr="0028154A">
              <w:rPr>
                <w:bCs/>
                <w:szCs w:val="24"/>
              </w:rPr>
              <w:t>£710</w:t>
            </w:r>
          </w:p>
        </w:tc>
        <w:tc>
          <w:tcPr>
            <w:tcW w:w="1275" w:type="dxa"/>
          </w:tcPr>
          <w:p w14:paraId="3D6CA5F8" w14:textId="77777777" w:rsidR="0028154A" w:rsidRPr="0028154A" w:rsidRDefault="0028154A" w:rsidP="0028154A">
            <w:pPr>
              <w:rPr>
                <w:bCs/>
                <w:szCs w:val="24"/>
              </w:rPr>
            </w:pPr>
            <w:r w:rsidRPr="0028154A">
              <w:rPr>
                <w:bCs/>
                <w:szCs w:val="24"/>
              </w:rPr>
              <w:t>£2,300</w:t>
            </w:r>
          </w:p>
        </w:tc>
      </w:tr>
      <w:tr w:rsidR="0028154A" w:rsidRPr="0028154A" w14:paraId="1859FB78" w14:textId="77777777">
        <w:tc>
          <w:tcPr>
            <w:tcW w:w="2689" w:type="dxa"/>
          </w:tcPr>
          <w:p w14:paraId="73C4084E" w14:textId="77777777" w:rsidR="0028154A" w:rsidRPr="0028154A" w:rsidRDefault="0028154A" w:rsidP="0028154A">
            <w:pPr>
              <w:rPr>
                <w:b/>
                <w:szCs w:val="24"/>
              </w:rPr>
            </w:pPr>
            <w:r w:rsidRPr="0028154A">
              <w:rPr>
                <w:b/>
                <w:szCs w:val="24"/>
              </w:rPr>
              <w:t>EANDCB</w:t>
            </w:r>
          </w:p>
        </w:tc>
        <w:tc>
          <w:tcPr>
            <w:tcW w:w="1134" w:type="dxa"/>
          </w:tcPr>
          <w:p w14:paraId="427F850F" w14:textId="77777777" w:rsidR="0028154A" w:rsidRPr="0028154A" w:rsidRDefault="0028154A" w:rsidP="0028154A">
            <w:pPr>
              <w:rPr>
                <w:bCs/>
                <w:szCs w:val="24"/>
              </w:rPr>
            </w:pPr>
            <w:r w:rsidRPr="0028154A">
              <w:rPr>
                <w:bCs/>
                <w:szCs w:val="24"/>
              </w:rPr>
              <w:t>£5.4</w:t>
            </w:r>
          </w:p>
        </w:tc>
        <w:tc>
          <w:tcPr>
            <w:tcW w:w="1134" w:type="dxa"/>
          </w:tcPr>
          <w:p w14:paraId="31205981" w14:textId="77777777" w:rsidR="0028154A" w:rsidRPr="0028154A" w:rsidRDefault="0028154A" w:rsidP="0028154A">
            <w:pPr>
              <w:rPr>
                <w:bCs/>
                <w:szCs w:val="24"/>
              </w:rPr>
            </w:pPr>
            <w:r w:rsidRPr="0028154A">
              <w:rPr>
                <w:bCs/>
                <w:szCs w:val="24"/>
              </w:rPr>
              <w:t>£83</w:t>
            </w:r>
          </w:p>
        </w:tc>
        <w:tc>
          <w:tcPr>
            <w:tcW w:w="1275" w:type="dxa"/>
          </w:tcPr>
          <w:p w14:paraId="41168786" w14:textId="77777777" w:rsidR="0028154A" w:rsidRPr="0028154A" w:rsidRDefault="0028154A" w:rsidP="0028154A">
            <w:pPr>
              <w:rPr>
                <w:bCs/>
                <w:szCs w:val="24"/>
              </w:rPr>
            </w:pPr>
            <w:r w:rsidRPr="0028154A">
              <w:rPr>
                <w:bCs/>
                <w:szCs w:val="24"/>
              </w:rPr>
              <w:t>£260</w:t>
            </w:r>
          </w:p>
        </w:tc>
      </w:tr>
    </w:tbl>
    <w:p w14:paraId="4F10F1A0" w14:textId="77777777" w:rsidR="0028154A" w:rsidRPr="0028154A" w:rsidRDefault="0028154A" w:rsidP="0028154A">
      <w:pPr>
        <w:spacing w:after="0"/>
        <w:rPr>
          <w:bCs/>
          <w:i/>
          <w:iCs/>
          <w:szCs w:val="24"/>
        </w:rPr>
      </w:pPr>
      <w:r w:rsidRPr="0028154A">
        <w:rPr>
          <w:bCs/>
          <w:i/>
          <w:iCs/>
          <w:szCs w:val="24"/>
        </w:rPr>
        <w:t>*Costs in £’000s. Rounded to 2s.f.s</w:t>
      </w:r>
    </w:p>
    <w:bookmarkEnd w:id="18"/>
    <w:p w14:paraId="58126875" w14:textId="77777777" w:rsidR="0028154A" w:rsidRPr="0028154A" w:rsidRDefault="0028154A" w:rsidP="0028154A">
      <w:pPr>
        <w:spacing w:before="240" w:after="120"/>
        <w:rPr>
          <w:bCs/>
          <w:szCs w:val="24"/>
          <w:u w:val="single"/>
        </w:rPr>
      </w:pPr>
      <w:r w:rsidRPr="0028154A">
        <w:rPr>
          <w:bCs/>
          <w:szCs w:val="24"/>
          <w:u w:val="single"/>
        </w:rPr>
        <w:t>Total cost per CCUS Installation</w:t>
      </w:r>
    </w:p>
    <w:p w14:paraId="553E2878" w14:textId="2F9E76AA" w:rsidR="0028154A" w:rsidRPr="0028154A" w:rsidRDefault="0028154A" w:rsidP="00CA7F1E">
      <w:pPr>
        <w:numPr>
          <w:ilvl w:val="0"/>
          <w:numId w:val="1"/>
        </w:numPr>
        <w:spacing w:before="240" w:after="120"/>
        <w:jc w:val="both"/>
        <w:rPr>
          <w:bCs/>
          <w:szCs w:val="24"/>
        </w:rPr>
      </w:pPr>
      <w:r w:rsidRPr="0028154A">
        <w:rPr>
          <w:bCs/>
          <w:szCs w:val="24"/>
        </w:rPr>
        <w:t xml:space="preserve">A CCUS installation will incur the full set of offshore costs outlined in the above costs section </w:t>
      </w:r>
      <w:r w:rsidR="004D2742">
        <w:rPr>
          <w:bCs/>
          <w:szCs w:val="24"/>
        </w:rPr>
        <w:t>(SCP, DCR and MAR)</w:t>
      </w:r>
      <w:r w:rsidRPr="0028154A">
        <w:rPr>
          <w:bCs/>
          <w:szCs w:val="24"/>
        </w:rPr>
        <w:t xml:space="preserve"> for this option. Onshore pipeline costs under PSR do not apply to CCUS installations. </w:t>
      </w:r>
      <w:r w:rsidR="00584628" w:rsidRPr="00BA245F">
        <w:rPr>
          <w:bCs/>
          <w:color w:val="FF0000"/>
          <w:szCs w:val="24"/>
        </w:rPr>
        <w:t xml:space="preserve">As discussed in section </w:t>
      </w:r>
      <w:r w:rsidR="00584628" w:rsidRPr="00BA245F">
        <w:rPr>
          <w:bCs/>
          <w:color w:val="FF0000"/>
          <w:szCs w:val="24"/>
        </w:rPr>
        <w:fldChar w:fldCharType="begin"/>
      </w:r>
      <w:r w:rsidR="00584628" w:rsidRPr="00BA245F">
        <w:rPr>
          <w:bCs/>
          <w:color w:val="FF0000"/>
          <w:szCs w:val="24"/>
        </w:rPr>
        <w:instrText xml:space="preserve"> REF _Ref183608566 \r \h </w:instrText>
      </w:r>
      <w:r w:rsidR="00584628" w:rsidRPr="00BA245F">
        <w:rPr>
          <w:bCs/>
          <w:color w:val="FF0000"/>
          <w:szCs w:val="24"/>
        </w:rPr>
      </w:r>
      <w:r w:rsidR="00584628" w:rsidRPr="00BA245F">
        <w:rPr>
          <w:bCs/>
          <w:color w:val="FF0000"/>
          <w:szCs w:val="24"/>
        </w:rPr>
        <w:fldChar w:fldCharType="separate"/>
      </w:r>
      <w:r w:rsidR="00584628" w:rsidRPr="00BA245F">
        <w:rPr>
          <w:bCs/>
          <w:color w:val="FF0000"/>
          <w:szCs w:val="24"/>
          <w:cs/>
        </w:rPr>
        <w:t>‎</w:t>
      </w:r>
      <w:r w:rsidR="00584628" w:rsidRPr="00BA245F">
        <w:rPr>
          <w:bCs/>
          <w:color w:val="FF0000"/>
          <w:szCs w:val="24"/>
        </w:rPr>
        <w:t>5.3</w:t>
      </w:r>
      <w:r w:rsidR="00584628" w:rsidRPr="00BA245F">
        <w:rPr>
          <w:bCs/>
          <w:color w:val="FF0000"/>
          <w:szCs w:val="24"/>
        </w:rPr>
        <w:fldChar w:fldCharType="end"/>
      </w:r>
      <w:r w:rsidR="00584628" w:rsidRPr="00BA245F">
        <w:rPr>
          <w:bCs/>
          <w:color w:val="FF0000"/>
          <w:szCs w:val="24"/>
        </w:rPr>
        <w:t>, we are not able to disaggregate costs by business size at this stage</w:t>
      </w:r>
      <w:r w:rsidR="00584628">
        <w:rPr>
          <w:bCs/>
          <w:szCs w:val="24"/>
        </w:rPr>
        <w:t xml:space="preserve">. </w:t>
      </w:r>
      <w:r w:rsidRPr="0028154A">
        <w:rPr>
          <w:bCs/>
          <w:szCs w:val="24"/>
        </w:rPr>
        <w:t xml:space="preserve">The estimated 10-year present value of the cost of compliance for a </w:t>
      </w:r>
      <w:r w:rsidRPr="0028154A">
        <w:rPr>
          <w:bCs/>
          <w:i/>
          <w:iCs/>
          <w:szCs w:val="24"/>
        </w:rPr>
        <w:t>single</w:t>
      </w:r>
      <w:r w:rsidRPr="0028154A">
        <w:rPr>
          <w:bCs/>
          <w:szCs w:val="24"/>
        </w:rPr>
        <w:t xml:space="preserve"> CCUS installation and the estimated annualised net direct cost to business (EANDCB) is as follows:</w:t>
      </w:r>
    </w:p>
    <w:tbl>
      <w:tblPr>
        <w:tblStyle w:val="TableGrid1"/>
        <w:tblW w:w="0" w:type="auto"/>
        <w:tblInd w:w="607" w:type="dxa"/>
        <w:tblLook w:val="04A0" w:firstRow="1" w:lastRow="0" w:firstColumn="1" w:lastColumn="0" w:noHBand="0" w:noVBand="1"/>
      </w:tblPr>
      <w:tblGrid>
        <w:gridCol w:w="2689"/>
        <w:gridCol w:w="1134"/>
        <w:gridCol w:w="1134"/>
        <w:gridCol w:w="1275"/>
      </w:tblGrid>
      <w:tr w:rsidR="0028154A" w:rsidRPr="0028154A" w14:paraId="7CD53FCF" w14:textId="77777777">
        <w:tc>
          <w:tcPr>
            <w:tcW w:w="2689" w:type="dxa"/>
          </w:tcPr>
          <w:p w14:paraId="4CA366E0" w14:textId="77777777" w:rsidR="0028154A" w:rsidRPr="0028154A" w:rsidRDefault="0028154A" w:rsidP="0028154A">
            <w:pPr>
              <w:rPr>
                <w:b/>
                <w:szCs w:val="24"/>
              </w:rPr>
            </w:pPr>
            <w:bookmarkStart w:id="19" w:name="_Hlk177997191"/>
            <w:r w:rsidRPr="0028154A">
              <w:rPr>
                <w:b/>
                <w:szCs w:val="24"/>
              </w:rPr>
              <w:t>Cost per CCUS installation</w:t>
            </w:r>
          </w:p>
        </w:tc>
        <w:tc>
          <w:tcPr>
            <w:tcW w:w="1134" w:type="dxa"/>
          </w:tcPr>
          <w:p w14:paraId="33AE6CB4" w14:textId="77777777" w:rsidR="0028154A" w:rsidRPr="0028154A" w:rsidRDefault="0028154A" w:rsidP="0028154A">
            <w:pPr>
              <w:rPr>
                <w:b/>
                <w:szCs w:val="24"/>
              </w:rPr>
            </w:pPr>
            <w:r w:rsidRPr="0028154A">
              <w:rPr>
                <w:b/>
                <w:szCs w:val="24"/>
              </w:rPr>
              <w:t>Low</w:t>
            </w:r>
          </w:p>
        </w:tc>
        <w:tc>
          <w:tcPr>
            <w:tcW w:w="1134" w:type="dxa"/>
          </w:tcPr>
          <w:p w14:paraId="458CFA40" w14:textId="77777777" w:rsidR="0028154A" w:rsidRPr="0028154A" w:rsidRDefault="0028154A" w:rsidP="0028154A">
            <w:pPr>
              <w:rPr>
                <w:b/>
                <w:szCs w:val="24"/>
              </w:rPr>
            </w:pPr>
            <w:r w:rsidRPr="0028154A">
              <w:rPr>
                <w:b/>
                <w:szCs w:val="24"/>
              </w:rPr>
              <w:t>Mid</w:t>
            </w:r>
          </w:p>
        </w:tc>
        <w:tc>
          <w:tcPr>
            <w:tcW w:w="1275" w:type="dxa"/>
          </w:tcPr>
          <w:p w14:paraId="4C694051" w14:textId="77777777" w:rsidR="0028154A" w:rsidRPr="0028154A" w:rsidRDefault="0028154A" w:rsidP="0028154A">
            <w:pPr>
              <w:rPr>
                <w:b/>
                <w:szCs w:val="24"/>
              </w:rPr>
            </w:pPr>
            <w:r w:rsidRPr="0028154A">
              <w:rPr>
                <w:b/>
                <w:szCs w:val="24"/>
              </w:rPr>
              <w:t>High</w:t>
            </w:r>
          </w:p>
        </w:tc>
      </w:tr>
      <w:tr w:rsidR="0028154A" w:rsidRPr="0028154A" w14:paraId="0D963F99" w14:textId="77777777">
        <w:tc>
          <w:tcPr>
            <w:tcW w:w="2689" w:type="dxa"/>
          </w:tcPr>
          <w:p w14:paraId="1BFDE6FB" w14:textId="77777777" w:rsidR="0028154A" w:rsidRPr="0028154A" w:rsidRDefault="0028154A" w:rsidP="0028154A">
            <w:pPr>
              <w:rPr>
                <w:b/>
                <w:szCs w:val="24"/>
              </w:rPr>
            </w:pPr>
            <w:r w:rsidRPr="0028154A">
              <w:rPr>
                <w:b/>
                <w:szCs w:val="24"/>
              </w:rPr>
              <w:t>10-year net present cost</w:t>
            </w:r>
          </w:p>
        </w:tc>
        <w:tc>
          <w:tcPr>
            <w:tcW w:w="1134" w:type="dxa"/>
          </w:tcPr>
          <w:p w14:paraId="7692EB8B" w14:textId="24046BEE" w:rsidR="0028154A" w:rsidRPr="0028154A" w:rsidRDefault="0028154A" w:rsidP="0028154A">
            <w:pPr>
              <w:rPr>
                <w:bCs/>
                <w:szCs w:val="24"/>
              </w:rPr>
            </w:pPr>
            <w:r w:rsidRPr="0028154A">
              <w:rPr>
                <w:bCs/>
                <w:szCs w:val="24"/>
              </w:rPr>
              <w:t>£6,</w:t>
            </w:r>
            <w:r w:rsidR="00354BEF">
              <w:rPr>
                <w:bCs/>
                <w:szCs w:val="24"/>
              </w:rPr>
              <w:t>8</w:t>
            </w:r>
            <w:r w:rsidRPr="0028154A">
              <w:rPr>
                <w:bCs/>
                <w:szCs w:val="24"/>
              </w:rPr>
              <w:t>00</w:t>
            </w:r>
          </w:p>
        </w:tc>
        <w:tc>
          <w:tcPr>
            <w:tcW w:w="1134" w:type="dxa"/>
          </w:tcPr>
          <w:p w14:paraId="7D6334D2" w14:textId="77777777" w:rsidR="0028154A" w:rsidRPr="0028154A" w:rsidRDefault="0028154A" w:rsidP="0028154A">
            <w:pPr>
              <w:rPr>
                <w:bCs/>
                <w:szCs w:val="24"/>
              </w:rPr>
            </w:pPr>
            <w:r w:rsidRPr="0028154A">
              <w:rPr>
                <w:bCs/>
                <w:szCs w:val="24"/>
              </w:rPr>
              <w:t>£14,000</w:t>
            </w:r>
          </w:p>
        </w:tc>
        <w:tc>
          <w:tcPr>
            <w:tcW w:w="1275" w:type="dxa"/>
          </w:tcPr>
          <w:p w14:paraId="61EE49E8" w14:textId="77777777" w:rsidR="0028154A" w:rsidRPr="0028154A" w:rsidRDefault="0028154A" w:rsidP="0028154A">
            <w:pPr>
              <w:rPr>
                <w:bCs/>
                <w:szCs w:val="24"/>
              </w:rPr>
            </w:pPr>
            <w:r w:rsidRPr="0028154A">
              <w:rPr>
                <w:bCs/>
                <w:szCs w:val="24"/>
              </w:rPr>
              <w:t>£21,000</w:t>
            </w:r>
          </w:p>
        </w:tc>
      </w:tr>
      <w:tr w:rsidR="0028154A" w:rsidRPr="0028154A" w14:paraId="69028D26" w14:textId="77777777">
        <w:tc>
          <w:tcPr>
            <w:tcW w:w="2689" w:type="dxa"/>
          </w:tcPr>
          <w:p w14:paraId="58127CCA" w14:textId="77777777" w:rsidR="0028154A" w:rsidRPr="0028154A" w:rsidRDefault="0028154A" w:rsidP="0028154A">
            <w:pPr>
              <w:rPr>
                <w:b/>
                <w:szCs w:val="24"/>
              </w:rPr>
            </w:pPr>
            <w:r w:rsidRPr="0028154A">
              <w:rPr>
                <w:b/>
                <w:szCs w:val="24"/>
              </w:rPr>
              <w:t>EANDCB</w:t>
            </w:r>
          </w:p>
        </w:tc>
        <w:tc>
          <w:tcPr>
            <w:tcW w:w="1134" w:type="dxa"/>
          </w:tcPr>
          <w:p w14:paraId="584A31AA" w14:textId="77777777" w:rsidR="0028154A" w:rsidRPr="0028154A" w:rsidRDefault="0028154A" w:rsidP="0028154A">
            <w:pPr>
              <w:rPr>
                <w:bCs/>
                <w:szCs w:val="24"/>
              </w:rPr>
            </w:pPr>
            <w:r w:rsidRPr="0028154A">
              <w:rPr>
                <w:bCs/>
                <w:szCs w:val="24"/>
              </w:rPr>
              <w:t>£800</w:t>
            </w:r>
          </w:p>
        </w:tc>
        <w:tc>
          <w:tcPr>
            <w:tcW w:w="1134" w:type="dxa"/>
          </w:tcPr>
          <w:p w14:paraId="31603042" w14:textId="77777777" w:rsidR="0028154A" w:rsidRPr="0028154A" w:rsidRDefault="0028154A" w:rsidP="0028154A">
            <w:pPr>
              <w:rPr>
                <w:bCs/>
                <w:szCs w:val="24"/>
              </w:rPr>
            </w:pPr>
            <w:r w:rsidRPr="0028154A">
              <w:rPr>
                <w:bCs/>
                <w:szCs w:val="24"/>
              </w:rPr>
              <w:t>£1,600</w:t>
            </w:r>
          </w:p>
        </w:tc>
        <w:tc>
          <w:tcPr>
            <w:tcW w:w="1275" w:type="dxa"/>
          </w:tcPr>
          <w:p w14:paraId="52282439" w14:textId="41787DE1" w:rsidR="0028154A" w:rsidRPr="0028154A" w:rsidRDefault="0028154A" w:rsidP="0028154A">
            <w:pPr>
              <w:rPr>
                <w:bCs/>
                <w:szCs w:val="24"/>
              </w:rPr>
            </w:pPr>
            <w:r w:rsidRPr="0028154A">
              <w:rPr>
                <w:bCs/>
                <w:szCs w:val="24"/>
              </w:rPr>
              <w:t>£2,400</w:t>
            </w:r>
          </w:p>
        </w:tc>
      </w:tr>
    </w:tbl>
    <w:p w14:paraId="21EDE0F8" w14:textId="77777777" w:rsidR="0028154A" w:rsidRPr="0028154A" w:rsidRDefault="0028154A" w:rsidP="0028154A">
      <w:pPr>
        <w:spacing w:after="0"/>
        <w:rPr>
          <w:bCs/>
          <w:i/>
          <w:iCs/>
          <w:szCs w:val="24"/>
        </w:rPr>
      </w:pPr>
      <w:r w:rsidRPr="0028154A">
        <w:rPr>
          <w:bCs/>
          <w:i/>
          <w:iCs/>
          <w:szCs w:val="24"/>
        </w:rPr>
        <w:t>*Costs in £’000s. Rounded to 2s.f.s</w:t>
      </w:r>
    </w:p>
    <w:bookmarkEnd w:id="19"/>
    <w:p w14:paraId="3DDC4EBB" w14:textId="77777777" w:rsidR="0028154A" w:rsidRPr="0028154A" w:rsidRDefault="0028154A" w:rsidP="0028154A">
      <w:pPr>
        <w:spacing w:before="240" w:after="120"/>
        <w:rPr>
          <w:bCs/>
          <w:szCs w:val="24"/>
          <w:u w:val="single"/>
        </w:rPr>
      </w:pPr>
      <w:r w:rsidRPr="0028154A">
        <w:rPr>
          <w:bCs/>
          <w:szCs w:val="24"/>
          <w:u w:val="single"/>
        </w:rPr>
        <w:t>Total cost aggregated across the Offshore CCUS Sector</w:t>
      </w:r>
    </w:p>
    <w:p w14:paraId="47C51E18" w14:textId="3247A659" w:rsidR="0028154A" w:rsidRPr="002665B1" w:rsidRDefault="0028154A" w:rsidP="002665B1">
      <w:pPr>
        <w:numPr>
          <w:ilvl w:val="0"/>
          <w:numId w:val="1"/>
        </w:numPr>
        <w:spacing w:before="240" w:after="120"/>
        <w:jc w:val="both"/>
        <w:rPr>
          <w:bCs/>
          <w:szCs w:val="24"/>
        </w:rPr>
      </w:pPr>
      <w:r w:rsidRPr="0028154A">
        <w:rPr>
          <w:bCs/>
          <w:szCs w:val="24"/>
        </w:rPr>
        <w:t xml:space="preserve">Based upon the assumption </w:t>
      </w:r>
      <w:r w:rsidR="00DD413F">
        <w:rPr>
          <w:bCs/>
          <w:szCs w:val="24"/>
        </w:rPr>
        <w:t>of 27 installations commencing operations</w:t>
      </w:r>
      <w:r w:rsidR="007C3330">
        <w:rPr>
          <w:bCs/>
          <w:szCs w:val="24"/>
        </w:rPr>
        <w:t xml:space="preserve"> spread evenly across the appraisal period,</w:t>
      </w:r>
      <w:r w:rsidR="00DD413F">
        <w:rPr>
          <w:bCs/>
          <w:szCs w:val="24"/>
        </w:rPr>
        <w:t xml:space="preserve"> </w:t>
      </w:r>
      <w:r w:rsidR="007C3330">
        <w:rPr>
          <w:bCs/>
          <w:szCs w:val="24"/>
        </w:rPr>
        <w:t>as outlined</w:t>
      </w:r>
      <w:r w:rsidRPr="0028154A">
        <w:rPr>
          <w:bCs/>
          <w:szCs w:val="24"/>
        </w:rPr>
        <w:t xml:space="preserve"> paragraph </w:t>
      </w:r>
      <w:r w:rsidRPr="0028154A">
        <w:rPr>
          <w:bCs/>
          <w:szCs w:val="24"/>
        </w:rPr>
        <w:fldChar w:fldCharType="begin"/>
      </w:r>
      <w:r w:rsidRPr="0028154A">
        <w:rPr>
          <w:bCs/>
          <w:szCs w:val="24"/>
        </w:rPr>
        <w:instrText xml:space="preserve"> REF _Ref177995861 \r \h </w:instrText>
      </w:r>
      <w:r w:rsidRPr="0028154A">
        <w:rPr>
          <w:bCs/>
          <w:szCs w:val="24"/>
        </w:rPr>
      </w:r>
      <w:r w:rsidRPr="0028154A">
        <w:rPr>
          <w:bCs/>
          <w:szCs w:val="24"/>
        </w:rPr>
        <w:fldChar w:fldCharType="separate"/>
      </w:r>
      <w:r w:rsidR="0086161D">
        <w:rPr>
          <w:bCs/>
          <w:szCs w:val="24"/>
          <w:cs/>
        </w:rPr>
        <w:t>‎</w:t>
      </w:r>
      <w:r w:rsidR="0086161D">
        <w:rPr>
          <w:bCs/>
          <w:szCs w:val="24"/>
        </w:rPr>
        <w:t>25</w:t>
      </w:r>
      <w:r w:rsidRPr="0028154A">
        <w:rPr>
          <w:bCs/>
          <w:szCs w:val="24"/>
        </w:rPr>
        <w:fldChar w:fldCharType="end"/>
      </w:r>
      <w:r w:rsidR="008B1C4C">
        <w:rPr>
          <w:bCs/>
          <w:szCs w:val="24"/>
        </w:rPr>
        <w:t xml:space="preserve"> and </w:t>
      </w:r>
      <w:r w:rsidR="00195C37">
        <w:rPr>
          <w:bCs/>
          <w:szCs w:val="24"/>
        </w:rPr>
        <w:t xml:space="preserve">demonstrated in </w:t>
      </w:r>
      <w:r w:rsidR="00195C37" w:rsidRPr="00195C37">
        <w:rPr>
          <w:bCs/>
          <w:szCs w:val="24"/>
        </w:rPr>
        <w:fldChar w:fldCharType="begin"/>
      </w:r>
      <w:r w:rsidR="00195C37" w:rsidRPr="00195C37">
        <w:rPr>
          <w:bCs/>
          <w:szCs w:val="24"/>
        </w:rPr>
        <w:instrText xml:space="preserve"> REF _Ref178944192 \h </w:instrText>
      </w:r>
      <w:r w:rsidR="00195C37" w:rsidRPr="007C47D0">
        <w:rPr>
          <w:bCs/>
          <w:szCs w:val="24"/>
        </w:rPr>
        <w:instrText xml:space="preserve"> \* MERGEFORMAT </w:instrText>
      </w:r>
      <w:r w:rsidR="00195C37" w:rsidRPr="00195C37">
        <w:rPr>
          <w:bCs/>
          <w:szCs w:val="24"/>
        </w:rPr>
      </w:r>
      <w:r w:rsidR="00195C37" w:rsidRPr="00195C37">
        <w:rPr>
          <w:bCs/>
          <w:szCs w:val="24"/>
        </w:rPr>
        <w:fldChar w:fldCharType="separate"/>
      </w:r>
      <w:r w:rsidR="0086161D" w:rsidRPr="00DE0402">
        <w:rPr>
          <w:szCs w:val="24"/>
        </w:rPr>
        <w:t xml:space="preserve">Figure </w:t>
      </w:r>
      <w:r w:rsidR="0086161D" w:rsidRPr="007C47D0">
        <w:rPr>
          <w:bCs/>
          <w:noProof/>
          <w:szCs w:val="24"/>
        </w:rPr>
        <w:t>2</w:t>
      </w:r>
      <w:r w:rsidR="00195C37" w:rsidRPr="00195C37">
        <w:rPr>
          <w:bCs/>
          <w:szCs w:val="24"/>
        </w:rPr>
        <w:fldChar w:fldCharType="end"/>
      </w:r>
      <w:r w:rsidRPr="0028154A">
        <w:rPr>
          <w:bCs/>
          <w:szCs w:val="24"/>
        </w:rPr>
        <w:t>, the estimated 10-year present value of the cost of offshore compliance and EANDCB across the offshore CCUS sector is as follows</w:t>
      </w:r>
      <w:r w:rsidR="002665B1">
        <w:rPr>
          <w:bCs/>
          <w:szCs w:val="24"/>
        </w:rPr>
        <w:t xml:space="preserve">. </w:t>
      </w:r>
      <w:r w:rsidR="002665B1" w:rsidRPr="00BA245F">
        <w:rPr>
          <w:bCs/>
          <w:color w:val="FF0000"/>
          <w:szCs w:val="24"/>
        </w:rPr>
        <w:t xml:space="preserve">As discussed in section </w:t>
      </w:r>
      <w:r w:rsidR="002665B1" w:rsidRPr="00BA245F">
        <w:rPr>
          <w:bCs/>
          <w:color w:val="FF0000"/>
          <w:szCs w:val="24"/>
        </w:rPr>
        <w:fldChar w:fldCharType="begin"/>
      </w:r>
      <w:r w:rsidR="002665B1" w:rsidRPr="00BA245F">
        <w:rPr>
          <w:bCs/>
          <w:color w:val="FF0000"/>
          <w:szCs w:val="24"/>
        </w:rPr>
        <w:instrText xml:space="preserve"> REF _Ref183608566 \r \h </w:instrText>
      </w:r>
      <w:r w:rsidR="002665B1" w:rsidRPr="00BA245F">
        <w:rPr>
          <w:bCs/>
          <w:color w:val="FF0000"/>
          <w:szCs w:val="24"/>
        </w:rPr>
      </w:r>
      <w:r w:rsidR="002665B1" w:rsidRPr="00BA245F">
        <w:rPr>
          <w:bCs/>
          <w:color w:val="FF0000"/>
          <w:szCs w:val="24"/>
        </w:rPr>
        <w:fldChar w:fldCharType="separate"/>
      </w:r>
      <w:r w:rsidR="002665B1" w:rsidRPr="00BA245F">
        <w:rPr>
          <w:bCs/>
          <w:color w:val="FF0000"/>
          <w:szCs w:val="24"/>
          <w:cs/>
        </w:rPr>
        <w:t>‎</w:t>
      </w:r>
      <w:r w:rsidR="002665B1" w:rsidRPr="00BA245F">
        <w:rPr>
          <w:bCs/>
          <w:color w:val="FF0000"/>
          <w:szCs w:val="24"/>
        </w:rPr>
        <w:t>5.3</w:t>
      </w:r>
      <w:r w:rsidR="002665B1" w:rsidRPr="00BA245F">
        <w:rPr>
          <w:bCs/>
          <w:color w:val="FF0000"/>
          <w:szCs w:val="24"/>
        </w:rPr>
        <w:fldChar w:fldCharType="end"/>
      </w:r>
      <w:r w:rsidR="002665B1" w:rsidRPr="00BA245F">
        <w:rPr>
          <w:bCs/>
          <w:color w:val="FF0000"/>
          <w:szCs w:val="24"/>
        </w:rPr>
        <w:t>, we anticipate that perhaps 40% of this cost will fall to medium-sized operators and around 60% to large ones.</w:t>
      </w:r>
      <w:r w:rsidR="002665B1">
        <w:rPr>
          <w:bCs/>
          <w:szCs w:val="24"/>
        </w:rPr>
        <w:t xml:space="preserve"> </w:t>
      </w:r>
    </w:p>
    <w:tbl>
      <w:tblPr>
        <w:tblStyle w:val="TableGrid1"/>
        <w:tblW w:w="0" w:type="auto"/>
        <w:tblInd w:w="607" w:type="dxa"/>
        <w:tblLook w:val="04A0" w:firstRow="1" w:lastRow="0" w:firstColumn="1" w:lastColumn="0" w:noHBand="0" w:noVBand="1"/>
      </w:tblPr>
      <w:tblGrid>
        <w:gridCol w:w="2689"/>
        <w:gridCol w:w="1218"/>
        <w:gridCol w:w="1218"/>
        <w:gridCol w:w="1275"/>
      </w:tblGrid>
      <w:tr w:rsidR="0028154A" w:rsidRPr="0028154A" w14:paraId="050BF8C5" w14:textId="77777777">
        <w:tc>
          <w:tcPr>
            <w:tcW w:w="2689" w:type="dxa"/>
          </w:tcPr>
          <w:p w14:paraId="70206777" w14:textId="03AA8F1D" w:rsidR="0028154A" w:rsidRPr="0028154A" w:rsidRDefault="0028154A" w:rsidP="005A72E0">
            <w:pPr>
              <w:keepNext/>
              <w:keepLines/>
              <w:rPr>
                <w:b/>
                <w:szCs w:val="24"/>
              </w:rPr>
            </w:pPr>
            <w:r w:rsidRPr="0028154A">
              <w:rPr>
                <w:b/>
                <w:szCs w:val="24"/>
              </w:rPr>
              <w:t>Total cost to offshore CCUS</w:t>
            </w:r>
          </w:p>
        </w:tc>
        <w:tc>
          <w:tcPr>
            <w:tcW w:w="1134" w:type="dxa"/>
          </w:tcPr>
          <w:p w14:paraId="262E3DE3" w14:textId="77777777" w:rsidR="0028154A" w:rsidRPr="0028154A" w:rsidRDefault="0028154A" w:rsidP="005A72E0">
            <w:pPr>
              <w:keepNext/>
              <w:keepLines/>
              <w:rPr>
                <w:b/>
                <w:szCs w:val="24"/>
              </w:rPr>
            </w:pPr>
            <w:r w:rsidRPr="0028154A">
              <w:rPr>
                <w:b/>
                <w:szCs w:val="24"/>
              </w:rPr>
              <w:t>Low</w:t>
            </w:r>
          </w:p>
        </w:tc>
        <w:tc>
          <w:tcPr>
            <w:tcW w:w="1134" w:type="dxa"/>
          </w:tcPr>
          <w:p w14:paraId="5708F878" w14:textId="77777777" w:rsidR="0028154A" w:rsidRPr="0028154A" w:rsidRDefault="0028154A" w:rsidP="005A72E0">
            <w:pPr>
              <w:keepNext/>
              <w:keepLines/>
              <w:rPr>
                <w:b/>
                <w:szCs w:val="24"/>
              </w:rPr>
            </w:pPr>
            <w:r w:rsidRPr="0028154A">
              <w:rPr>
                <w:b/>
                <w:szCs w:val="24"/>
              </w:rPr>
              <w:t>Mid</w:t>
            </w:r>
          </w:p>
        </w:tc>
        <w:tc>
          <w:tcPr>
            <w:tcW w:w="1275" w:type="dxa"/>
          </w:tcPr>
          <w:p w14:paraId="0E30E69E" w14:textId="77777777" w:rsidR="0028154A" w:rsidRPr="0028154A" w:rsidRDefault="0028154A" w:rsidP="005A72E0">
            <w:pPr>
              <w:keepNext/>
              <w:keepLines/>
              <w:rPr>
                <w:b/>
                <w:szCs w:val="24"/>
              </w:rPr>
            </w:pPr>
            <w:r w:rsidRPr="0028154A">
              <w:rPr>
                <w:b/>
                <w:szCs w:val="24"/>
              </w:rPr>
              <w:t>High</w:t>
            </w:r>
          </w:p>
        </w:tc>
      </w:tr>
      <w:tr w:rsidR="0028154A" w:rsidRPr="0028154A" w14:paraId="5DCF1A07" w14:textId="77777777">
        <w:tc>
          <w:tcPr>
            <w:tcW w:w="2689" w:type="dxa"/>
          </w:tcPr>
          <w:p w14:paraId="375347FA" w14:textId="77777777" w:rsidR="0028154A" w:rsidRPr="0028154A" w:rsidRDefault="0028154A" w:rsidP="005A72E0">
            <w:pPr>
              <w:keepNext/>
              <w:keepLines/>
              <w:rPr>
                <w:b/>
                <w:szCs w:val="24"/>
              </w:rPr>
            </w:pPr>
            <w:r w:rsidRPr="0028154A">
              <w:rPr>
                <w:b/>
                <w:szCs w:val="24"/>
              </w:rPr>
              <w:t>10-year net present cost</w:t>
            </w:r>
          </w:p>
        </w:tc>
        <w:tc>
          <w:tcPr>
            <w:tcW w:w="1134" w:type="dxa"/>
          </w:tcPr>
          <w:p w14:paraId="10FD1452" w14:textId="77777777" w:rsidR="0028154A" w:rsidRPr="0028154A" w:rsidRDefault="0028154A" w:rsidP="005A72E0">
            <w:pPr>
              <w:keepNext/>
              <w:keepLines/>
              <w:rPr>
                <w:bCs/>
                <w:szCs w:val="24"/>
              </w:rPr>
            </w:pPr>
            <w:r w:rsidRPr="0028154A">
              <w:rPr>
                <w:bCs/>
                <w:szCs w:val="24"/>
              </w:rPr>
              <w:t>£100,000</w:t>
            </w:r>
          </w:p>
        </w:tc>
        <w:tc>
          <w:tcPr>
            <w:tcW w:w="1134" w:type="dxa"/>
          </w:tcPr>
          <w:p w14:paraId="580140BD" w14:textId="77777777" w:rsidR="0028154A" w:rsidRPr="0028154A" w:rsidRDefault="0028154A" w:rsidP="005A72E0">
            <w:pPr>
              <w:keepNext/>
              <w:keepLines/>
              <w:rPr>
                <w:bCs/>
                <w:szCs w:val="24"/>
              </w:rPr>
            </w:pPr>
            <w:r w:rsidRPr="0028154A">
              <w:rPr>
                <w:bCs/>
                <w:szCs w:val="24"/>
              </w:rPr>
              <w:t>£220,000</w:t>
            </w:r>
          </w:p>
        </w:tc>
        <w:tc>
          <w:tcPr>
            <w:tcW w:w="1275" w:type="dxa"/>
          </w:tcPr>
          <w:p w14:paraId="431D8048" w14:textId="77777777" w:rsidR="0028154A" w:rsidRPr="0028154A" w:rsidRDefault="0028154A" w:rsidP="005A72E0">
            <w:pPr>
              <w:keepNext/>
              <w:keepLines/>
              <w:rPr>
                <w:bCs/>
                <w:szCs w:val="24"/>
              </w:rPr>
            </w:pPr>
            <w:r w:rsidRPr="0028154A">
              <w:rPr>
                <w:bCs/>
                <w:szCs w:val="24"/>
              </w:rPr>
              <w:t>£340,000</w:t>
            </w:r>
          </w:p>
        </w:tc>
      </w:tr>
      <w:tr w:rsidR="0028154A" w:rsidRPr="0028154A" w14:paraId="6DC3A964" w14:textId="77777777">
        <w:tc>
          <w:tcPr>
            <w:tcW w:w="2689" w:type="dxa"/>
          </w:tcPr>
          <w:p w14:paraId="6D267082" w14:textId="77777777" w:rsidR="0028154A" w:rsidRPr="0028154A" w:rsidRDefault="0028154A" w:rsidP="005A72E0">
            <w:pPr>
              <w:keepNext/>
              <w:keepLines/>
              <w:rPr>
                <w:b/>
                <w:szCs w:val="24"/>
              </w:rPr>
            </w:pPr>
            <w:r w:rsidRPr="0028154A">
              <w:rPr>
                <w:b/>
                <w:szCs w:val="24"/>
              </w:rPr>
              <w:t>EANDCB</w:t>
            </w:r>
          </w:p>
        </w:tc>
        <w:tc>
          <w:tcPr>
            <w:tcW w:w="1134" w:type="dxa"/>
          </w:tcPr>
          <w:p w14:paraId="76B70FA1" w14:textId="77777777" w:rsidR="0028154A" w:rsidRPr="0028154A" w:rsidRDefault="0028154A" w:rsidP="005A72E0">
            <w:pPr>
              <w:keepNext/>
              <w:keepLines/>
              <w:rPr>
                <w:bCs/>
                <w:szCs w:val="24"/>
              </w:rPr>
            </w:pPr>
            <w:r w:rsidRPr="0028154A">
              <w:rPr>
                <w:bCs/>
                <w:szCs w:val="24"/>
              </w:rPr>
              <w:t>£12,000</w:t>
            </w:r>
          </w:p>
        </w:tc>
        <w:tc>
          <w:tcPr>
            <w:tcW w:w="1134" w:type="dxa"/>
          </w:tcPr>
          <w:p w14:paraId="67DF7C9C" w14:textId="77777777" w:rsidR="0028154A" w:rsidRPr="0028154A" w:rsidRDefault="0028154A" w:rsidP="005A72E0">
            <w:pPr>
              <w:keepNext/>
              <w:keepLines/>
              <w:rPr>
                <w:bCs/>
                <w:szCs w:val="24"/>
              </w:rPr>
            </w:pPr>
            <w:r w:rsidRPr="0028154A">
              <w:rPr>
                <w:bCs/>
                <w:szCs w:val="24"/>
              </w:rPr>
              <w:t>£26,000</w:t>
            </w:r>
          </w:p>
        </w:tc>
        <w:tc>
          <w:tcPr>
            <w:tcW w:w="1275" w:type="dxa"/>
          </w:tcPr>
          <w:p w14:paraId="03BC66E2" w14:textId="77777777" w:rsidR="0028154A" w:rsidRPr="0028154A" w:rsidRDefault="0028154A" w:rsidP="005A72E0">
            <w:pPr>
              <w:keepNext/>
              <w:keepLines/>
              <w:rPr>
                <w:bCs/>
                <w:szCs w:val="24"/>
              </w:rPr>
            </w:pPr>
            <w:r w:rsidRPr="0028154A">
              <w:rPr>
                <w:bCs/>
                <w:szCs w:val="24"/>
              </w:rPr>
              <w:t>£40,000</w:t>
            </w:r>
          </w:p>
        </w:tc>
      </w:tr>
    </w:tbl>
    <w:p w14:paraId="06465180" w14:textId="77777777" w:rsidR="0028154A" w:rsidRPr="0028154A" w:rsidRDefault="0028154A" w:rsidP="005A72E0">
      <w:pPr>
        <w:keepNext/>
        <w:keepLines/>
        <w:spacing w:after="0"/>
        <w:rPr>
          <w:bCs/>
          <w:i/>
          <w:iCs/>
          <w:szCs w:val="24"/>
        </w:rPr>
      </w:pPr>
      <w:r w:rsidRPr="0028154A">
        <w:rPr>
          <w:bCs/>
          <w:i/>
          <w:iCs/>
          <w:szCs w:val="24"/>
        </w:rPr>
        <w:t>*Costs in £’000s. Rounded to 2s.f.s</w:t>
      </w:r>
    </w:p>
    <w:p w14:paraId="52B14BD4" w14:textId="77777777" w:rsidR="0028154A" w:rsidRPr="0028154A" w:rsidRDefault="0028154A" w:rsidP="0028154A">
      <w:pPr>
        <w:spacing w:before="240" w:after="120"/>
        <w:rPr>
          <w:bCs/>
          <w:szCs w:val="24"/>
          <w:u w:val="single"/>
        </w:rPr>
      </w:pPr>
      <w:r w:rsidRPr="0028154A">
        <w:rPr>
          <w:bCs/>
          <w:szCs w:val="24"/>
          <w:u w:val="single"/>
        </w:rPr>
        <w:t>Benefits</w:t>
      </w:r>
    </w:p>
    <w:p w14:paraId="76B6E3EC" w14:textId="5C739432" w:rsidR="0028154A" w:rsidRPr="0028154A" w:rsidRDefault="0028154A" w:rsidP="00CA7F1E">
      <w:pPr>
        <w:numPr>
          <w:ilvl w:val="0"/>
          <w:numId w:val="1"/>
        </w:numPr>
        <w:spacing w:before="240" w:after="120"/>
        <w:jc w:val="both"/>
        <w:rPr>
          <w:bCs/>
          <w:szCs w:val="24"/>
        </w:rPr>
      </w:pPr>
      <w:r w:rsidRPr="0028154A">
        <w:rPr>
          <w:bCs/>
          <w:szCs w:val="24"/>
        </w:rPr>
        <w:t xml:space="preserve">A qualitative outline of the anticipated benefits associated with the options has been given in the earlier benefits section (paragraph </w:t>
      </w:r>
      <w:r w:rsidRPr="0028154A">
        <w:rPr>
          <w:bCs/>
          <w:szCs w:val="24"/>
        </w:rPr>
        <w:fldChar w:fldCharType="begin"/>
      </w:r>
      <w:r w:rsidRPr="0028154A">
        <w:rPr>
          <w:bCs/>
          <w:szCs w:val="24"/>
        </w:rPr>
        <w:instrText xml:space="preserve"> REF _Ref178004718 \r \h </w:instrText>
      </w:r>
      <w:r w:rsidRPr="0028154A">
        <w:rPr>
          <w:bCs/>
          <w:szCs w:val="24"/>
        </w:rPr>
      </w:r>
      <w:r w:rsidRPr="0028154A">
        <w:rPr>
          <w:bCs/>
          <w:szCs w:val="24"/>
        </w:rPr>
        <w:fldChar w:fldCharType="separate"/>
      </w:r>
      <w:r w:rsidR="0086161D">
        <w:rPr>
          <w:bCs/>
          <w:szCs w:val="24"/>
          <w:cs/>
        </w:rPr>
        <w:t>‎</w:t>
      </w:r>
      <w:r w:rsidR="00F76ED8">
        <w:rPr>
          <w:bCs/>
          <w:szCs w:val="24"/>
        </w:rPr>
        <w:t>28</w:t>
      </w:r>
      <w:r w:rsidRPr="0028154A">
        <w:rPr>
          <w:bCs/>
          <w:szCs w:val="24"/>
        </w:rPr>
        <w:fldChar w:fldCharType="end"/>
      </w:r>
      <w:r w:rsidRPr="0028154A">
        <w:rPr>
          <w:bCs/>
          <w:szCs w:val="24"/>
        </w:rPr>
        <w:t xml:space="preserve">). Under Option </w:t>
      </w:r>
      <w:r w:rsidR="004C438E">
        <w:rPr>
          <w:bCs/>
          <w:szCs w:val="24"/>
        </w:rPr>
        <w:t>5</w:t>
      </w:r>
      <w:r w:rsidR="001D1D7C">
        <w:rPr>
          <w:bCs/>
          <w:szCs w:val="24"/>
        </w:rPr>
        <w:t>,</w:t>
      </w:r>
      <w:r w:rsidRPr="0028154A">
        <w:rPr>
          <w:bCs/>
          <w:szCs w:val="24"/>
        </w:rPr>
        <w:t xml:space="preserve"> the benefit of avoided risk of a major accident would be delivered for CCUS but not for hydrogen production. This captures a proportion of the potential benefits but leaves a significant gap where the risk of incident in the hydrogen production industry is not controlled as effectively as it could be.</w:t>
      </w:r>
    </w:p>
    <w:p w14:paraId="6152C1C1" w14:textId="08D5DF93" w:rsidR="0028154A" w:rsidRPr="0028154A" w:rsidRDefault="0028154A" w:rsidP="007C47D0">
      <w:pPr>
        <w:keepNext/>
        <w:keepLines/>
        <w:spacing w:before="240" w:after="120"/>
        <w:ind w:firstLine="360"/>
        <w:outlineLvl w:val="3"/>
        <w:rPr>
          <w:b/>
          <w:szCs w:val="24"/>
        </w:rPr>
      </w:pPr>
      <w:r w:rsidRPr="0028154A">
        <w:rPr>
          <w:b/>
          <w:szCs w:val="24"/>
        </w:rPr>
        <w:t xml:space="preserve">Option </w:t>
      </w:r>
      <w:r w:rsidR="00EE2034">
        <w:rPr>
          <w:b/>
          <w:szCs w:val="24"/>
        </w:rPr>
        <w:t>6</w:t>
      </w:r>
      <w:r w:rsidRPr="0028154A">
        <w:rPr>
          <w:b/>
          <w:szCs w:val="24"/>
        </w:rPr>
        <w:t xml:space="preserve"> - Regulatory Intervention</w:t>
      </w:r>
    </w:p>
    <w:p w14:paraId="3EDFEE0B" w14:textId="734E5C9E" w:rsidR="0028154A" w:rsidRPr="0028154A" w:rsidRDefault="0028154A" w:rsidP="00CA7F1E">
      <w:pPr>
        <w:numPr>
          <w:ilvl w:val="0"/>
          <w:numId w:val="1"/>
        </w:numPr>
        <w:spacing w:before="240" w:after="120"/>
        <w:jc w:val="both"/>
        <w:rPr>
          <w:bCs/>
          <w:szCs w:val="24"/>
        </w:rPr>
      </w:pPr>
      <w:bookmarkStart w:id="20" w:name="_Ref177571599"/>
      <w:r w:rsidRPr="0028154A">
        <w:rPr>
          <w:bCs/>
          <w:szCs w:val="24"/>
        </w:rPr>
        <w:t xml:space="preserve">Option </w:t>
      </w:r>
      <w:r w:rsidR="00EE2034">
        <w:rPr>
          <w:bCs/>
          <w:szCs w:val="24"/>
        </w:rPr>
        <w:t>6</w:t>
      </w:r>
      <w:r w:rsidRPr="0028154A">
        <w:rPr>
          <w:bCs/>
          <w:szCs w:val="24"/>
        </w:rPr>
        <w:t xml:space="preserve"> proposes that offshore major hazard regulations (SCR</w:t>
      </w:r>
      <w:r w:rsidR="00D62CBF">
        <w:rPr>
          <w:bCs/>
          <w:szCs w:val="24"/>
        </w:rPr>
        <w:t>15</w:t>
      </w:r>
      <w:r w:rsidRPr="0028154A">
        <w:rPr>
          <w:bCs/>
          <w:szCs w:val="24"/>
        </w:rPr>
        <w:t>, MAR</w:t>
      </w:r>
      <w:r w:rsidR="00D62CBF">
        <w:rPr>
          <w:bCs/>
          <w:szCs w:val="24"/>
        </w:rPr>
        <w:t>95</w:t>
      </w:r>
      <w:r w:rsidRPr="0028154A">
        <w:rPr>
          <w:bCs/>
          <w:szCs w:val="24"/>
        </w:rPr>
        <w:t>, DCR</w:t>
      </w:r>
      <w:r w:rsidR="00D62CBF">
        <w:rPr>
          <w:bCs/>
          <w:szCs w:val="24"/>
        </w:rPr>
        <w:t>96</w:t>
      </w:r>
      <w:r w:rsidRPr="0028154A">
        <w:rPr>
          <w:bCs/>
          <w:szCs w:val="24"/>
        </w:rPr>
        <w:t xml:space="preserve">) are applied to both onshore CCUS and hydrogen production, and onshore pipelines </w:t>
      </w:r>
      <w:r w:rsidRPr="0028154A">
        <w:rPr>
          <w:bCs/>
          <w:szCs w:val="24"/>
        </w:rPr>
        <w:lastRenderedPageBreak/>
        <w:t>regulations (PSR</w:t>
      </w:r>
      <w:r w:rsidR="00D62CBF">
        <w:rPr>
          <w:bCs/>
          <w:szCs w:val="24"/>
        </w:rPr>
        <w:t>96</w:t>
      </w:r>
      <w:r w:rsidRPr="0028154A">
        <w:rPr>
          <w:bCs/>
          <w:szCs w:val="24"/>
        </w:rPr>
        <w:t xml:space="preserve">) are applied to onshore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CCUS pipelines.</w:t>
      </w:r>
      <w:bookmarkEnd w:id="20"/>
      <w:r w:rsidRPr="0028154A">
        <w:rPr>
          <w:bCs/>
          <w:szCs w:val="24"/>
        </w:rPr>
        <w:t xml:space="preserve"> A breakdown of the estimated cost of compliance with each provision is provided in the costs section (from paragraph </w:t>
      </w:r>
      <w:r w:rsidRPr="0028154A">
        <w:rPr>
          <w:bCs/>
          <w:szCs w:val="24"/>
        </w:rPr>
        <w:fldChar w:fldCharType="begin"/>
      </w:r>
      <w:r w:rsidRPr="0028154A">
        <w:rPr>
          <w:bCs/>
          <w:szCs w:val="24"/>
        </w:rPr>
        <w:instrText xml:space="preserve"> REF _Ref177996532 \r \h </w:instrText>
      </w:r>
      <w:r w:rsidRPr="0028154A">
        <w:rPr>
          <w:bCs/>
          <w:szCs w:val="24"/>
        </w:rPr>
      </w:r>
      <w:r w:rsidRPr="0028154A">
        <w:rPr>
          <w:bCs/>
          <w:szCs w:val="24"/>
        </w:rPr>
        <w:fldChar w:fldCharType="separate"/>
      </w:r>
      <w:r w:rsidR="0086161D">
        <w:rPr>
          <w:bCs/>
          <w:szCs w:val="24"/>
          <w:cs/>
        </w:rPr>
        <w:t>‎</w:t>
      </w:r>
      <w:r w:rsidR="009C27D2">
        <w:rPr>
          <w:bCs/>
          <w:szCs w:val="24"/>
        </w:rPr>
        <w:t>41</w:t>
      </w:r>
      <w:r w:rsidRPr="0028154A">
        <w:rPr>
          <w:bCs/>
          <w:szCs w:val="24"/>
        </w:rPr>
        <w:fldChar w:fldCharType="end"/>
      </w:r>
      <w:r w:rsidRPr="0028154A">
        <w:rPr>
          <w:bCs/>
          <w:szCs w:val="24"/>
        </w:rPr>
        <w:t>). Costs under SCR</w:t>
      </w:r>
      <w:r w:rsidR="00D62CBF">
        <w:rPr>
          <w:bCs/>
          <w:szCs w:val="24"/>
        </w:rPr>
        <w:t>15</w:t>
      </w:r>
      <w:r w:rsidRPr="0028154A">
        <w:rPr>
          <w:bCs/>
          <w:szCs w:val="24"/>
        </w:rPr>
        <w:t>, MAR</w:t>
      </w:r>
      <w:r w:rsidR="00D62CBF">
        <w:rPr>
          <w:bCs/>
          <w:szCs w:val="24"/>
        </w:rPr>
        <w:t>95</w:t>
      </w:r>
      <w:r w:rsidRPr="0028154A">
        <w:rPr>
          <w:bCs/>
          <w:szCs w:val="24"/>
        </w:rPr>
        <w:t>, and DCR</w:t>
      </w:r>
      <w:r w:rsidR="00D62CBF">
        <w:rPr>
          <w:bCs/>
          <w:szCs w:val="24"/>
        </w:rPr>
        <w:t>96</w:t>
      </w:r>
      <w:r w:rsidRPr="0028154A">
        <w:rPr>
          <w:bCs/>
          <w:szCs w:val="24"/>
        </w:rPr>
        <w:t xml:space="preserve"> apply to both offshore CCUS and hydrogen installations unless specified otherwise. Costs for PSR</w:t>
      </w:r>
      <w:r w:rsidR="00D62CBF">
        <w:rPr>
          <w:bCs/>
          <w:szCs w:val="24"/>
        </w:rPr>
        <w:t>96</w:t>
      </w:r>
      <w:r w:rsidRPr="0028154A">
        <w:rPr>
          <w:bCs/>
          <w:szCs w:val="24"/>
        </w:rPr>
        <w:t xml:space="preserve"> apply only to CCUS pipelines under this option.</w:t>
      </w:r>
    </w:p>
    <w:p w14:paraId="2FBBE92C" w14:textId="77777777" w:rsidR="0028154A" w:rsidRPr="0028154A" w:rsidRDefault="0028154A" w:rsidP="0028154A">
      <w:pPr>
        <w:spacing w:before="240" w:after="120"/>
        <w:rPr>
          <w:bCs/>
          <w:szCs w:val="24"/>
          <w:u w:val="single"/>
        </w:rPr>
      </w:pPr>
      <w:r w:rsidRPr="0028154A">
        <w:rPr>
          <w:bCs/>
          <w:szCs w:val="24"/>
          <w:u w:val="single"/>
        </w:rPr>
        <w:t>Total cost per Hydrogen Production Installation</w:t>
      </w:r>
    </w:p>
    <w:p w14:paraId="56ED1A45" w14:textId="4553A147" w:rsidR="0028154A" w:rsidRPr="0028154A" w:rsidRDefault="0028154A" w:rsidP="00CA7F1E">
      <w:pPr>
        <w:numPr>
          <w:ilvl w:val="0"/>
          <w:numId w:val="1"/>
        </w:numPr>
        <w:spacing w:before="240" w:after="120"/>
        <w:jc w:val="both"/>
        <w:rPr>
          <w:bCs/>
          <w:szCs w:val="24"/>
        </w:rPr>
      </w:pPr>
      <w:r w:rsidRPr="0028154A">
        <w:rPr>
          <w:bCs/>
          <w:szCs w:val="24"/>
        </w:rPr>
        <w:t xml:space="preserve">A hydrogen production installation will not incur the costs relating to undersea wells (well notifications, well examinations) as outlined in the cost section, but will incur all other offshore costs outlined under this option. Hydrogen installations are not in scope of PSR. </w:t>
      </w:r>
      <w:r w:rsidR="00C917E2" w:rsidRPr="00BA245F">
        <w:rPr>
          <w:bCs/>
          <w:color w:val="FF0000"/>
          <w:szCs w:val="24"/>
        </w:rPr>
        <w:t xml:space="preserve">As discussed in section </w:t>
      </w:r>
      <w:r w:rsidR="00C917E2" w:rsidRPr="00BA245F">
        <w:rPr>
          <w:bCs/>
          <w:color w:val="FF0000"/>
          <w:szCs w:val="24"/>
        </w:rPr>
        <w:fldChar w:fldCharType="begin"/>
      </w:r>
      <w:r w:rsidR="00C917E2" w:rsidRPr="00BA245F">
        <w:rPr>
          <w:bCs/>
          <w:color w:val="FF0000"/>
          <w:szCs w:val="24"/>
        </w:rPr>
        <w:instrText xml:space="preserve"> REF _Ref183608566 \r \h </w:instrText>
      </w:r>
      <w:r w:rsidR="00C917E2" w:rsidRPr="00BA245F">
        <w:rPr>
          <w:bCs/>
          <w:color w:val="FF0000"/>
          <w:szCs w:val="24"/>
        </w:rPr>
      </w:r>
      <w:r w:rsidR="00C917E2" w:rsidRPr="00BA245F">
        <w:rPr>
          <w:bCs/>
          <w:color w:val="FF0000"/>
          <w:szCs w:val="24"/>
        </w:rPr>
        <w:fldChar w:fldCharType="separate"/>
      </w:r>
      <w:r w:rsidR="00C917E2" w:rsidRPr="00BA245F">
        <w:rPr>
          <w:bCs/>
          <w:color w:val="FF0000"/>
          <w:szCs w:val="24"/>
          <w:cs/>
        </w:rPr>
        <w:t>‎</w:t>
      </w:r>
      <w:r w:rsidR="00C917E2" w:rsidRPr="00BA245F">
        <w:rPr>
          <w:bCs/>
          <w:color w:val="FF0000"/>
          <w:szCs w:val="24"/>
        </w:rPr>
        <w:t>5.3</w:t>
      </w:r>
      <w:r w:rsidR="00C917E2" w:rsidRPr="00BA245F">
        <w:rPr>
          <w:bCs/>
          <w:color w:val="FF0000"/>
          <w:szCs w:val="24"/>
        </w:rPr>
        <w:fldChar w:fldCharType="end"/>
      </w:r>
      <w:r w:rsidR="00C917E2" w:rsidRPr="00BA245F">
        <w:rPr>
          <w:bCs/>
          <w:color w:val="FF0000"/>
          <w:szCs w:val="24"/>
        </w:rPr>
        <w:t>, we are not able to disaggregate costs by business size at this stage</w:t>
      </w:r>
      <w:r w:rsidR="00C917E2">
        <w:rPr>
          <w:bCs/>
          <w:szCs w:val="24"/>
        </w:rPr>
        <w:t xml:space="preserve">. </w:t>
      </w:r>
      <w:r w:rsidRPr="0028154A">
        <w:rPr>
          <w:bCs/>
          <w:szCs w:val="24"/>
        </w:rPr>
        <w:t xml:space="preserve">The estimated 10-year present value of the cost of compliance for a </w:t>
      </w:r>
      <w:r w:rsidRPr="0028154A">
        <w:rPr>
          <w:bCs/>
          <w:i/>
          <w:iCs/>
          <w:szCs w:val="24"/>
        </w:rPr>
        <w:t>single</w:t>
      </w:r>
      <w:r w:rsidRPr="0028154A">
        <w:rPr>
          <w:bCs/>
          <w:szCs w:val="24"/>
        </w:rPr>
        <w:t xml:space="preserve"> hydrogen production installation and the estimated annualised net direct cost to business (EANDCB) is as follows:</w:t>
      </w:r>
    </w:p>
    <w:tbl>
      <w:tblPr>
        <w:tblStyle w:val="TableGrid1"/>
        <w:tblW w:w="0" w:type="auto"/>
        <w:tblInd w:w="607" w:type="dxa"/>
        <w:tblLook w:val="04A0" w:firstRow="1" w:lastRow="0" w:firstColumn="1" w:lastColumn="0" w:noHBand="0" w:noVBand="1"/>
      </w:tblPr>
      <w:tblGrid>
        <w:gridCol w:w="2689"/>
        <w:gridCol w:w="1134"/>
        <w:gridCol w:w="1134"/>
        <w:gridCol w:w="1275"/>
      </w:tblGrid>
      <w:tr w:rsidR="0028154A" w:rsidRPr="0028154A" w14:paraId="0C67100B" w14:textId="77777777">
        <w:tc>
          <w:tcPr>
            <w:tcW w:w="2689" w:type="dxa"/>
          </w:tcPr>
          <w:p w14:paraId="6115A860" w14:textId="4141011C" w:rsidR="0028154A" w:rsidRPr="0028154A" w:rsidRDefault="0028154A" w:rsidP="0028154A">
            <w:pPr>
              <w:rPr>
                <w:b/>
                <w:szCs w:val="24"/>
              </w:rPr>
            </w:pPr>
            <w:r w:rsidRPr="0028154A">
              <w:rPr>
                <w:b/>
                <w:szCs w:val="24"/>
              </w:rPr>
              <w:t>Cost per hydrogen installation</w:t>
            </w:r>
          </w:p>
        </w:tc>
        <w:tc>
          <w:tcPr>
            <w:tcW w:w="1134" w:type="dxa"/>
          </w:tcPr>
          <w:p w14:paraId="16E94684" w14:textId="77777777" w:rsidR="0028154A" w:rsidRPr="0028154A" w:rsidRDefault="0028154A" w:rsidP="0028154A">
            <w:pPr>
              <w:rPr>
                <w:b/>
                <w:szCs w:val="24"/>
              </w:rPr>
            </w:pPr>
            <w:r w:rsidRPr="0028154A">
              <w:rPr>
                <w:b/>
                <w:szCs w:val="24"/>
              </w:rPr>
              <w:t>Low</w:t>
            </w:r>
          </w:p>
        </w:tc>
        <w:tc>
          <w:tcPr>
            <w:tcW w:w="1134" w:type="dxa"/>
          </w:tcPr>
          <w:p w14:paraId="0E42EF0D" w14:textId="77777777" w:rsidR="0028154A" w:rsidRPr="0028154A" w:rsidRDefault="0028154A" w:rsidP="0028154A">
            <w:pPr>
              <w:rPr>
                <w:b/>
                <w:szCs w:val="24"/>
              </w:rPr>
            </w:pPr>
            <w:r w:rsidRPr="0028154A">
              <w:rPr>
                <w:b/>
                <w:szCs w:val="24"/>
              </w:rPr>
              <w:t>Mid</w:t>
            </w:r>
          </w:p>
        </w:tc>
        <w:tc>
          <w:tcPr>
            <w:tcW w:w="1275" w:type="dxa"/>
          </w:tcPr>
          <w:p w14:paraId="38D988EF" w14:textId="77777777" w:rsidR="0028154A" w:rsidRPr="0028154A" w:rsidRDefault="0028154A" w:rsidP="0028154A">
            <w:pPr>
              <w:rPr>
                <w:b/>
                <w:szCs w:val="24"/>
              </w:rPr>
            </w:pPr>
            <w:r w:rsidRPr="0028154A">
              <w:rPr>
                <w:b/>
                <w:szCs w:val="24"/>
              </w:rPr>
              <w:t>High</w:t>
            </w:r>
          </w:p>
        </w:tc>
      </w:tr>
      <w:tr w:rsidR="0028154A" w:rsidRPr="0028154A" w14:paraId="7E0DEEA9" w14:textId="77777777">
        <w:tc>
          <w:tcPr>
            <w:tcW w:w="2689" w:type="dxa"/>
          </w:tcPr>
          <w:p w14:paraId="68DF39F4" w14:textId="77777777" w:rsidR="0028154A" w:rsidRPr="0028154A" w:rsidRDefault="0028154A" w:rsidP="0028154A">
            <w:pPr>
              <w:rPr>
                <w:b/>
                <w:szCs w:val="24"/>
              </w:rPr>
            </w:pPr>
            <w:r w:rsidRPr="0028154A">
              <w:rPr>
                <w:b/>
                <w:szCs w:val="24"/>
              </w:rPr>
              <w:t>10-year net present cost</w:t>
            </w:r>
          </w:p>
        </w:tc>
        <w:tc>
          <w:tcPr>
            <w:tcW w:w="1134" w:type="dxa"/>
          </w:tcPr>
          <w:p w14:paraId="56BF3C2D" w14:textId="177F8125" w:rsidR="0028154A" w:rsidRPr="0028154A" w:rsidRDefault="0028154A" w:rsidP="0028154A">
            <w:pPr>
              <w:rPr>
                <w:bCs/>
                <w:szCs w:val="24"/>
              </w:rPr>
            </w:pPr>
            <w:r w:rsidRPr="0028154A">
              <w:rPr>
                <w:bCs/>
                <w:szCs w:val="24"/>
              </w:rPr>
              <w:t>£5,</w:t>
            </w:r>
            <w:r w:rsidR="007268BD">
              <w:rPr>
                <w:bCs/>
                <w:szCs w:val="24"/>
              </w:rPr>
              <w:t>0</w:t>
            </w:r>
            <w:r w:rsidRPr="0028154A">
              <w:rPr>
                <w:bCs/>
                <w:szCs w:val="24"/>
              </w:rPr>
              <w:t>00</w:t>
            </w:r>
          </w:p>
        </w:tc>
        <w:tc>
          <w:tcPr>
            <w:tcW w:w="1134" w:type="dxa"/>
          </w:tcPr>
          <w:p w14:paraId="017471D4" w14:textId="77777777" w:rsidR="0028154A" w:rsidRPr="0028154A" w:rsidRDefault="0028154A" w:rsidP="0028154A">
            <w:pPr>
              <w:rPr>
                <w:bCs/>
                <w:szCs w:val="24"/>
              </w:rPr>
            </w:pPr>
            <w:r w:rsidRPr="0028154A">
              <w:rPr>
                <w:bCs/>
                <w:szCs w:val="24"/>
              </w:rPr>
              <w:t>£12,000</w:t>
            </w:r>
          </w:p>
        </w:tc>
        <w:tc>
          <w:tcPr>
            <w:tcW w:w="1275" w:type="dxa"/>
          </w:tcPr>
          <w:p w14:paraId="6B3F7F92" w14:textId="77777777" w:rsidR="0028154A" w:rsidRPr="0028154A" w:rsidRDefault="0028154A" w:rsidP="0028154A">
            <w:pPr>
              <w:rPr>
                <w:bCs/>
                <w:szCs w:val="24"/>
              </w:rPr>
            </w:pPr>
            <w:r w:rsidRPr="0028154A">
              <w:rPr>
                <w:bCs/>
                <w:szCs w:val="24"/>
              </w:rPr>
              <w:t>£18,000</w:t>
            </w:r>
          </w:p>
        </w:tc>
      </w:tr>
      <w:tr w:rsidR="0028154A" w:rsidRPr="0028154A" w14:paraId="7D842581" w14:textId="77777777">
        <w:tc>
          <w:tcPr>
            <w:tcW w:w="2689" w:type="dxa"/>
          </w:tcPr>
          <w:p w14:paraId="7789C10D" w14:textId="77777777" w:rsidR="0028154A" w:rsidRPr="0028154A" w:rsidRDefault="0028154A" w:rsidP="0028154A">
            <w:pPr>
              <w:rPr>
                <w:b/>
                <w:szCs w:val="24"/>
              </w:rPr>
            </w:pPr>
            <w:r w:rsidRPr="0028154A">
              <w:rPr>
                <w:b/>
                <w:szCs w:val="24"/>
              </w:rPr>
              <w:t>EANDCB</w:t>
            </w:r>
          </w:p>
        </w:tc>
        <w:tc>
          <w:tcPr>
            <w:tcW w:w="1134" w:type="dxa"/>
          </w:tcPr>
          <w:p w14:paraId="7AC01312" w14:textId="77777777" w:rsidR="0028154A" w:rsidRPr="0028154A" w:rsidRDefault="0028154A" w:rsidP="0028154A">
            <w:pPr>
              <w:rPr>
                <w:bCs/>
                <w:szCs w:val="24"/>
              </w:rPr>
            </w:pPr>
            <w:r w:rsidRPr="0028154A">
              <w:rPr>
                <w:bCs/>
                <w:szCs w:val="24"/>
              </w:rPr>
              <w:t>£590</w:t>
            </w:r>
          </w:p>
        </w:tc>
        <w:tc>
          <w:tcPr>
            <w:tcW w:w="1134" w:type="dxa"/>
          </w:tcPr>
          <w:p w14:paraId="35A8836A" w14:textId="77777777" w:rsidR="0028154A" w:rsidRPr="0028154A" w:rsidRDefault="0028154A" w:rsidP="0028154A">
            <w:pPr>
              <w:rPr>
                <w:bCs/>
                <w:szCs w:val="24"/>
              </w:rPr>
            </w:pPr>
            <w:r w:rsidRPr="0028154A">
              <w:rPr>
                <w:bCs/>
                <w:szCs w:val="24"/>
              </w:rPr>
              <w:t>£1,300</w:t>
            </w:r>
          </w:p>
        </w:tc>
        <w:tc>
          <w:tcPr>
            <w:tcW w:w="1275" w:type="dxa"/>
          </w:tcPr>
          <w:p w14:paraId="1CC64650" w14:textId="77777777" w:rsidR="0028154A" w:rsidRPr="0028154A" w:rsidRDefault="0028154A" w:rsidP="0028154A">
            <w:pPr>
              <w:rPr>
                <w:bCs/>
                <w:szCs w:val="24"/>
              </w:rPr>
            </w:pPr>
            <w:r w:rsidRPr="0028154A">
              <w:rPr>
                <w:bCs/>
                <w:szCs w:val="24"/>
              </w:rPr>
              <w:t>£2,100</w:t>
            </w:r>
          </w:p>
        </w:tc>
      </w:tr>
    </w:tbl>
    <w:p w14:paraId="519FB9C7" w14:textId="77777777" w:rsidR="0028154A" w:rsidRPr="0028154A" w:rsidRDefault="0028154A" w:rsidP="0028154A">
      <w:pPr>
        <w:spacing w:after="0"/>
        <w:rPr>
          <w:bCs/>
          <w:i/>
          <w:iCs/>
          <w:szCs w:val="24"/>
        </w:rPr>
      </w:pPr>
      <w:r w:rsidRPr="0028154A">
        <w:rPr>
          <w:bCs/>
          <w:i/>
          <w:iCs/>
          <w:szCs w:val="24"/>
        </w:rPr>
        <w:t>*Costs in £’000s. Rounded to 2s.f.s</w:t>
      </w:r>
    </w:p>
    <w:p w14:paraId="77A6E121" w14:textId="51F4E9A2" w:rsidR="0028154A" w:rsidRPr="0028154A" w:rsidRDefault="0028154A" w:rsidP="00CA7F1E">
      <w:pPr>
        <w:numPr>
          <w:ilvl w:val="0"/>
          <w:numId w:val="1"/>
        </w:numPr>
        <w:spacing w:before="240" w:after="120"/>
        <w:jc w:val="both"/>
        <w:rPr>
          <w:b/>
          <w:szCs w:val="24"/>
        </w:rPr>
      </w:pPr>
      <w:r w:rsidRPr="0028154A">
        <w:rPr>
          <w:b/>
          <w:szCs w:val="24"/>
        </w:rPr>
        <w:t xml:space="preserve">These are the additional costs incurred in this option over and above those incurred under Option </w:t>
      </w:r>
      <w:r w:rsidR="004C438E">
        <w:rPr>
          <w:b/>
          <w:szCs w:val="24"/>
        </w:rPr>
        <w:t>5</w:t>
      </w:r>
      <w:r w:rsidRPr="0028154A">
        <w:rPr>
          <w:b/>
          <w:szCs w:val="24"/>
        </w:rPr>
        <w:t>.</w:t>
      </w:r>
    </w:p>
    <w:p w14:paraId="5817A706" w14:textId="77777777" w:rsidR="0028154A" w:rsidRPr="0028154A" w:rsidRDefault="0028154A" w:rsidP="0028154A">
      <w:pPr>
        <w:spacing w:before="240" w:after="120"/>
        <w:rPr>
          <w:bCs/>
          <w:szCs w:val="24"/>
          <w:u w:val="single"/>
        </w:rPr>
      </w:pPr>
      <w:r w:rsidRPr="0028154A">
        <w:rPr>
          <w:bCs/>
          <w:szCs w:val="24"/>
          <w:u w:val="single"/>
        </w:rPr>
        <w:t xml:space="preserve">Total cost per </w:t>
      </w:r>
      <w:r w:rsidRPr="007C6A21">
        <w:rPr>
          <w:bCs/>
          <w:szCs w:val="24"/>
          <w:u w:val="single"/>
        </w:rPr>
        <w:t xml:space="preserve">CCUS </w:t>
      </w:r>
      <w:r w:rsidR="007C6A21" w:rsidRPr="0062485D">
        <w:rPr>
          <w:bCs/>
          <w:szCs w:val="24"/>
          <w:u w:val="single"/>
        </w:rPr>
        <w:t>CO</w:t>
      </w:r>
      <w:r w:rsidR="007C6A21" w:rsidRPr="00000900">
        <w:rPr>
          <w:bCs/>
          <w:szCs w:val="24"/>
          <w:u w:val="single"/>
          <w:vertAlign w:val="subscript"/>
        </w:rPr>
        <w:t xml:space="preserve">2 </w:t>
      </w:r>
      <w:r w:rsidRPr="007C6A21">
        <w:rPr>
          <w:bCs/>
          <w:szCs w:val="24"/>
          <w:u w:val="single"/>
        </w:rPr>
        <w:t>Pipeline</w:t>
      </w:r>
    </w:p>
    <w:p w14:paraId="1E6F6AB9" w14:textId="4C6D9BD3" w:rsidR="0028154A" w:rsidRPr="0028154A" w:rsidRDefault="0028154A" w:rsidP="00CA7F1E">
      <w:pPr>
        <w:numPr>
          <w:ilvl w:val="0"/>
          <w:numId w:val="1"/>
        </w:numPr>
        <w:spacing w:before="240" w:after="120"/>
        <w:jc w:val="both"/>
        <w:rPr>
          <w:bCs/>
          <w:szCs w:val="24"/>
        </w:rPr>
      </w:pPr>
      <w:r w:rsidRPr="0028154A">
        <w:rPr>
          <w:bCs/>
          <w:szCs w:val="24"/>
        </w:rPr>
        <w:t xml:space="preserve">Under this option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CCUS pipelines will incur the onshore pipeline costs outlined in the above costs section for PSR</w:t>
      </w:r>
      <w:r w:rsidR="00D62CBF">
        <w:rPr>
          <w:bCs/>
          <w:szCs w:val="24"/>
        </w:rPr>
        <w:t>96</w:t>
      </w:r>
      <w:r w:rsidRPr="0028154A">
        <w:rPr>
          <w:bCs/>
          <w:szCs w:val="24"/>
        </w:rPr>
        <w:t xml:space="preserve">, this is the same set of costs as under Option </w:t>
      </w:r>
      <w:r w:rsidR="004C438E">
        <w:rPr>
          <w:bCs/>
          <w:szCs w:val="24"/>
        </w:rPr>
        <w:t>5</w:t>
      </w:r>
      <w:r w:rsidRPr="0028154A">
        <w:rPr>
          <w:bCs/>
          <w:szCs w:val="24"/>
        </w:rPr>
        <w:t xml:space="preserve">. </w:t>
      </w:r>
      <w:r w:rsidR="000431B8" w:rsidRPr="00BA245F">
        <w:rPr>
          <w:bCs/>
          <w:color w:val="FF0000"/>
          <w:szCs w:val="24"/>
        </w:rPr>
        <w:t xml:space="preserve">As discussed in section </w:t>
      </w:r>
      <w:r w:rsidR="000431B8" w:rsidRPr="00BA245F">
        <w:rPr>
          <w:bCs/>
          <w:color w:val="FF0000"/>
          <w:szCs w:val="24"/>
        </w:rPr>
        <w:fldChar w:fldCharType="begin"/>
      </w:r>
      <w:r w:rsidR="000431B8" w:rsidRPr="00BA245F">
        <w:rPr>
          <w:bCs/>
          <w:color w:val="FF0000"/>
          <w:szCs w:val="24"/>
        </w:rPr>
        <w:instrText xml:space="preserve"> REF _Ref183608566 \r \h </w:instrText>
      </w:r>
      <w:r w:rsidR="000431B8" w:rsidRPr="00BA245F">
        <w:rPr>
          <w:bCs/>
          <w:color w:val="FF0000"/>
          <w:szCs w:val="24"/>
        </w:rPr>
      </w:r>
      <w:r w:rsidR="000431B8" w:rsidRPr="00BA245F">
        <w:rPr>
          <w:bCs/>
          <w:color w:val="FF0000"/>
          <w:szCs w:val="24"/>
        </w:rPr>
        <w:fldChar w:fldCharType="separate"/>
      </w:r>
      <w:r w:rsidR="000431B8" w:rsidRPr="00BA245F">
        <w:rPr>
          <w:bCs/>
          <w:color w:val="FF0000"/>
          <w:szCs w:val="24"/>
          <w:cs/>
        </w:rPr>
        <w:t>‎</w:t>
      </w:r>
      <w:r w:rsidR="000431B8" w:rsidRPr="00BA245F">
        <w:rPr>
          <w:bCs/>
          <w:color w:val="FF0000"/>
          <w:szCs w:val="24"/>
        </w:rPr>
        <w:t>5.3</w:t>
      </w:r>
      <w:r w:rsidR="000431B8" w:rsidRPr="00BA245F">
        <w:rPr>
          <w:bCs/>
          <w:color w:val="FF0000"/>
          <w:szCs w:val="24"/>
        </w:rPr>
        <w:fldChar w:fldCharType="end"/>
      </w:r>
      <w:r w:rsidR="000431B8" w:rsidRPr="00BA245F">
        <w:rPr>
          <w:bCs/>
          <w:color w:val="FF0000"/>
          <w:szCs w:val="24"/>
        </w:rPr>
        <w:t xml:space="preserve">, we are not able to disaggregate costs by business size at this stage. </w:t>
      </w:r>
      <w:r w:rsidRPr="0028154A">
        <w:rPr>
          <w:bCs/>
          <w:szCs w:val="24"/>
        </w:rPr>
        <w:t xml:space="preserve">The estimated 10-year present value of the cost of compliance for a </w:t>
      </w:r>
      <w:r w:rsidRPr="0028154A">
        <w:rPr>
          <w:bCs/>
          <w:i/>
          <w:iCs/>
          <w:szCs w:val="24"/>
        </w:rPr>
        <w:t>single</w:t>
      </w:r>
      <w:r w:rsidRPr="0028154A">
        <w:rPr>
          <w:bCs/>
          <w:szCs w:val="24"/>
        </w:rPr>
        <w:t xml:space="preserve"> </w:t>
      </w:r>
      <w:r w:rsidR="007C6A21" w:rsidRPr="0028154A">
        <w:rPr>
          <w:bCs/>
          <w:szCs w:val="24"/>
        </w:rPr>
        <w:t>CO</w:t>
      </w:r>
      <w:r w:rsidR="007C6A21" w:rsidRPr="00A71753">
        <w:rPr>
          <w:bCs/>
          <w:szCs w:val="24"/>
          <w:vertAlign w:val="subscript"/>
        </w:rPr>
        <w:t>2</w:t>
      </w:r>
      <w:r w:rsidR="007C6A21">
        <w:rPr>
          <w:bCs/>
          <w:szCs w:val="24"/>
          <w:vertAlign w:val="subscript"/>
        </w:rPr>
        <w:t xml:space="preserve"> </w:t>
      </w:r>
      <w:r w:rsidRPr="0028154A">
        <w:rPr>
          <w:bCs/>
          <w:szCs w:val="24"/>
        </w:rPr>
        <w:t>pipeline and the estimated annualised net direct cost to business (EANDCB) is as follows:</w:t>
      </w:r>
    </w:p>
    <w:tbl>
      <w:tblPr>
        <w:tblStyle w:val="TableGrid1"/>
        <w:tblW w:w="0" w:type="auto"/>
        <w:tblInd w:w="607" w:type="dxa"/>
        <w:tblLook w:val="04A0" w:firstRow="1" w:lastRow="0" w:firstColumn="1" w:lastColumn="0" w:noHBand="0" w:noVBand="1"/>
      </w:tblPr>
      <w:tblGrid>
        <w:gridCol w:w="2689"/>
        <w:gridCol w:w="1134"/>
        <w:gridCol w:w="1134"/>
        <w:gridCol w:w="1275"/>
      </w:tblGrid>
      <w:tr w:rsidR="0028154A" w:rsidRPr="0028154A" w14:paraId="3DE6A902" w14:textId="77777777">
        <w:tc>
          <w:tcPr>
            <w:tcW w:w="2689" w:type="dxa"/>
          </w:tcPr>
          <w:p w14:paraId="335DF102" w14:textId="77777777" w:rsidR="0028154A" w:rsidRPr="0028154A" w:rsidRDefault="0028154A" w:rsidP="0028154A">
            <w:pPr>
              <w:rPr>
                <w:bCs/>
                <w:szCs w:val="24"/>
              </w:rPr>
            </w:pPr>
            <w:r w:rsidRPr="0028154A">
              <w:rPr>
                <w:b/>
                <w:szCs w:val="24"/>
              </w:rPr>
              <w:t>Cost per CCUS pipeline</w:t>
            </w:r>
          </w:p>
        </w:tc>
        <w:tc>
          <w:tcPr>
            <w:tcW w:w="1134" w:type="dxa"/>
          </w:tcPr>
          <w:p w14:paraId="35F39D3D" w14:textId="77777777" w:rsidR="0028154A" w:rsidRPr="0028154A" w:rsidRDefault="0028154A" w:rsidP="0028154A">
            <w:pPr>
              <w:rPr>
                <w:b/>
                <w:szCs w:val="24"/>
              </w:rPr>
            </w:pPr>
            <w:r w:rsidRPr="0028154A">
              <w:rPr>
                <w:b/>
                <w:szCs w:val="24"/>
              </w:rPr>
              <w:t>Low</w:t>
            </w:r>
          </w:p>
        </w:tc>
        <w:tc>
          <w:tcPr>
            <w:tcW w:w="1134" w:type="dxa"/>
          </w:tcPr>
          <w:p w14:paraId="5DE3F9E3" w14:textId="77777777" w:rsidR="0028154A" w:rsidRPr="0028154A" w:rsidRDefault="0028154A" w:rsidP="0028154A">
            <w:pPr>
              <w:rPr>
                <w:b/>
                <w:szCs w:val="24"/>
              </w:rPr>
            </w:pPr>
            <w:r w:rsidRPr="0028154A">
              <w:rPr>
                <w:b/>
                <w:szCs w:val="24"/>
              </w:rPr>
              <w:t>Mid</w:t>
            </w:r>
          </w:p>
        </w:tc>
        <w:tc>
          <w:tcPr>
            <w:tcW w:w="1275" w:type="dxa"/>
          </w:tcPr>
          <w:p w14:paraId="0DF6534F" w14:textId="77777777" w:rsidR="0028154A" w:rsidRPr="0028154A" w:rsidRDefault="0028154A" w:rsidP="0028154A">
            <w:pPr>
              <w:rPr>
                <w:b/>
                <w:szCs w:val="24"/>
              </w:rPr>
            </w:pPr>
            <w:r w:rsidRPr="0028154A">
              <w:rPr>
                <w:b/>
                <w:szCs w:val="24"/>
              </w:rPr>
              <w:t>High</w:t>
            </w:r>
          </w:p>
        </w:tc>
      </w:tr>
      <w:tr w:rsidR="0028154A" w:rsidRPr="0028154A" w14:paraId="1C168ADE" w14:textId="77777777">
        <w:tc>
          <w:tcPr>
            <w:tcW w:w="2689" w:type="dxa"/>
          </w:tcPr>
          <w:p w14:paraId="54EE8B1D" w14:textId="77777777" w:rsidR="0028154A" w:rsidRPr="0028154A" w:rsidRDefault="0028154A" w:rsidP="0028154A">
            <w:pPr>
              <w:rPr>
                <w:b/>
                <w:szCs w:val="24"/>
              </w:rPr>
            </w:pPr>
            <w:r w:rsidRPr="0028154A">
              <w:rPr>
                <w:b/>
                <w:szCs w:val="24"/>
              </w:rPr>
              <w:t>10-year net present cost</w:t>
            </w:r>
          </w:p>
        </w:tc>
        <w:tc>
          <w:tcPr>
            <w:tcW w:w="1134" w:type="dxa"/>
          </w:tcPr>
          <w:p w14:paraId="5E5BCC1F" w14:textId="77777777" w:rsidR="0028154A" w:rsidRPr="0028154A" w:rsidRDefault="0028154A" w:rsidP="0028154A">
            <w:pPr>
              <w:rPr>
                <w:bCs/>
                <w:szCs w:val="24"/>
              </w:rPr>
            </w:pPr>
            <w:r w:rsidRPr="0028154A">
              <w:rPr>
                <w:bCs/>
                <w:szCs w:val="24"/>
              </w:rPr>
              <w:t>£47</w:t>
            </w:r>
          </w:p>
        </w:tc>
        <w:tc>
          <w:tcPr>
            <w:tcW w:w="1134" w:type="dxa"/>
          </w:tcPr>
          <w:p w14:paraId="02B2B362" w14:textId="77777777" w:rsidR="0028154A" w:rsidRPr="0028154A" w:rsidRDefault="0028154A" w:rsidP="0028154A">
            <w:pPr>
              <w:rPr>
                <w:bCs/>
                <w:szCs w:val="24"/>
              </w:rPr>
            </w:pPr>
            <w:r w:rsidRPr="0028154A">
              <w:rPr>
                <w:bCs/>
                <w:szCs w:val="24"/>
              </w:rPr>
              <w:t>£710</w:t>
            </w:r>
          </w:p>
        </w:tc>
        <w:tc>
          <w:tcPr>
            <w:tcW w:w="1275" w:type="dxa"/>
          </w:tcPr>
          <w:p w14:paraId="1C985C38" w14:textId="77777777" w:rsidR="0028154A" w:rsidRPr="0028154A" w:rsidRDefault="0028154A" w:rsidP="0028154A">
            <w:pPr>
              <w:rPr>
                <w:bCs/>
                <w:szCs w:val="24"/>
              </w:rPr>
            </w:pPr>
            <w:r w:rsidRPr="0028154A">
              <w:rPr>
                <w:bCs/>
                <w:szCs w:val="24"/>
              </w:rPr>
              <w:t>£2,300</w:t>
            </w:r>
          </w:p>
        </w:tc>
      </w:tr>
      <w:tr w:rsidR="0028154A" w:rsidRPr="0028154A" w14:paraId="5A2FEDDA" w14:textId="77777777">
        <w:tc>
          <w:tcPr>
            <w:tcW w:w="2689" w:type="dxa"/>
          </w:tcPr>
          <w:p w14:paraId="27DA2BCF" w14:textId="77777777" w:rsidR="0028154A" w:rsidRPr="0028154A" w:rsidRDefault="0028154A" w:rsidP="0028154A">
            <w:pPr>
              <w:rPr>
                <w:b/>
                <w:szCs w:val="24"/>
              </w:rPr>
            </w:pPr>
            <w:r w:rsidRPr="0028154A">
              <w:rPr>
                <w:b/>
                <w:szCs w:val="24"/>
              </w:rPr>
              <w:t>EANDCB</w:t>
            </w:r>
          </w:p>
        </w:tc>
        <w:tc>
          <w:tcPr>
            <w:tcW w:w="1134" w:type="dxa"/>
          </w:tcPr>
          <w:p w14:paraId="77CF70C6" w14:textId="77777777" w:rsidR="0028154A" w:rsidRPr="0028154A" w:rsidRDefault="0028154A" w:rsidP="0028154A">
            <w:pPr>
              <w:rPr>
                <w:bCs/>
                <w:szCs w:val="24"/>
              </w:rPr>
            </w:pPr>
            <w:r w:rsidRPr="0028154A">
              <w:rPr>
                <w:bCs/>
                <w:szCs w:val="24"/>
              </w:rPr>
              <w:t>£5.4</w:t>
            </w:r>
          </w:p>
        </w:tc>
        <w:tc>
          <w:tcPr>
            <w:tcW w:w="1134" w:type="dxa"/>
          </w:tcPr>
          <w:p w14:paraId="6C264E31" w14:textId="77777777" w:rsidR="0028154A" w:rsidRPr="0028154A" w:rsidRDefault="0028154A" w:rsidP="0028154A">
            <w:pPr>
              <w:rPr>
                <w:bCs/>
                <w:szCs w:val="24"/>
              </w:rPr>
            </w:pPr>
            <w:r w:rsidRPr="0028154A">
              <w:rPr>
                <w:bCs/>
                <w:szCs w:val="24"/>
              </w:rPr>
              <w:t>£83</w:t>
            </w:r>
          </w:p>
        </w:tc>
        <w:tc>
          <w:tcPr>
            <w:tcW w:w="1275" w:type="dxa"/>
          </w:tcPr>
          <w:p w14:paraId="1492AE28" w14:textId="77777777" w:rsidR="0028154A" w:rsidRPr="0028154A" w:rsidRDefault="0028154A" w:rsidP="0028154A">
            <w:pPr>
              <w:rPr>
                <w:bCs/>
                <w:szCs w:val="24"/>
              </w:rPr>
            </w:pPr>
            <w:r w:rsidRPr="0028154A">
              <w:rPr>
                <w:bCs/>
                <w:szCs w:val="24"/>
              </w:rPr>
              <w:t>£260</w:t>
            </w:r>
          </w:p>
        </w:tc>
      </w:tr>
    </w:tbl>
    <w:p w14:paraId="7BC49C4F" w14:textId="77777777" w:rsidR="0028154A" w:rsidRPr="0028154A" w:rsidRDefault="0028154A" w:rsidP="0028154A">
      <w:pPr>
        <w:spacing w:after="0"/>
        <w:rPr>
          <w:bCs/>
          <w:i/>
          <w:iCs/>
          <w:szCs w:val="24"/>
        </w:rPr>
      </w:pPr>
      <w:r w:rsidRPr="0028154A">
        <w:rPr>
          <w:bCs/>
          <w:i/>
          <w:iCs/>
          <w:szCs w:val="24"/>
        </w:rPr>
        <w:t>*Costs in £’000s. Rounded to 2s.f.s</w:t>
      </w:r>
    </w:p>
    <w:p w14:paraId="40AD73EB" w14:textId="77777777" w:rsidR="0028154A" w:rsidRPr="0028154A" w:rsidRDefault="0028154A" w:rsidP="0028154A">
      <w:pPr>
        <w:spacing w:before="240" w:after="120"/>
        <w:rPr>
          <w:bCs/>
          <w:szCs w:val="24"/>
          <w:u w:val="single"/>
        </w:rPr>
      </w:pPr>
      <w:r w:rsidRPr="0028154A">
        <w:rPr>
          <w:bCs/>
          <w:szCs w:val="24"/>
          <w:u w:val="single"/>
        </w:rPr>
        <w:t>Total cost per CCUS Installation</w:t>
      </w:r>
    </w:p>
    <w:p w14:paraId="5944C387" w14:textId="282E89AA" w:rsidR="0028154A" w:rsidRPr="0028154A" w:rsidRDefault="0028154A" w:rsidP="00CA7F1E">
      <w:pPr>
        <w:numPr>
          <w:ilvl w:val="0"/>
          <w:numId w:val="1"/>
        </w:numPr>
        <w:spacing w:before="240" w:after="120"/>
        <w:jc w:val="both"/>
        <w:rPr>
          <w:bCs/>
          <w:szCs w:val="24"/>
        </w:rPr>
      </w:pPr>
      <w:r w:rsidRPr="0028154A">
        <w:rPr>
          <w:bCs/>
          <w:szCs w:val="24"/>
        </w:rPr>
        <w:t>A CCUS installation will incur the full set of offshore costs outlined in the above costs section for this option. Onshore pipeline costs under PSR</w:t>
      </w:r>
      <w:r w:rsidR="00D62CBF">
        <w:rPr>
          <w:bCs/>
          <w:szCs w:val="24"/>
        </w:rPr>
        <w:t>96</w:t>
      </w:r>
      <w:r w:rsidRPr="0028154A">
        <w:rPr>
          <w:bCs/>
          <w:szCs w:val="24"/>
        </w:rPr>
        <w:t xml:space="preserve"> do not apply to CCUS installations. This is the same set of costs as under Option </w:t>
      </w:r>
      <w:r w:rsidR="004C438E">
        <w:rPr>
          <w:bCs/>
          <w:szCs w:val="24"/>
        </w:rPr>
        <w:t>5</w:t>
      </w:r>
      <w:r w:rsidRPr="0028154A">
        <w:rPr>
          <w:bCs/>
          <w:szCs w:val="24"/>
        </w:rPr>
        <w:t xml:space="preserve">. </w:t>
      </w:r>
      <w:r w:rsidR="00E54EA9" w:rsidRPr="00BA245F">
        <w:rPr>
          <w:bCs/>
          <w:color w:val="FF0000"/>
          <w:szCs w:val="24"/>
        </w:rPr>
        <w:t xml:space="preserve">As discussed in section </w:t>
      </w:r>
      <w:r w:rsidR="00E54EA9" w:rsidRPr="00BA245F">
        <w:rPr>
          <w:bCs/>
          <w:color w:val="FF0000"/>
          <w:szCs w:val="24"/>
        </w:rPr>
        <w:fldChar w:fldCharType="begin"/>
      </w:r>
      <w:r w:rsidR="00E54EA9" w:rsidRPr="00BA245F">
        <w:rPr>
          <w:bCs/>
          <w:color w:val="FF0000"/>
          <w:szCs w:val="24"/>
        </w:rPr>
        <w:instrText xml:space="preserve"> REF _Ref183608566 \r \h </w:instrText>
      </w:r>
      <w:r w:rsidR="00E54EA9" w:rsidRPr="00BA245F">
        <w:rPr>
          <w:bCs/>
          <w:color w:val="FF0000"/>
          <w:szCs w:val="24"/>
        </w:rPr>
      </w:r>
      <w:r w:rsidR="00E54EA9" w:rsidRPr="00BA245F">
        <w:rPr>
          <w:bCs/>
          <w:color w:val="FF0000"/>
          <w:szCs w:val="24"/>
        </w:rPr>
        <w:fldChar w:fldCharType="separate"/>
      </w:r>
      <w:r w:rsidR="00E54EA9" w:rsidRPr="00BA245F">
        <w:rPr>
          <w:bCs/>
          <w:color w:val="FF0000"/>
          <w:szCs w:val="24"/>
          <w:cs/>
        </w:rPr>
        <w:t>‎</w:t>
      </w:r>
      <w:r w:rsidR="00E54EA9" w:rsidRPr="00BA245F">
        <w:rPr>
          <w:bCs/>
          <w:color w:val="FF0000"/>
          <w:szCs w:val="24"/>
        </w:rPr>
        <w:t>5.3</w:t>
      </w:r>
      <w:r w:rsidR="00E54EA9" w:rsidRPr="00BA245F">
        <w:rPr>
          <w:bCs/>
          <w:color w:val="FF0000"/>
          <w:szCs w:val="24"/>
        </w:rPr>
        <w:fldChar w:fldCharType="end"/>
      </w:r>
      <w:r w:rsidR="00E54EA9" w:rsidRPr="00BA245F">
        <w:rPr>
          <w:bCs/>
          <w:color w:val="FF0000"/>
          <w:szCs w:val="24"/>
        </w:rPr>
        <w:t>, we are not able to disaggregate costs by business size at this stage.</w:t>
      </w:r>
      <w:r w:rsidR="00E54EA9">
        <w:rPr>
          <w:bCs/>
          <w:szCs w:val="24"/>
        </w:rPr>
        <w:t xml:space="preserve"> </w:t>
      </w:r>
      <w:r w:rsidRPr="0028154A">
        <w:rPr>
          <w:bCs/>
          <w:szCs w:val="24"/>
        </w:rPr>
        <w:t xml:space="preserve">The estimated 10-year present value of the cost of compliance for a </w:t>
      </w:r>
      <w:r w:rsidRPr="0028154A">
        <w:rPr>
          <w:bCs/>
          <w:i/>
          <w:iCs/>
          <w:szCs w:val="24"/>
        </w:rPr>
        <w:t>single</w:t>
      </w:r>
      <w:r w:rsidRPr="0028154A">
        <w:rPr>
          <w:bCs/>
          <w:szCs w:val="24"/>
        </w:rPr>
        <w:t xml:space="preserve"> CCUS installation and the estimated annualised net direct cost to business (EANDCB) is as follows</w:t>
      </w:r>
      <w:r w:rsidR="007D5060">
        <w:rPr>
          <w:bCs/>
          <w:szCs w:val="24"/>
        </w:rPr>
        <w:t xml:space="preserve">. As discussed in section </w:t>
      </w:r>
      <w:r w:rsidR="007D5060">
        <w:rPr>
          <w:bCs/>
          <w:szCs w:val="24"/>
        </w:rPr>
        <w:fldChar w:fldCharType="begin"/>
      </w:r>
      <w:r w:rsidR="007D5060">
        <w:rPr>
          <w:bCs/>
          <w:szCs w:val="24"/>
        </w:rPr>
        <w:instrText xml:space="preserve"> REF _Ref183608566 \r \h </w:instrText>
      </w:r>
      <w:r w:rsidR="007D5060">
        <w:rPr>
          <w:bCs/>
          <w:szCs w:val="24"/>
        </w:rPr>
      </w:r>
      <w:r w:rsidR="007D5060">
        <w:rPr>
          <w:bCs/>
          <w:szCs w:val="24"/>
        </w:rPr>
        <w:fldChar w:fldCharType="separate"/>
      </w:r>
      <w:r w:rsidR="007D5060">
        <w:rPr>
          <w:bCs/>
          <w:szCs w:val="24"/>
          <w:cs/>
        </w:rPr>
        <w:t>‎</w:t>
      </w:r>
      <w:r w:rsidR="007D5060">
        <w:rPr>
          <w:bCs/>
          <w:szCs w:val="24"/>
        </w:rPr>
        <w:t>5.3</w:t>
      </w:r>
      <w:r w:rsidR="007D5060">
        <w:rPr>
          <w:bCs/>
          <w:szCs w:val="24"/>
        </w:rPr>
        <w:fldChar w:fldCharType="end"/>
      </w:r>
      <w:r w:rsidR="007D5060">
        <w:rPr>
          <w:bCs/>
          <w:szCs w:val="24"/>
        </w:rPr>
        <w:t>, we anticipate that perhaps 40% of this cost will fall to medium-sized operators and around 60% to large ones.</w:t>
      </w:r>
    </w:p>
    <w:tbl>
      <w:tblPr>
        <w:tblStyle w:val="TableGrid1"/>
        <w:tblW w:w="0" w:type="auto"/>
        <w:tblInd w:w="607" w:type="dxa"/>
        <w:tblLook w:val="04A0" w:firstRow="1" w:lastRow="0" w:firstColumn="1" w:lastColumn="0" w:noHBand="0" w:noVBand="1"/>
      </w:tblPr>
      <w:tblGrid>
        <w:gridCol w:w="2689"/>
        <w:gridCol w:w="1134"/>
        <w:gridCol w:w="1134"/>
        <w:gridCol w:w="1275"/>
      </w:tblGrid>
      <w:tr w:rsidR="0028154A" w:rsidRPr="0028154A" w14:paraId="2D53A4D2" w14:textId="77777777">
        <w:tc>
          <w:tcPr>
            <w:tcW w:w="2689" w:type="dxa"/>
          </w:tcPr>
          <w:p w14:paraId="3E0E04FC" w14:textId="77777777" w:rsidR="0028154A" w:rsidRPr="0028154A" w:rsidRDefault="0028154A" w:rsidP="0028154A">
            <w:pPr>
              <w:rPr>
                <w:b/>
                <w:szCs w:val="24"/>
              </w:rPr>
            </w:pPr>
            <w:r w:rsidRPr="0028154A">
              <w:rPr>
                <w:b/>
                <w:szCs w:val="24"/>
              </w:rPr>
              <w:lastRenderedPageBreak/>
              <w:t>Cost per CCUS installation</w:t>
            </w:r>
          </w:p>
        </w:tc>
        <w:tc>
          <w:tcPr>
            <w:tcW w:w="1134" w:type="dxa"/>
          </w:tcPr>
          <w:p w14:paraId="3AE20373" w14:textId="77777777" w:rsidR="0028154A" w:rsidRPr="0028154A" w:rsidRDefault="0028154A" w:rsidP="0028154A">
            <w:pPr>
              <w:rPr>
                <w:b/>
                <w:szCs w:val="24"/>
              </w:rPr>
            </w:pPr>
            <w:r w:rsidRPr="0028154A">
              <w:rPr>
                <w:b/>
                <w:szCs w:val="24"/>
              </w:rPr>
              <w:t>Low</w:t>
            </w:r>
          </w:p>
        </w:tc>
        <w:tc>
          <w:tcPr>
            <w:tcW w:w="1134" w:type="dxa"/>
          </w:tcPr>
          <w:p w14:paraId="0BAB2CB2" w14:textId="77777777" w:rsidR="0028154A" w:rsidRPr="0028154A" w:rsidRDefault="0028154A" w:rsidP="0028154A">
            <w:pPr>
              <w:rPr>
                <w:b/>
                <w:szCs w:val="24"/>
              </w:rPr>
            </w:pPr>
            <w:r w:rsidRPr="0028154A">
              <w:rPr>
                <w:b/>
                <w:szCs w:val="24"/>
              </w:rPr>
              <w:t>Mid</w:t>
            </w:r>
          </w:p>
        </w:tc>
        <w:tc>
          <w:tcPr>
            <w:tcW w:w="1275" w:type="dxa"/>
          </w:tcPr>
          <w:p w14:paraId="40DE5AF1" w14:textId="77777777" w:rsidR="0028154A" w:rsidRPr="0028154A" w:rsidRDefault="0028154A" w:rsidP="0028154A">
            <w:pPr>
              <w:rPr>
                <w:b/>
                <w:szCs w:val="24"/>
              </w:rPr>
            </w:pPr>
            <w:r w:rsidRPr="0028154A">
              <w:rPr>
                <w:b/>
                <w:szCs w:val="24"/>
              </w:rPr>
              <w:t>High</w:t>
            </w:r>
          </w:p>
        </w:tc>
      </w:tr>
      <w:tr w:rsidR="0028154A" w:rsidRPr="0028154A" w14:paraId="09CF454B" w14:textId="77777777">
        <w:tc>
          <w:tcPr>
            <w:tcW w:w="2689" w:type="dxa"/>
          </w:tcPr>
          <w:p w14:paraId="7CE6DAE3" w14:textId="77777777" w:rsidR="0028154A" w:rsidRPr="0028154A" w:rsidRDefault="0028154A" w:rsidP="0028154A">
            <w:pPr>
              <w:rPr>
                <w:b/>
                <w:szCs w:val="24"/>
              </w:rPr>
            </w:pPr>
            <w:r w:rsidRPr="0028154A">
              <w:rPr>
                <w:b/>
                <w:szCs w:val="24"/>
              </w:rPr>
              <w:t>10-year net present cost</w:t>
            </w:r>
          </w:p>
        </w:tc>
        <w:tc>
          <w:tcPr>
            <w:tcW w:w="1134" w:type="dxa"/>
          </w:tcPr>
          <w:p w14:paraId="3F68250F" w14:textId="118A3266" w:rsidR="0028154A" w:rsidRPr="0028154A" w:rsidRDefault="0028154A" w:rsidP="0028154A">
            <w:pPr>
              <w:rPr>
                <w:bCs/>
                <w:szCs w:val="24"/>
              </w:rPr>
            </w:pPr>
            <w:r w:rsidRPr="0028154A">
              <w:rPr>
                <w:bCs/>
                <w:szCs w:val="24"/>
              </w:rPr>
              <w:t>£6,</w:t>
            </w:r>
            <w:r w:rsidR="001953EF">
              <w:rPr>
                <w:bCs/>
                <w:szCs w:val="24"/>
              </w:rPr>
              <w:t>8</w:t>
            </w:r>
            <w:r w:rsidRPr="0028154A">
              <w:rPr>
                <w:bCs/>
                <w:szCs w:val="24"/>
              </w:rPr>
              <w:t>00</w:t>
            </w:r>
          </w:p>
        </w:tc>
        <w:tc>
          <w:tcPr>
            <w:tcW w:w="1134" w:type="dxa"/>
          </w:tcPr>
          <w:p w14:paraId="19628E30" w14:textId="77777777" w:rsidR="0028154A" w:rsidRPr="0028154A" w:rsidRDefault="0028154A" w:rsidP="0028154A">
            <w:pPr>
              <w:rPr>
                <w:bCs/>
                <w:szCs w:val="24"/>
              </w:rPr>
            </w:pPr>
            <w:r w:rsidRPr="0028154A">
              <w:rPr>
                <w:bCs/>
                <w:szCs w:val="24"/>
              </w:rPr>
              <w:t>£14,000</w:t>
            </w:r>
          </w:p>
        </w:tc>
        <w:tc>
          <w:tcPr>
            <w:tcW w:w="1275" w:type="dxa"/>
          </w:tcPr>
          <w:p w14:paraId="74F583D4" w14:textId="77777777" w:rsidR="0028154A" w:rsidRPr="0028154A" w:rsidRDefault="0028154A" w:rsidP="0028154A">
            <w:pPr>
              <w:rPr>
                <w:bCs/>
                <w:szCs w:val="24"/>
              </w:rPr>
            </w:pPr>
            <w:r w:rsidRPr="0028154A">
              <w:rPr>
                <w:bCs/>
                <w:szCs w:val="24"/>
              </w:rPr>
              <w:t>£21,000</w:t>
            </w:r>
          </w:p>
        </w:tc>
      </w:tr>
      <w:tr w:rsidR="0028154A" w:rsidRPr="0028154A" w14:paraId="1C8252D9" w14:textId="77777777">
        <w:tc>
          <w:tcPr>
            <w:tcW w:w="2689" w:type="dxa"/>
          </w:tcPr>
          <w:p w14:paraId="6FA209A9" w14:textId="77777777" w:rsidR="0028154A" w:rsidRPr="0028154A" w:rsidRDefault="0028154A" w:rsidP="0028154A">
            <w:pPr>
              <w:rPr>
                <w:b/>
                <w:szCs w:val="24"/>
              </w:rPr>
            </w:pPr>
            <w:r w:rsidRPr="0028154A">
              <w:rPr>
                <w:b/>
                <w:szCs w:val="24"/>
              </w:rPr>
              <w:t>EANDCB</w:t>
            </w:r>
          </w:p>
        </w:tc>
        <w:tc>
          <w:tcPr>
            <w:tcW w:w="1134" w:type="dxa"/>
          </w:tcPr>
          <w:p w14:paraId="36599A2C" w14:textId="77777777" w:rsidR="0028154A" w:rsidRPr="0028154A" w:rsidRDefault="0028154A" w:rsidP="0028154A">
            <w:pPr>
              <w:rPr>
                <w:bCs/>
                <w:szCs w:val="24"/>
              </w:rPr>
            </w:pPr>
            <w:r w:rsidRPr="0028154A">
              <w:rPr>
                <w:bCs/>
                <w:szCs w:val="24"/>
              </w:rPr>
              <w:t>£800</w:t>
            </w:r>
          </w:p>
        </w:tc>
        <w:tc>
          <w:tcPr>
            <w:tcW w:w="1134" w:type="dxa"/>
          </w:tcPr>
          <w:p w14:paraId="267C548A" w14:textId="77777777" w:rsidR="0028154A" w:rsidRPr="0028154A" w:rsidRDefault="0028154A" w:rsidP="0028154A">
            <w:pPr>
              <w:rPr>
                <w:bCs/>
                <w:szCs w:val="24"/>
              </w:rPr>
            </w:pPr>
            <w:r w:rsidRPr="0028154A">
              <w:rPr>
                <w:bCs/>
                <w:szCs w:val="24"/>
              </w:rPr>
              <w:t>£1,600</w:t>
            </w:r>
          </w:p>
        </w:tc>
        <w:tc>
          <w:tcPr>
            <w:tcW w:w="1275" w:type="dxa"/>
          </w:tcPr>
          <w:p w14:paraId="0AC401B6" w14:textId="77777777" w:rsidR="0028154A" w:rsidRPr="0028154A" w:rsidRDefault="0028154A" w:rsidP="0028154A">
            <w:pPr>
              <w:rPr>
                <w:bCs/>
                <w:szCs w:val="24"/>
              </w:rPr>
            </w:pPr>
            <w:r w:rsidRPr="0028154A">
              <w:rPr>
                <w:bCs/>
                <w:szCs w:val="24"/>
              </w:rPr>
              <w:t>£2,400</w:t>
            </w:r>
          </w:p>
        </w:tc>
      </w:tr>
    </w:tbl>
    <w:p w14:paraId="4EB11D5B" w14:textId="77777777" w:rsidR="0028154A" w:rsidRPr="0028154A" w:rsidRDefault="0028154A" w:rsidP="0028154A">
      <w:pPr>
        <w:spacing w:after="0"/>
        <w:rPr>
          <w:bCs/>
          <w:i/>
          <w:iCs/>
          <w:szCs w:val="24"/>
        </w:rPr>
      </w:pPr>
      <w:r w:rsidRPr="0028154A">
        <w:rPr>
          <w:bCs/>
          <w:i/>
          <w:iCs/>
          <w:szCs w:val="24"/>
        </w:rPr>
        <w:t>*Costs in £’000s. Rounded to 2s.f.s</w:t>
      </w:r>
    </w:p>
    <w:p w14:paraId="7BC013AE" w14:textId="77777777" w:rsidR="0028154A" w:rsidRPr="0028154A" w:rsidRDefault="0028154A" w:rsidP="0028154A">
      <w:pPr>
        <w:spacing w:before="240" w:after="120"/>
        <w:rPr>
          <w:bCs/>
          <w:szCs w:val="24"/>
          <w:u w:val="single"/>
        </w:rPr>
      </w:pPr>
      <w:r w:rsidRPr="0028154A">
        <w:rPr>
          <w:bCs/>
          <w:szCs w:val="24"/>
          <w:u w:val="single"/>
        </w:rPr>
        <w:t>Total cost aggregated across the Offshore CCUS Sector</w:t>
      </w:r>
    </w:p>
    <w:p w14:paraId="12C0026F" w14:textId="551BAD91" w:rsidR="0028154A" w:rsidRPr="0028154A" w:rsidRDefault="004100B0" w:rsidP="00BA245F">
      <w:pPr>
        <w:keepNext/>
        <w:numPr>
          <w:ilvl w:val="0"/>
          <w:numId w:val="1"/>
        </w:numPr>
        <w:spacing w:before="240" w:after="120"/>
        <w:jc w:val="both"/>
        <w:rPr>
          <w:bCs/>
          <w:szCs w:val="24"/>
        </w:rPr>
      </w:pPr>
      <w:r w:rsidRPr="0028154A">
        <w:rPr>
          <w:bCs/>
          <w:szCs w:val="24"/>
        </w:rPr>
        <w:t xml:space="preserve">Based upon the assumption </w:t>
      </w:r>
      <w:r>
        <w:rPr>
          <w:bCs/>
          <w:szCs w:val="24"/>
        </w:rPr>
        <w:t>of 27 installations commencing operations spread evenly across the appraisal period, as outlined</w:t>
      </w:r>
      <w:r w:rsidRPr="0028154A">
        <w:rPr>
          <w:bCs/>
          <w:szCs w:val="24"/>
        </w:rPr>
        <w:t xml:space="preserve"> paragraph </w:t>
      </w:r>
      <w:r w:rsidRPr="0028154A">
        <w:rPr>
          <w:bCs/>
          <w:szCs w:val="24"/>
        </w:rPr>
        <w:fldChar w:fldCharType="begin"/>
      </w:r>
      <w:r w:rsidRPr="0028154A">
        <w:rPr>
          <w:bCs/>
          <w:szCs w:val="24"/>
        </w:rPr>
        <w:instrText xml:space="preserve"> REF _Ref177995861 \r \h </w:instrText>
      </w:r>
      <w:r w:rsidRPr="0028154A">
        <w:rPr>
          <w:bCs/>
          <w:szCs w:val="24"/>
        </w:rPr>
      </w:r>
      <w:r w:rsidRPr="0028154A">
        <w:rPr>
          <w:bCs/>
          <w:szCs w:val="24"/>
        </w:rPr>
        <w:fldChar w:fldCharType="separate"/>
      </w:r>
      <w:r w:rsidR="0086161D">
        <w:rPr>
          <w:bCs/>
          <w:szCs w:val="24"/>
          <w:cs/>
        </w:rPr>
        <w:t>‎</w:t>
      </w:r>
      <w:r w:rsidR="0086161D">
        <w:rPr>
          <w:bCs/>
          <w:szCs w:val="24"/>
        </w:rPr>
        <w:t>25</w:t>
      </w:r>
      <w:r w:rsidRPr="0028154A">
        <w:rPr>
          <w:bCs/>
          <w:szCs w:val="24"/>
        </w:rPr>
        <w:fldChar w:fldCharType="end"/>
      </w:r>
      <w:r>
        <w:rPr>
          <w:bCs/>
          <w:szCs w:val="24"/>
        </w:rPr>
        <w:t xml:space="preserve"> and demonstrated in </w:t>
      </w:r>
      <w:r w:rsidRPr="00195C37">
        <w:rPr>
          <w:bCs/>
          <w:szCs w:val="24"/>
        </w:rPr>
        <w:fldChar w:fldCharType="begin"/>
      </w:r>
      <w:r w:rsidRPr="00195C37">
        <w:rPr>
          <w:bCs/>
          <w:szCs w:val="24"/>
        </w:rPr>
        <w:instrText xml:space="preserve"> REF _Ref178944192 \h </w:instrText>
      </w:r>
      <w:r w:rsidRPr="00A71753">
        <w:rPr>
          <w:bCs/>
          <w:szCs w:val="24"/>
        </w:rPr>
        <w:instrText xml:space="preserve"> \* MERGEFORMAT </w:instrText>
      </w:r>
      <w:r w:rsidRPr="00195C37">
        <w:rPr>
          <w:bCs/>
          <w:szCs w:val="24"/>
        </w:rPr>
      </w:r>
      <w:r w:rsidRPr="00195C37">
        <w:rPr>
          <w:bCs/>
          <w:szCs w:val="24"/>
        </w:rPr>
        <w:fldChar w:fldCharType="separate"/>
      </w:r>
      <w:r w:rsidR="0086161D" w:rsidRPr="00DE0402">
        <w:rPr>
          <w:szCs w:val="24"/>
        </w:rPr>
        <w:t xml:space="preserve">Figure </w:t>
      </w:r>
      <w:r w:rsidR="0086161D" w:rsidRPr="007C47D0">
        <w:rPr>
          <w:bCs/>
          <w:noProof/>
          <w:szCs w:val="24"/>
        </w:rPr>
        <w:t>2</w:t>
      </w:r>
      <w:r w:rsidRPr="00195C37">
        <w:rPr>
          <w:bCs/>
          <w:szCs w:val="24"/>
        </w:rPr>
        <w:fldChar w:fldCharType="end"/>
      </w:r>
      <w:r w:rsidR="0028154A" w:rsidRPr="0028154A">
        <w:rPr>
          <w:bCs/>
          <w:szCs w:val="24"/>
        </w:rPr>
        <w:t>, the estimated 10-year present value of the cost of offshore compliance and EANDCB across the offshore CCUS sector is as follows</w:t>
      </w:r>
      <w:r w:rsidR="00BA245F" w:rsidRPr="00BA245F">
        <w:rPr>
          <w:bCs/>
          <w:szCs w:val="24"/>
        </w:rPr>
        <w:t xml:space="preserve">. </w:t>
      </w:r>
      <w:r w:rsidR="00BA245F" w:rsidRPr="00BA245F">
        <w:rPr>
          <w:bCs/>
          <w:color w:val="FF0000"/>
          <w:szCs w:val="24"/>
        </w:rPr>
        <w:t xml:space="preserve">As discussed in section </w:t>
      </w:r>
      <w:r w:rsidR="00BA245F" w:rsidRPr="00BA245F">
        <w:rPr>
          <w:bCs/>
          <w:color w:val="FF0000"/>
          <w:szCs w:val="24"/>
        </w:rPr>
        <w:fldChar w:fldCharType="begin"/>
      </w:r>
      <w:r w:rsidR="00BA245F" w:rsidRPr="00BA245F">
        <w:rPr>
          <w:bCs/>
          <w:color w:val="FF0000"/>
          <w:szCs w:val="24"/>
        </w:rPr>
        <w:instrText xml:space="preserve"> REF _Ref183608566 \r \h </w:instrText>
      </w:r>
      <w:r w:rsidR="00BA245F" w:rsidRPr="00BA245F">
        <w:rPr>
          <w:bCs/>
          <w:color w:val="FF0000"/>
          <w:szCs w:val="24"/>
        </w:rPr>
      </w:r>
      <w:r w:rsidR="00BA245F" w:rsidRPr="00BA245F">
        <w:rPr>
          <w:bCs/>
          <w:color w:val="FF0000"/>
          <w:szCs w:val="24"/>
        </w:rPr>
        <w:fldChar w:fldCharType="separate"/>
      </w:r>
      <w:r w:rsidR="00BA245F" w:rsidRPr="00BA245F">
        <w:rPr>
          <w:bCs/>
          <w:color w:val="FF0000"/>
          <w:szCs w:val="24"/>
          <w:cs/>
        </w:rPr>
        <w:t>‎</w:t>
      </w:r>
      <w:r w:rsidR="00BA245F" w:rsidRPr="00BA245F">
        <w:rPr>
          <w:bCs/>
          <w:color w:val="FF0000"/>
          <w:szCs w:val="24"/>
        </w:rPr>
        <w:t>5.3</w:t>
      </w:r>
      <w:r w:rsidR="00BA245F" w:rsidRPr="00BA245F">
        <w:rPr>
          <w:bCs/>
          <w:color w:val="FF0000"/>
          <w:szCs w:val="24"/>
        </w:rPr>
        <w:fldChar w:fldCharType="end"/>
      </w:r>
      <w:r w:rsidR="00BA245F" w:rsidRPr="00BA245F">
        <w:rPr>
          <w:bCs/>
          <w:color w:val="FF0000"/>
          <w:szCs w:val="24"/>
        </w:rPr>
        <w:t>, we anticipate that perhaps 40% of this cost will fall to medium-sized operators and around 60% to large ones.</w:t>
      </w:r>
    </w:p>
    <w:tbl>
      <w:tblPr>
        <w:tblStyle w:val="TableGrid1"/>
        <w:tblW w:w="0" w:type="auto"/>
        <w:tblInd w:w="607" w:type="dxa"/>
        <w:tblLook w:val="04A0" w:firstRow="1" w:lastRow="0" w:firstColumn="1" w:lastColumn="0" w:noHBand="0" w:noVBand="1"/>
      </w:tblPr>
      <w:tblGrid>
        <w:gridCol w:w="2689"/>
        <w:gridCol w:w="1218"/>
        <w:gridCol w:w="1218"/>
        <w:gridCol w:w="1275"/>
      </w:tblGrid>
      <w:tr w:rsidR="0028154A" w:rsidRPr="0028154A" w14:paraId="7F951AA4" w14:textId="77777777">
        <w:tc>
          <w:tcPr>
            <w:tcW w:w="2689" w:type="dxa"/>
          </w:tcPr>
          <w:p w14:paraId="6B2A187D" w14:textId="77777777" w:rsidR="0028154A" w:rsidRPr="0028154A" w:rsidRDefault="0028154A" w:rsidP="0028154A">
            <w:pPr>
              <w:rPr>
                <w:b/>
                <w:szCs w:val="24"/>
              </w:rPr>
            </w:pPr>
            <w:r w:rsidRPr="0028154A">
              <w:rPr>
                <w:b/>
                <w:szCs w:val="24"/>
              </w:rPr>
              <w:t>Total cost to offshore CCUS</w:t>
            </w:r>
          </w:p>
        </w:tc>
        <w:tc>
          <w:tcPr>
            <w:tcW w:w="1134" w:type="dxa"/>
          </w:tcPr>
          <w:p w14:paraId="48FA6E24" w14:textId="77777777" w:rsidR="0028154A" w:rsidRPr="0028154A" w:rsidRDefault="0028154A" w:rsidP="0028154A">
            <w:pPr>
              <w:rPr>
                <w:b/>
                <w:szCs w:val="24"/>
              </w:rPr>
            </w:pPr>
            <w:r w:rsidRPr="0028154A">
              <w:rPr>
                <w:b/>
                <w:szCs w:val="24"/>
              </w:rPr>
              <w:t>Low</w:t>
            </w:r>
          </w:p>
        </w:tc>
        <w:tc>
          <w:tcPr>
            <w:tcW w:w="1134" w:type="dxa"/>
          </w:tcPr>
          <w:p w14:paraId="4A60494C" w14:textId="77777777" w:rsidR="0028154A" w:rsidRPr="0028154A" w:rsidRDefault="0028154A" w:rsidP="0028154A">
            <w:pPr>
              <w:rPr>
                <w:b/>
                <w:szCs w:val="24"/>
              </w:rPr>
            </w:pPr>
            <w:r w:rsidRPr="0028154A">
              <w:rPr>
                <w:b/>
                <w:szCs w:val="24"/>
              </w:rPr>
              <w:t>Mid</w:t>
            </w:r>
          </w:p>
        </w:tc>
        <w:tc>
          <w:tcPr>
            <w:tcW w:w="1275" w:type="dxa"/>
          </w:tcPr>
          <w:p w14:paraId="6AE8C9DD" w14:textId="77777777" w:rsidR="0028154A" w:rsidRPr="0028154A" w:rsidRDefault="0028154A" w:rsidP="0028154A">
            <w:pPr>
              <w:rPr>
                <w:b/>
                <w:szCs w:val="24"/>
              </w:rPr>
            </w:pPr>
            <w:r w:rsidRPr="0028154A">
              <w:rPr>
                <w:b/>
                <w:szCs w:val="24"/>
              </w:rPr>
              <w:t>High</w:t>
            </w:r>
          </w:p>
        </w:tc>
      </w:tr>
      <w:tr w:rsidR="0028154A" w:rsidRPr="0028154A" w14:paraId="073DEC58" w14:textId="77777777">
        <w:tc>
          <w:tcPr>
            <w:tcW w:w="2689" w:type="dxa"/>
          </w:tcPr>
          <w:p w14:paraId="162C136C" w14:textId="77777777" w:rsidR="0028154A" w:rsidRPr="0028154A" w:rsidRDefault="0028154A" w:rsidP="0028154A">
            <w:pPr>
              <w:rPr>
                <w:b/>
                <w:szCs w:val="24"/>
              </w:rPr>
            </w:pPr>
            <w:r w:rsidRPr="0028154A">
              <w:rPr>
                <w:b/>
                <w:szCs w:val="24"/>
              </w:rPr>
              <w:t>10-year net present cost</w:t>
            </w:r>
          </w:p>
        </w:tc>
        <w:tc>
          <w:tcPr>
            <w:tcW w:w="1134" w:type="dxa"/>
          </w:tcPr>
          <w:p w14:paraId="33F1C3DE" w14:textId="77777777" w:rsidR="0028154A" w:rsidRPr="0028154A" w:rsidRDefault="0028154A" w:rsidP="0028154A">
            <w:pPr>
              <w:rPr>
                <w:bCs/>
                <w:szCs w:val="24"/>
              </w:rPr>
            </w:pPr>
            <w:r w:rsidRPr="0028154A">
              <w:rPr>
                <w:bCs/>
                <w:szCs w:val="24"/>
              </w:rPr>
              <w:t>£100,000</w:t>
            </w:r>
          </w:p>
        </w:tc>
        <w:tc>
          <w:tcPr>
            <w:tcW w:w="1134" w:type="dxa"/>
          </w:tcPr>
          <w:p w14:paraId="5CF3E6E0" w14:textId="77777777" w:rsidR="0028154A" w:rsidRPr="0028154A" w:rsidRDefault="0028154A" w:rsidP="0028154A">
            <w:pPr>
              <w:rPr>
                <w:bCs/>
                <w:szCs w:val="24"/>
              </w:rPr>
            </w:pPr>
            <w:r w:rsidRPr="0028154A">
              <w:rPr>
                <w:bCs/>
                <w:szCs w:val="24"/>
              </w:rPr>
              <w:t>£220,000</w:t>
            </w:r>
          </w:p>
        </w:tc>
        <w:tc>
          <w:tcPr>
            <w:tcW w:w="1275" w:type="dxa"/>
          </w:tcPr>
          <w:p w14:paraId="13ED074E" w14:textId="77777777" w:rsidR="0028154A" w:rsidRPr="0028154A" w:rsidRDefault="0028154A" w:rsidP="0028154A">
            <w:pPr>
              <w:rPr>
                <w:bCs/>
                <w:szCs w:val="24"/>
              </w:rPr>
            </w:pPr>
            <w:r w:rsidRPr="0028154A">
              <w:rPr>
                <w:bCs/>
                <w:szCs w:val="24"/>
              </w:rPr>
              <w:t>£340,000</w:t>
            </w:r>
          </w:p>
        </w:tc>
      </w:tr>
      <w:tr w:rsidR="0028154A" w:rsidRPr="0028154A" w14:paraId="59442BA7" w14:textId="77777777">
        <w:tc>
          <w:tcPr>
            <w:tcW w:w="2689" w:type="dxa"/>
          </w:tcPr>
          <w:p w14:paraId="6DA09780" w14:textId="77777777" w:rsidR="0028154A" w:rsidRPr="0028154A" w:rsidRDefault="0028154A" w:rsidP="0028154A">
            <w:pPr>
              <w:rPr>
                <w:b/>
                <w:szCs w:val="24"/>
              </w:rPr>
            </w:pPr>
            <w:r w:rsidRPr="0028154A">
              <w:rPr>
                <w:b/>
                <w:szCs w:val="24"/>
              </w:rPr>
              <w:t>EANDCB</w:t>
            </w:r>
          </w:p>
        </w:tc>
        <w:tc>
          <w:tcPr>
            <w:tcW w:w="1134" w:type="dxa"/>
          </w:tcPr>
          <w:p w14:paraId="44E0F7CB" w14:textId="77777777" w:rsidR="0028154A" w:rsidRPr="0028154A" w:rsidRDefault="0028154A" w:rsidP="0028154A">
            <w:pPr>
              <w:rPr>
                <w:bCs/>
                <w:szCs w:val="24"/>
              </w:rPr>
            </w:pPr>
            <w:r w:rsidRPr="0028154A">
              <w:rPr>
                <w:bCs/>
                <w:szCs w:val="24"/>
              </w:rPr>
              <w:t>£12,000</w:t>
            </w:r>
          </w:p>
        </w:tc>
        <w:tc>
          <w:tcPr>
            <w:tcW w:w="1134" w:type="dxa"/>
          </w:tcPr>
          <w:p w14:paraId="058F0EFA" w14:textId="77777777" w:rsidR="0028154A" w:rsidRPr="0028154A" w:rsidRDefault="0028154A" w:rsidP="0028154A">
            <w:pPr>
              <w:rPr>
                <w:bCs/>
                <w:szCs w:val="24"/>
              </w:rPr>
            </w:pPr>
            <w:r w:rsidRPr="0028154A">
              <w:rPr>
                <w:bCs/>
                <w:szCs w:val="24"/>
              </w:rPr>
              <w:t>£26,000</w:t>
            </w:r>
          </w:p>
        </w:tc>
        <w:tc>
          <w:tcPr>
            <w:tcW w:w="1275" w:type="dxa"/>
          </w:tcPr>
          <w:p w14:paraId="5C3E3355" w14:textId="77777777" w:rsidR="0028154A" w:rsidRPr="0028154A" w:rsidRDefault="0028154A" w:rsidP="0028154A">
            <w:pPr>
              <w:rPr>
                <w:bCs/>
                <w:szCs w:val="24"/>
              </w:rPr>
            </w:pPr>
            <w:r w:rsidRPr="0028154A">
              <w:rPr>
                <w:bCs/>
                <w:szCs w:val="24"/>
              </w:rPr>
              <w:t>£40,000</w:t>
            </w:r>
          </w:p>
        </w:tc>
      </w:tr>
    </w:tbl>
    <w:p w14:paraId="274B9576" w14:textId="77777777" w:rsidR="0028154A" w:rsidRPr="0028154A" w:rsidRDefault="0028154A" w:rsidP="0028154A">
      <w:pPr>
        <w:spacing w:after="0"/>
        <w:rPr>
          <w:bCs/>
          <w:i/>
          <w:iCs/>
          <w:szCs w:val="24"/>
        </w:rPr>
      </w:pPr>
      <w:r w:rsidRPr="0028154A">
        <w:rPr>
          <w:bCs/>
          <w:i/>
          <w:iCs/>
          <w:szCs w:val="24"/>
        </w:rPr>
        <w:t>*Costs in £’000s. Rounded to 2s.f.s</w:t>
      </w:r>
    </w:p>
    <w:p w14:paraId="19B1AA02" w14:textId="77777777" w:rsidR="0028154A" w:rsidRPr="0028154A" w:rsidRDefault="0028154A" w:rsidP="0028154A">
      <w:pPr>
        <w:spacing w:before="240" w:after="120"/>
        <w:rPr>
          <w:bCs/>
          <w:szCs w:val="24"/>
          <w:u w:val="single"/>
        </w:rPr>
      </w:pPr>
      <w:r w:rsidRPr="0028154A">
        <w:rPr>
          <w:bCs/>
          <w:szCs w:val="24"/>
          <w:u w:val="single"/>
        </w:rPr>
        <w:t>Benefits</w:t>
      </w:r>
    </w:p>
    <w:p w14:paraId="4FD3D5E8" w14:textId="6CEA00A0" w:rsidR="0028154A" w:rsidRPr="0028154A" w:rsidRDefault="0028154A" w:rsidP="00CA7F1E">
      <w:pPr>
        <w:numPr>
          <w:ilvl w:val="0"/>
          <w:numId w:val="1"/>
        </w:numPr>
        <w:spacing w:before="240" w:after="120"/>
        <w:jc w:val="both"/>
        <w:rPr>
          <w:bCs/>
          <w:szCs w:val="24"/>
        </w:rPr>
      </w:pPr>
      <w:r w:rsidRPr="0028154A">
        <w:rPr>
          <w:bCs/>
          <w:szCs w:val="24"/>
        </w:rPr>
        <w:t xml:space="preserve">Option </w:t>
      </w:r>
      <w:r w:rsidR="00EE2034">
        <w:rPr>
          <w:bCs/>
          <w:szCs w:val="24"/>
        </w:rPr>
        <w:t>6</w:t>
      </w:r>
      <w:r w:rsidRPr="0028154A">
        <w:rPr>
          <w:bCs/>
          <w:szCs w:val="24"/>
        </w:rPr>
        <w:t xml:space="preserve"> is expected to fully capture the qualitative outline of benefits described in the earlier benefits section (paragraph </w:t>
      </w:r>
      <w:r w:rsidRPr="0028154A">
        <w:rPr>
          <w:bCs/>
          <w:szCs w:val="24"/>
        </w:rPr>
        <w:fldChar w:fldCharType="begin"/>
      </w:r>
      <w:r w:rsidRPr="0028154A">
        <w:rPr>
          <w:bCs/>
          <w:szCs w:val="24"/>
        </w:rPr>
        <w:instrText xml:space="preserve"> REF _Ref178004718 \r \h </w:instrText>
      </w:r>
      <w:r w:rsidRPr="0028154A">
        <w:rPr>
          <w:bCs/>
          <w:szCs w:val="24"/>
        </w:rPr>
      </w:r>
      <w:r w:rsidRPr="0028154A">
        <w:rPr>
          <w:bCs/>
          <w:szCs w:val="24"/>
        </w:rPr>
        <w:fldChar w:fldCharType="separate"/>
      </w:r>
      <w:r w:rsidR="009C27D2">
        <w:rPr>
          <w:bCs/>
          <w:szCs w:val="24"/>
          <w:cs/>
        </w:rPr>
        <w:t>‎</w:t>
      </w:r>
      <w:r w:rsidR="009C27D2">
        <w:rPr>
          <w:bCs/>
          <w:szCs w:val="24"/>
        </w:rPr>
        <w:t>28</w:t>
      </w:r>
      <w:r w:rsidRPr="0028154A">
        <w:rPr>
          <w:bCs/>
          <w:szCs w:val="24"/>
        </w:rPr>
        <w:fldChar w:fldCharType="end"/>
      </w:r>
      <w:r w:rsidRPr="0028154A">
        <w:rPr>
          <w:bCs/>
          <w:szCs w:val="24"/>
        </w:rPr>
        <w:t xml:space="preserve">). This goes above and beyond the benefits offered by Option </w:t>
      </w:r>
      <w:r w:rsidR="008B5012">
        <w:rPr>
          <w:bCs/>
          <w:szCs w:val="24"/>
        </w:rPr>
        <w:t>5</w:t>
      </w:r>
      <w:r w:rsidRPr="0028154A">
        <w:rPr>
          <w:bCs/>
          <w:szCs w:val="24"/>
        </w:rPr>
        <w:t xml:space="preserve"> as it captures the benefits for hydrogen production as well as CCUS.</w:t>
      </w:r>
    </w:p>
    <w:p w14:paraId="0CC2148E" w14:textId="5B9CFE2F" w:rsidR="0028154A" w:rsidRPr="0028154A" w:rsidRDefault="0028154A" w:rsidP="00CA7F1E">
      <w:pPr>
        <w:keepNext/>
        <w:keepLines/>
        <w:spacing w:before="240" w:after="120"/>
        <w:ind w:firstLine="360"/>
        <w:jc w:val="both"/>
        <w:outlineLvl w:val="3"/>
        <w:rPr>
          <w:b/>
          <w:szCs w:val="24"/>
        </w:rPr>
      </w:pPr>
      <w:r w:rsidRPr="0028154A">
        <w:rPr>
          <w:b/>
          <w:szCs w:val="24"/>
        </w:rPr>
        <w:t xml:space="preserve">Option </w:t>
      </w:r>
      <w:r w:rsidR="009104AE">
        <w:rPr>
          <w:b/>
          <w:szCs w:val="24"/>
        </w:rPr>
        <w:t>7</w:t>
      </w:r>
      <w:r w:rsidRPr="0028154A">
        <w:rPr>
          <w:b/>
          <w:szCs w:val="24"/>
        </w:rPr>
        <w:t xml:space="preserve"> – Industry Standards</w:t>
      </w:r>
    </w:p>
    <w:p w14:paraId="0C9B34F3" w14:textId="0E4B09DF" w:rsidR="0028154A" w:rsidRDefault="0028154A" w:rsidP="00CA7F1E">
      <w:pPr>
        <w:numPr>
          <w:ilvl w:val="0"/>
          <w:numId w:val="1"/>
        </w:numPr>
        <w:spacing w:before="240" w:after="120"/>
        <w:jc w:val="both"/>
      </w:pPr>
      <w:r>
        <w:t xml:space="preserve">Option </w:t>
      </w:r>
      <w:r w:rsidR="009104AE">
        <w:t>7</w:t>
      </w:r>
      <w:r>
        <w:t xml:space="preserve"> proposes the use of industry standards to require a </w:t>
      </w:r>
      <w:r w:rsidR="33E993B8">
        <w:t>good</w:t>
      </w:r>
      <w:r>
        <w:t xml:space="preserve"> practi</w:t>
      </w:r>
      <w:r w:rsidR="00AE5BF3">
        <w:t>c</w:t>
      </w:r>
      <w:r>
        <w:t xml:space="preserve">e approach to health and safety, as opposed to use of legislation. It is not clear exactly what the industry standards would entail. In this case it is likely that industry standards would contain requirements near identical to those outlined in the regulatory option (Option </w:t>
      </w:r>
      <w:r w:rsidR="00EE2034">
        <w:t>6</w:t>
      </w:r>
      <w:r>
        <w:t>) but would not be accompanied by the enforceability that comes with legislation.</w:t>
      </w:r>
    </w:p>
    <w:p w14:paraId="52AF9306" w14:textId="13B3D65C" w:rsidR="00307B6F" w:rsidRDefault="005A15A5" w:rsidP="00CA7F1E">
      <w:pPr>
        <w:numPr>
          <w:ilvl w:val="0"/>
          <w:numId w:val="1"/>
        </w:numPr>
        <w:spacing w:before="240" w:after="120"/>
        <w:jc w:val="both"/>
      </w:pPr>
      <w:r>
        <w:t>I</w:t>
      </w:r>
      <w:r w:rsidR="00D17DEC">
        <w:t xml:space="preserve">t has been assumed for the purpose of </w:t>
      </w:r>
      <w:r w:rsidR="00E44BB7">
        <w:t>assessing</w:t>
      </w:r>
      <w:r w:rsidR="00D17DEC">
        <w:t xml:space="preserve"> the </w:t>
      </w:r>
      <w:r w:rsidR="0031507D">
        <w:t xml:space="preserve">potential </w:t>
      </w:r>
      <w:r w:rsidR="00D17DEC">
        <w:t xml:space="preserve">cost of this option that businesses will fully comply with the industry standards, </w:t>
      </w:r>
      <w:proofErr w:type="gramStart"/>
      <w:r w:rsidR="00D17DEC">
        <w:t>despite the fact that</w:t>
      </w:r>
      <w:proofErr w:type="gramEnd"/>
      <w:r w:rsidR="00D17DEC">
        <w:t xml:space="preserve"> the standards </w:t>
      </w:r>
      <w:r w:rsidR="0057621C">
        <w:t>would be voluntary.</w:t>
      </w:r>
      <w:r w:rsidR="001B67C5">
        <w:t xml:space="preserve"> This is for two reasons</w:t>
      </w:r>
      <w:r w:rsidR="00AF0A63">
        <w:t>;</w:t>
      </w:r>
      <w:r w:rsidR="001B67C5">
        <w:t xml:space="preserve"> </w:t>
      </w:r>
      <w:r w:rsidR="00AF0A63">
        <w:t>f</w:t>
      </w:r>
      <w:r w:rsidR="001B67C5">
        <w:t xml:space="preserve">irstly, </w:t>
      </w:r>
      <w:r w:rsidR="00845CBA">
        <w:t>to fall in line with usual standards for analysis and err on the side of higher cost</w:t>
      </w:r>
      <w:r w:rsidR="005D77D5">
        <w:t xml:space="preserve">. In previous cases when providing </w:t>
      </w:r>
      <w:r w:rsidR="000574A7">
        <w:t xml:space="preserve">cost </w:t>
      </w:r>
      <w:r w:rsidR="005D77D5">
        <w:t>analysis for scrutiny by the Regulatory Policy Committee</w:t>
      </w:r>
      <w:r w:rsidR="00264D23">
        <w:t xml:space="preserve"> (RPC),</w:t>
      </w:r>
      <w:r w:rsidR="005D77D5">
        <w:t xml:space="preserve"> </w:t>
      </w:r>
      <w:r w:rsidR="00264D23">
        <w:t xml:space="preserve">HSE has been encouraged to assume compliance </w:t>
      </w:r>
      <w:r w:rsidR="00E17E67">
        <w:t xml:space="preserve">with any requirements set out. Secondly, there is no available evidence </w:t>
      </w:r>
      <w:r w:rsidR="00866F76">
        <w:t>to inform an assumption for what the level of compliance would be.</w:t>
      </w:r>
      <w:r w:rsidR="002A44DE">
        <w:t xml:space="preserve"> Any attempt to </w:t>
      </w:r>
      <w:r w:rsidR="001A3D06">
        <w:t>quantitatively</w:t>
      </w:r>
      <w:r w:rsidR="00446D09">
        <w:t xml:space="preserve"> </w:t>
      </w:r>
      <w:r w:rsidR="002A44DE">
        <w:t xml:space="preserve">estimate cost based on a lower level of compliance would rely on an entirely arbitrary assumption </w:t>
      </w:r>
      <w:r w:rsidR="00C9670A">
        <w:t>of the compliance level.</w:t>
      </w:r>
    </w:p>
    <w:p w14:paraId="77BF121F" w14:textId="79B82E72" w:rsidR="001A3D06" w:rsidRDefault="001A3D06" w:rsidP="00CA7F1E">
      <w:pPr>
        <w:numPr>
          <w:ilvl w:val="0"/>
          <w:numId w:val="1"/>
        </w:numPr>
        <w:spacing w:before="240" w:after="120"/>
        <w:jc w:val="both"/>
      </w:pPr>
      <w:r>
        <w:t>In practice</w:t>
      </w:r>
      <w:r w:rsidR="00566510">
        <w:t>,</w:t>
      </w:r>
      <w:r w:rsidR="00AE459E">
        <w:t xml:space="preserve"> </w:t>
      </w:r>
      <w:r w:rsidR="007B14F0">
        <w:t>without the power to enforce</w:t>
      </w:r>
      <w:r w:rsidR="00A72868">
        <w:t xml:space="preserve"> </w:t>
      </w:r>
      <w:r w:rsidR="00F9028A">
        <w:t xml:space="preserve">specific legislation (as in Option </w:t>
      </w:r>
      <w:r w:rsidR="00EE2034">
        <w:t>6</w:t>
      </w:r>
      <w:r w:rsidR="00F9028A">
        <w:t>)</w:t>
      </w:r>
      <w:r w:rsidR="00566510">
        <w:t>,</w:t>
      </w:r>
      <w:r w:rsidR="00427C4E">
        <w:t xml:space="preserve"> </w:t>
      </w:r>
      <w:r w:rsidR="00AE459E">
        <w:t xml:space="preserve">it </w:t>
      </w:r>
      <w:proofErr w:type="gramStart"/>
      <w:r w:rsidR="00AE459E">
        <w:t>would</w:t>
      </w:r>
      <w:proofErr w:type="gramEnd"/>
      <w:r w:rsidR="00AE459E">
        <w:t xml:space="preserve"> </w:t>
      </w:r>
      <w:r w:rsidR="002F0B99">
        <w:t>more challenging</w:t>
      </w:r>
      <w:r w:rsidR="00566510">
        <w:t xml:space="preserve"> for HSE</w:t>
      </w:r>
      <w:r w:rsidR="00D04F88">
        <w:t xml:space="preserve"> to en</w:t>
      </w:r>
      <w:r w:rsidR="00151E69">
        <w:t>sure compliance</w:t>
      </w:r>
      <w:r w:rsidR="00C838B5">
        <w:t>.</w:t>
      </w:r>
      <w:r w:rsidR="00151E69">
        <w:t xml:space="preserve"> </w:t>
      </w:r>
      <w:proofErr w:type="gramStart"/>
      <w:r w:rsidR="00C838B5">
        <w:t>Therefore</w:t>
      </w:r>
      <w:proofErr w:type="gramEnd"/>
      <w:r w:rsidR="00151E69">
        <w:t xml:space="preserve"> </w:t>
      </w:r>
      <w:r w:rsidR="00E40834">
        <w:t>the cost</w:t>
      </w:r>
      <w:r w:rsidR="00B56F43">
        <w:t xml:space="preserve"> </w:t>
      </w:r>
      <w:r w:rsidR="00473C23">
        <w:t xml:space="preserve">to business </w:t>
      </w:r>
      <w:r w:rsidR="00B56F43">
        <w:t xml:space="preserve">of </w:t>
      </w:r>
      <w:r w:rsidR="00473C23">
        <w:t xml:space="preserve">compliance could well be lower under this option as a result of </w:t>
      </w:r>
      <w:r w:rsidR="00D67D86">
        <w:t xml:space="preserve">some </w:t>
      </w:r>
      <w:r w:rsidR="00473C23">
        <w:t>non-compliance</w:t>
      </w:r>
      <w:r w:rsidR="00D97FE9">
        <w:t xml:space="preserve"> with the industry standards</w:t>
      </w:r>
      <w:r w:rsidR="00605D1D">
        <w:t xml:space="preserve"> or where the </w:t>
      </w:r>
      <w:r w:rsidR="00BC75E5">
        <w:t xml:space="preserve">standards fall short of </w:t>
      </w:r>
      <w:r w:rsidR="002F0B99">
        <w:t xml:space="preserve">what HSE requires under </w:t>
      </w:r>
      <w:r w:rsidR="002F0B99">
        <w:lastRenderedPageBreak/>
        <w:t xml:space="preserve">Option </w:t>
      </w:r>
      <w:r w:rsidR="00EE2034">
        <w:t>6</w:t>
      </w:r>
      <w:r w:rsidR="002F0B99">
        <w:t>.</w:t>
      </w:r>
      <w:r w:rsidR="00B446D0">
        <w:t xml:space="preserve"> As discussed in the following section this would </w:t>
      </w:r>
      <w:r w:rsidR="001C20BF">
        <w:t xml:space="preserve">result in a reduction in the </w:t>
      </w:r>
      <w:r w:rsidR="00607704">
        <w:t xml:space="preserve">potential </w:t>
      </w:r>
      <w:r w:rsidR="001C20BF">
        <w:t xml:space="preserve">benefits delivered by the </w:t>
      </w:r>
      <w:r w:rsidR="00607704">
        <w:t>standards.</w:t>
      </w:r>
    </w:p>
    <w:p w14:paraId="1025BB5B" w14:textId="20DC17A2" w:rsidR="00D97FE9" w:rsidRPr="0028154A" w:rsidRDefault="00835207" w:rsidP="00CA7F1E">
      <w:pPr>
        <w:numPr>
          <w:ilvl w:val="0"/>
          <w:numId w:val="1"/>
        </w:numPr>
        <w:spacing w:before="240" w:after="120"/>
        <w:jc w:val="both"/>
      </w:pPr>
      <w:r>
        <w:t xml:space="preserve">There is also </w:t>
      </w:r>
      <w:r w:rsidR="004670C6">
        <w:t xml:space="preserve">potential for additional cost to business under this option as </w:t>
      </w:r>
      <w:r w:rsidR="00F148D1">
        <w:t xml:space="preserve">industry would </w:t>
      </w:r>
      <w:r w:rsidR="007D260C">
        <w:t>incur costs</w:t>
      </w:r>
      <w:r w:rsidR="00A774A9">
        <w:t xml:space="preserve"> </w:t>
      </w:r>
      <w:proofErr w:type="gramStart"/>
      <w:r w:rsidR="00A774A9">
        <w:t>in order to</w:t>
      </w:r>
      <w:proofErr w:type="gramEnd"/>
      <w:r w:rsidR="00A774A9">
        <w:t xml:space="preserve"> </w:t>
      </w:r>
      <w:r w:rsidR="00CD4058">
        <w:t>set out the</w:t>
      </w:r>
      <w:r w:rsidR="009A54D9">
        <w:t xml:space="preserve"> standards</w:t>
      </w:r>
      <w:r w:rsidR="0095341A">
        <w:t>.</w:t>
      </w:r>
      <w:r w:rsidR="00466946">
        <w:t xml:space="preserve"> These standards would likely be developed by existing standards bodies</w:t>
      </w:r>
      <w:r w:rsidR="00EF5E6B">
        <w:t xml:space="preserve"> or trade</w:t>
      </w:r>
      <w:r w:rsidR="00A45381">
        <w:t xml:space="preserve"> associations</w:t>
      </w:r>
      <w:r w:rsidR="00466946">
        <w:t>.</w:t>
      </w:r>
      <w:r w:rsidR="0005100D">
        <w:t xml:space="preserve"> </w:t>
      </w:r>
      <w:r w:rsidR="00732616">
        <w:t>T</w:t>
      </w:r>
      <w:r w:rsidR="00590B9A">
        <w:t>h</w:t>
      </w:r>
      <w:r w:rsidR="00E12F70">
        <w:t>is</w:t>
      </w:r>
      <w:r w:rsidR="00590B9A">
        <w:t xml:space="preserve"> </w:t>
      </w:r>
      <w:r w:rsidR="00FE259B">
        <w:t xml:space="preserve">cost </w:t>
      </w:r>
      <w:r w:rsidR="00D36014">
        <w:t>covers the resources required from</w:t>
      </w:r>
      <w:r w:rsidR="00A37DF1">
        <w:t xml:space="preserve"> industry to </w:t>
      </w:r>
      <w:r w:rsidR="002D2B8D">
        <w:t>participate in</w:t>
      </w:r>
      <w:r w:rsidR="00A37DF1">
        <w:t xml:space="preserve"> </w:t>
      </w:r>
      <w:r w:rsidR="00DB02BA">
        <w:t>develop</w:t>
      </w:r>
      <w:r w:rsidR="002D2B8D">
        <w:t>ing</w:t>
      </w:r>
      <w:r w:rsidR="00A37DF1">
        <w:t xml:space="preserve"> </w:t>
      </w:r>
      <w:r w:rsidR="00D36014">
        <w:t>and commit to a set of standards an</w:t>
      </w:r>
      <w:r w:rsidR="00DB161C">
        <w:t>d</w:t>
      </w:r>
      <w:r w:rsidR="00590B9A">
        <w:t xml:space="preserve"> would be </w:t>
      </w:r>
      <w:r w:rsidR="00683CD0">
        <w:t xml:space="preserve">additional </w:t>
      </w:r>
      <w:r w:rsidR="00063BC8">
        <w:t>costs under this option</w:t>
      </w:r>
      <w:r w:rsidR="00520ED3">
        <w:t xml:space="preserve"> beyond the costs incurred under Option </w:t>
      </w:r>
      <w:r w:rsidR="00EE2034">
        <w:t>6</w:t>
      </w:r>
      <w:r w:rsidR="001A1AB8">
        <w:t xml:space="preserve">, as under Option </w:t>
      </w:r>
      <w:r w:rsidR="00EE2034">
        <w:t>6</w:t>
      </w:r>
      <w:r w:rsidR="001A1AB8">
        <w:t xml:space="preserve"> HSE </w:t>
      </w:r>
      <w:r w:rsidR="00BF5CC9">
        <w:t>is using its existing regulatory framework</w:t>
      </w:r>
      <w:r w:rsidR="00063BC8">
        <w:t>.</w:t>
      </w:r>
      <w:r w:rsidR="007A625A">
        <w:t xml:space="preserve"> This </w:t>
      </w:r>
      <w:r w:rsidR="004C7985">
        <w:t xml:space="preserve">additional </w:t>
      </w:r>
      <w:r w:rsidR="007A625A">
        <w:t>cost is not quantified as</w:t>
      </w:r>
      <w:r w:rsidR="007308A3">
        <w:t xml:space="preserve">, </w:t>
      </w:r>
      <w:proofErr w:type="gramStart"/>
      <w:r w:rsidR="007308A3">
        <w:t>due to the fact that</w:t>
      </w:r>
      <w:proofErr w:type="gramEnd"/>
      <w:r w:rsidR="007308A3">
        <w:t xml:space="preserve"> these are new industries,</w:t>
      </w:r>
      <w:r w:rsidR="007A625A">
        <w:t xml:space="preserve"> it is not yet clear what these standards would look like or how </w:t>
      </w:r>
      <w:r w:rsidR="008B20B1">
        <w:t>the industry would go about setting them</w:t>
      </w:r>
      <w:r w:rsidR="003B4C06">
        <w:t xml:space="preserve">. </w:t>
      </w:r>
      <w:r w:rsidR="009F330C">
        <w:t>Further research will be undertaken to better understand th</w:t>
      </w:r>
      <w:r w:rsidR="000467E8">
        <w:t>is cost</w:t>
      </w:r>
      <w:r w:rsidR="00DA4ABB">
        <w:t xml:space="preserve"> and develop the analysis </w:t>
      </w:r>
      <w:r w:rsidR="002B79E4">
        <w:t>on this option.</w:t>
      </w:r>
    </w:p>
    <w:p w14:paraId="394B0BF2" w14:textId="5279E37A" w:rsidR="0028154A" w:rsidRPr="0028154A" w:rsidRDefault="0028154A" w:rsidP="00CA7F1E">
      <w:pPr>
        <w:numPr>
          <w:ilvl w:val="0"/>
          <w:numId w:val="1"/>
        </w:numPr>
        <w:spacing w:before="240" w:after="120"/>
        <w:jc w:val="both"/>
        <w:rPr>
          <w:b/>
          <w:bCs/>
        </w:rPr>
      </w:pPr>
      <w:r w:rsidRPr="0028154A">
        <w:t xml:space="preserve">As the </w:t>
      </w:r>
      <w:r w:rsidR="009831F7">
        <w:t>standards</w:t>
      </w:r>
      <w:r w:rsidR="009831F7" w:rsidRPr="0028154A">
        <w:t xml:space="preserve"> </w:t>
      </w:r>
      <w:r w:rsidRPr="0028154A">
        <w:t>are likely to be largely the same as those</w:t>
      </w:r>
      <w:r w:rsidR="009831F7">
        <w:t xml:space="preserve"> requirements</w:t>
      </w:r>
      <w:r w:rsidRPr="0028154A">
        <w:t xml:space="preserve"> outlined in Option </w:t>
      </w:r>
      <w:r w:rsidR="00EE2034">
        <w:t>6</w:t>
      </w:r>
      <w:r w:rsidRPr="0028154A">
        <w:t xml:space="preserve">, it has been assumed that the </w:t>
      </w:r>
      <w:r w:rsidR="008B5531">
        <w:t xml:space="preserve">potential </w:t>
      </w:r>
      <w:r w:rsidRPr="007C47D0">
        <w:t>cost</w:t>
      </w:r>
      <w:r w:rsidR="009831F7" w:rsidRPr="007C47D0">
        <w:t xml:space="preserve"> </w:t>
      </w:r>
      <w:r w:rsidRPr="007C47D0">
        <w:t>of compliance</w:t>
      </w:r>
      <w:r w:rsidR="009831F7" w:rsidRPr="007C47D0">
        <w:t xml:space="preserve"> (under full compliance) </w:t>
      </w:r>
      <w:r w:rsidRPr="007C47D0">
        <w:t xml:space="preserve">with Option </w:t>
      </w:r>
      <w:r w:rsidR="009104AE">
        <w:t>7</w:t>
      </w:r>
      <w:r w:rsidRPr="007C47D0">
        <w:t xml:space="preserve"> would be </w:t>
      </w:r>
      <w:proofErr w:type="gramStart"/>
      <w:r w:rsidR="008E3557" w:rsidRPr="007C47D0">
        <w:t>similar to</w:t>
      </w:r>
      <w:proofErr w:type="gramEnd"/>
      <w:r w:rsidR="00960D18" w:rsidRPr="007C47D0">
        <w:t xml:space="preserve">, and </w:t>
      </w:r>
      <w:r w:rsidR="00D94075">
        <w:t>potentially</w:t>
      </w:r>
      <w:r w:rsidR="00D94075" w:rsidRPr="007C47D0">
        <w:t xml:space="preserve"> </w:t>
      </w:r>
      <w:r w:rsidR="00960D18" w:rsidRPr="007C47D0">
        <w:t>greater th</w:t>
      </w:r>
      <w:r w:rsidR="000D1B8C">
        <w:t>a</w:t>
      </w:r>
      <w:r w:rsidR="00960D18" w:rsidRPr="007C47D0">
        <w:t>n,</w:t>
      </w:r>
      <w:r w:rsidRPr="007C47D0">
        <w:t xml:space="preserve"> that of Option </w:t>
      </w:r>
      <w:r w:rsidR="00EE2034">
        <w:t>6</w:t>
      </w:r>
      <w:r w:rsidRPr="007C47D0">
        <w:t>.</w:t>
      </w:r>
    </w:p>
    <w:p w14:paraId="0F160933" w14:textId="77777777" w:rsidR="0028154A" w:rsidRPr="0028154A" w:rsidRDefault="0028154A" w:rsidP="00CA7F1E">
      <w:pPr>
        <w:spacing w:before="240" w:after="120"/>
        <w:jc w:val="both"/>
        <w:rPr>
          <w:bCs/>
          <w:szCs w:val="24"/>
          <w:u w:val="single"/>
        </w:rPr>
      </w:pPr>
      <w:r w:rsidRPr="0028154A">
        <w:rPr>
          <w:bCs/>
          <w:szCs w:val="24"/>
          <w:u w:val="single"/>
        </w:rPr>
        <w:t>Benefits</w:t>
      </w:r>
    </w:p>
    <w:p w14:paraId="5B6BAB8A" w14:textId="4822FDB2" w:rsidR="0028154A" w:rsidRPr="0028154A" w:rsidRDefault="0028154A" w:rsidP="00CA7F1E">
      <w:pPr>
        <w:numPr>
          <w:ilvl w:val="0"/>
          <w:numId w:val="1"/>
        </w:numPr>
        <w:spacing w:before="240" w:after="120"/>
        <w:jc w:val="both"/>
      </w:pPr>
      <w:r w:rsidRPr="604F7430">
        <w:t xml:space="preserve">Option </w:t>
      </w:r>
      <w:r w:rsidR="009104AE">
        <w:t>7</w:t>
      </w:r>
      <w:r w:rsidRPr="604F7430">
        <w:t xml:space="preserve"> has the potential to capture the full benefits outlined in the qualitative benefits section (paragraph </w:t>
      </w:r>
      <w:r w:rsidRPr="0028154A">
        <w:rPr>
          <w:bCs/>
          <w:szCs w:val="24"/>
        </w:rPr>
        <w:fldChar w:fldCharType="begin"/>
      </w:r>
      <w:r w:rsidRPr="0028154A">
        <w:rPr>
          <w:bCs/>
          <w:szCs w:val="24"/>
        </w:rPr>
        <w:instrText xml:space="preserve"> REF _Ref178004718 \r \h </w:instrText>
      </w:r>
      <w:r w:rsidRPr="0028154A">
        <w:rPr>
          <w:bCs/>
          <w:szCs w:val="24"/>
        </w:rPr>
      </w:r>
      <w:r w:rsidRPr="0028154A">
        <w:rPr>
          <w:bCs/>
          <w:szCs w:val="24"/>
        </w:rPr>
        <w:fldChar w:fldCharType="separate"/>
      </w:r>
      <w:r w:rsidR="009C27D2" w:rsidRPr="037A3CC8">
        <w:rPr>
          <w:cs/>
        </w:rPr>
        <w:t>‎</w:t>
      </w:r>
      <w:r w:rsidR="009C27D2" w:rsidRPr="037A3CC8">
        <w:t>28</w:t>
      </w:r>
      <w:r w:rsidRPr="0028154A">
        <w:rPr>
          <w:bCs/>
          <w:szCs w:val="24"/>
        </w:rPr>
        <w:fldChar w:fldCharType="end"/>
      </w:r>
      <w:r w:rsidRPr="0028154A">
        <w:rPr>
          <w:bCs/>
          <w:szCs w:val="24"/>
        </w:rPr>
        <w:t>)</w:t>
      </w:r>
      <w:r w:rsidR="00592971" w:rsidRPr="604F7430">
        <w:t>. H</w:t>
      </w:r>
      <w:r w:rsidRPr="604F7430">
        <w:t>owever</w:t>
      </w:r>
      <w:r w:rsidR="5BC0FEE3" w:rsidRPr="604F7430">
        <w:t>,</w:t>
      </w:r>
      <w:r w:rsidRPr="604F7430">
        <w:t xml:space="preserve"> this only occurs where industry standards are complied with fully across both CCUS and hydrogen</w:t>
      </w:r>
      <w:r w:rsidR="004F7475" w:rsidRPr="604F7430">
        <w:t xml:space="preserve"> production</w:t>
      </w:r>
      <w:r w:rsidRPr="604F7430">
        <w:t xml:space="preserve">. While under Option </w:t>
      </w:r>
      <w:r w:rsidR="00EE2034">
        <w:t>6</w:t>
      </w:r>
      <w:r w:rsidRPr="604F7430">
        <w:t xml:space="preserve"> HSE can legally enforce full compliance through legislation - using an approach consistent with other major hazards - under Option </w:t>
      </w:r>
      <w:r w:rsidR="009104AE">
        <w:t>7</w:t>
      </w:r>
      <w:r w:rsidRPr="604F7430">
        <w:t xml:space="preserve"> compliance </w:t>
      </w:r>
      <w:r w:rsidR="4091417B">
        <w:t>with the standard</w:t>
      </w:r>
      <w:r w:rsidRPr="604F7430">
        <w:t xml:space="preserve"> is voluntary and </w:t>
      </w:r>
      <w:r w:rsidR="727165F8">
        <w:t>this may mean</w:t>
      </w:r>
      <w:r w:rsidR="00E644B6">
        <w:t xml:space="preserve"> </w:t>
      </w:r>
      <w:proofErr w:type="gramStart"/>
      <w:r w:rsidR="002F27D8" w:rsidRPr="604F7430">
        <w:t>In</w:t>
      </w:r>
      <w:proofErr w:type="gramEnd"/>
      <w:r w:rsidR="002F27D8" w:rsidRPr="604F7430">
        <w:t xml:space="preserve"> practise </w:t>
      </w:r>
      <w:r w:rsidR="000F661A" w:rsidRPr="604F7430">
        <w:t>this means th</w:t>
      </w:r>
      <w:r w:rsidR="002A1242" w:rsidRPr="604F7430">
        <w:t xml:space="preserve">at </w:t>
      </w:r>
      <w:r w:rsidR="000837D8" w:rsidRPr="604F7430">
        <w:t xml:space="preserve">there </w:t>
      </w:r>
      <w:r w:rsidR="00E20200" w:rsidRPr="604F7430">
        <w:t xml:space="preserve">would likely be a lower level of compliance, and </w:t>
      </w:r>
      <w:r w:rsidR="008921E9" w:rsidRPr="604F7430">
        <w:t>so</w:t>
      </w:r>
      <w:r w:rsidR="00E20200" w:rsidRPr="604F7430">
        <w:t xml:space="preserve"> the benefits would not be captured in full</w:t>
      </w:r>
      <w:r w:rsidR="00957AE0" w:rsidRPr="604F7430">
        <w:t xml:space="preserve">. </w:t>
      </w:r>
      <w:proofErr w:type="gramStart"/>
      <w:r w:rsidR="00957AE0" w:rsidRPr="604F7430">
        <w:t>F</w:t>
      </w:r>
      <w:r w:rsidR="00F15E5A" w:rsidRPr="604F7430">
        <w:t>urthermore</w:t>
      </w:r>
      <w:proofErr w:type="gramEnd"/>
      <w:r w:rsidR="00F15E5A" w:rsidRPr="604F7430">
        <w:t xml:space="preserve"> </w:t>
      </w:r>
      <w:r w:rsidR="00FD7C7F" w:rsidRPr="604F7430">
        <w:t>this would result in inconsistent standards across industry</w:t>
      </w:r>
      <w:r w:rsidR="008B17A4" w:rsidRPr="604F7430">
        <w:t xml:space="preserve">, between </w:t>
      </w:r>
      <w:r w:rsidR="73A0F594">
        <w:t>those</w:t>
      </w:r>
      <w:r w:rsidR="008B17A4" w:rsidRPr="604F7430">
        <w:t xml:space="preserve"> operators</w:t>
      </w:r>
      <w:r w:rsidR="65AF44E5">
        <w:t xml:space="preserve"> adopting the standard and those adopting </w:t>
      </w:r>
      <w:r w:rsidR="0F05069A">
        <w:t>alternative</w:t>
      </w:r>
      <w:r w:rsidR="65AF44E5">
        <w:t xml:space="preserve"> approaches to compliance</w:t>
      </w:r>
      <w:r w:rsidR="00E20200">
        <w:rPr>
          <w:bCs/>
          <w:szCs w:val="24"/>
        </w:rPr>
        <w:t xml:space="preserve">. </w:t>
      </w:r>
      <w:r w:rsidR="000E5145" w:rsidRPr="604F7430">
        <w:t xml:space="preserve">Relative to </w:t>
      </w:r>
      <w:r w:rsidR="0055279B" w:rsidRPr="604F7430">
        <w:t xml:space="preserve">the </w:t>
      </w:r>
      <w:r w:rsidR="000E5145" w:rsidRPr="604F7430">
        <w:t>legislation</w:t>
      </w:r>
      <w:r w:rsidR="0055279B" w:rsidRPr="604F7430">
        <w:t xml:space="preserve"> proposed in Option </w:t>
      </w:r>
      <w:r w:rsidR="00EE2034">
        <w:t>6</w:t>
      </w:r>
      <w:r w:rsidR="000E5145" w:rsidRPr="604F7430">
        <w:t xml:space="preserve">, this option results in </w:t>
      </w:r>
      <w:r w:rsidR="00205C06" w:rsidRPr="604F7430">
        <w:t xml:space="preserve">less assurance and transparency </w:t>
      </w:r>
      <w:r w:rsidR="00CD47DF" w:rsidRPr="604F7430">
        <w:t xml:space="preserve">around </w:t>
      </w:r>
      <w:r w:rsidR="00754232" w:rsidRPr="604F7430">
        <w:t>actions taken by dutyholders.</w:t>
      </w:r>
    </w:p>
    <w:p w14:paraId="4CA0A7F2" w14:textId="30D62725" w:rsidR="0028154A" w:rsidRDefault="0092030F" w:rsidP="00CA7F1E">
      <w:pPr>
        <w:numPr>
          <w:ilvl w:val="0"/>
          <w:numId w:val="1"/>
        </w:numPr>
        <w:spacing w:before="240" w:after="120"/>
        <w:jc w:val="both"/>
      </w:pPr>
      <w:r>
        <w:t>Additionally</w:t>
      </w:r>
      <w:r w:rsidR="0028154A">
        <w:t xml:space="preserve">, Option </w:t>
      </w:r>
      <w:r w:rsidR="009104AE">
        <w:t>7</w:t>
      </w:r>
      <w:r w:rsidR="0028154A">
        <w:t xml:space="preserve"> diverges from the existing interventions HSE makes in sectors deemed to have major hazard potential by not regulating legislatively. This creates an inconsistency that could be seen to reduce clarity on the necessary actions for dutyholders, especially when compared to Options </w:t>
      </w:r>
      <w:r w:rsidR="002046CC">
        <w:t>3</w:t>
      </w:r>
      <w:r w:rsidR="0028154A">
        <w:t xml:space="preserve"> </w:t>
      </w:r>
      <w:r w:rsidR="645FFC8B">
        <w:t>and</w:t>
      </w:r>
      <w:r w:rsidR="0028154A">
        <w:t xml:space="preserve"> </w:t>
      </w:r>
      <w:r w:rsidR="00432A72">
        <w:t>6</w:t>
      </w:r>
      <w:r w:rsidR="0028154A">
        <w:t>.</w:t>
      </w:r>
    </w:p>
    <w:p w14:paraId="0F4F3926" w14:textId="09BE35E2" w:rsidR="000F7DAF" w:rsidRPr="0028154A" w:rsidRDefault="000F7DAF" w:rsidP="00CA7F1E">
      <w:pPr>
        <w:numPr>
          <w:ilvl w:val="0"/>
          <w:numId w:val="1"/>
        </w:numPr>
        <w:spacing w:before="240" w:after="120"/>
        <w:jc w:val="both"/>
        <w:rPr>
          <w:bCs/>
          <w:szCs w:val="24"/>
        </w:rPr>
      </w:pPr>
      <w:proofErr w:type="gramStart"/>
      <w:r>
        <w:rPr>
          <w:bCs/>
          <w:szCs w:val="24"/>
        </w:rPr>
        <w:t>Overall</w:t>
      </w:r>
      <w:proofErr w:type="gramEnd"/>
      <w:r>
        <w:rPr>
          <w:bCs/>
          <w:szCs w:val="24"/>
        </w:rPr>
        <w:t xml:space="preserve"> </w:t>
      </w:r>
      <w:r w:rsidR="00712AFE">
        <w:rPr>
          <w:bCs/>
          <w:szCs w:val="24"/>
        </w:rPr>
        <w:t xml:space="preserve">the benefits of Option </w:t>
      </w:r>
      <w:r w:rsidR="009104AE">
        <w:rPr>
          <w:bCs/>
          <w:szCs w:val="24"/>
        </w:rPr>
        <w:t>7</w:t>
      </w:r>
      <w:r w:rsidR="00712AFE">
        <w:rPr>
          <w:bCs/>
          <w:szCs w:val="24"/>
        </w:rPr>
        <w:t xml:space="preserve"> are</w:t>
      </w:r>
      <w:r>
        <w:rPr>
          <w:bCs/>
          <w:szCs w:val="24"/>
        </w:rPr>
        <w:t xml:space="preserve"> qualitatively </w:t>
      </w:r>
      <w:r w:rsidR="00712AFE">
        <w:rPr>
          <w:bCs/>
          <w:szCs w:val="24"/>
        </w:rPr>
        <w:t xml:space="preserve">assessed as </w:t>
      </w:r>
      <w:r w:rsidR="00DC2ED2">
        <w:rPr>
          <w:bCs/>
          <w:szCs w:val="24"/>
        </w:rPr>
        <w:t xml:space="preserve">likely to fall short of those outlined for Option </w:t>
      </w:r>
      <w:r w:rsidR="00254F21">
        <w:rPr>
          <w:bCs/>
          <w:szCs w:val="24"/>
        </w:rPr>
        <w:t>6</w:t>
      </w:r>
      <w:r w:rsidR="00DC2ED2">
        <w:rPr>
          <w:bCs/>
          <w:szCs w:val="24"/>
        </w:rPr>
        <w:t>.</w:t>
      </w:r>
    </w:p>
    <w:p w14:paraId="4A57CE73" w14:textId="7B19D13D" w:rsidR="0028154A" w:rsidRPr="007C47D0" w:rsidRDefault="0028154A" w:rsidP="0028154A">
      <w:pPr>
        <w:keepNext/>
        <w:keepLines/>
        <w:spacing w:before="240" w:after="120" w:line="240" w:lineRule="auto"/>
        <w:outlineLvl w:val="2"/>
        <w:rPr>
          <w:rFonts w:eastAsia="Arial" w:cs="Arial"/>
          <w:b/>
          <w:color w:val="000000"/>
          <w:sz w:val="28"/>
          <w:szCs w:val="28"/>
        </w:rPr>
      </w:pPr>
      <w:r w:rsidRPr="007C47D0">
        <w:rPr>
          <w:rFonts w:eastAsia="Arial" w:cs="Arial"/>
          <w:b/>
          <w:color w:val="000000"/>
          <w:sz w:val="28"/>
          <w:szCs w:val="28"/>
        </w:rPr>
        <w:t>Sensitivity Analysis</w:t>
      </w:r>
      <w:r w:rsidR="00B76346">
        <w:rPr>
          <w:rFonts w:eastAsia="Arial" w:cs="Arial"/>
          <w:b/>
          <w:color w:val="000000"/>
          <w:sz w:val="28"/>
          <w:szCs w:val="28"/>
        </w:rPr>
        <w:t xml:space="preserve"> and Risks</w:t>
      </w:r>
    </w:p>
    <w:p w14:paraId="2597DBF5" w14:textId="07DAE3F9" w:rsidR="0028154A" w:rsidRPr="0028154A" w:rsidRDefault="0028154A" w:rsidP="00CA7F1E">
      <w:pPr>
        <w:numPr>
          <w:ilvl w:val="0"/>
          <w:numId w:val="1"/>
        </w:numPr>
        <w:spacing w:before="240" w:after="120"/>
        <w:jc w:val="both"/>
        <w:rPr>
          <w:bCs/>
          <w:szCs w:val="24"/>
        </w:rPr>
      </w:pPr>
      <w:r w:rsidRPr="0028154A">
        <w:rPr>
          <w:bCs/>
          <w:szCs w:val="24"/>
        </w:rPr>
        <w:t>Sensitivity analysis has been considered for this OA</w:t>
      </w:r>
      <w:r w:rsidR="00721627">
        <w:rPr>
          <w:bCs/>
          <w:szCs w:val="24"/>
        </w:rPr>
        <w:t xml:space="preserve">. </w:t>
      </w:r>
      <w:proofErr w:type="gramStart"/>
      <w:r w:rsidR="00721627">
        <w:rPr>
          <w:bCs/>
          <w:szCs w:val="24"/>
        </w:rPr>
        <w:t>H</w:t>
      </w:r>
      <w:r w:rsidRPr="0028154A">
        <w:rPr>
          <w:bCs/>
          <w:szCs w:val="24"/>
        </w:rPr>
        <w:t>owever</w:t>
      </w:r>
      <w:proofErr w:type="gramEnd"/>
      <w:r w:rsidRPr="0028154A">
        <w:rPr>
          <w:bCs/>
          <w:szCs w:val="24"/>
        </w:rPr>
        <w:t xml:space="preserve"> there are some limitations on what it is capable of demonstrating. Because the benefits are not monetised, it is not possible to identify a point at which costs outweigh benefits; the net present value only reaches zero where costs are nil. Similarly, the cost</w:t>
      </w:r>
      <w:r w:rsidR="001D434A">
        <w:rPr>
          <w:bCs/>
          <w:szCs w:val="24"/>
        </w:rPr>
        <w:t>s</w:t>
      </w:r>
      <w:r w:rsidRPr="0028154A">
        <w:rPr>
          <w:bCs/>
          <w:szCs w:val="24"/>
        </w:rPr>
        <w:t xml:space="preserve"> of the proposed options are scaled versions of one another, meaning that there are no ‘crossover’ points where the NPV of one option surpasses that of another.</w:t>
      </w:r>
    </w:p>
    <w:p w14:paraId="4DDE1919" w14:textId="73688785" w:rsidR="0028154A" w:rsidRPr="0028154A" w:rsidRDefault="0028154A" w:rsidP="00CA7F1E">
      <w:pPr>
        <w:numPr>
          <w:ilvl w:val="0"/>
          <w:numId w:val="1"/>
        </w:numPr>
        <w:spacing w:before="240" w:after="120"/>
        <w:jc w:val="both"/>
        <w:rPr>
          <w:bCs/>
          <w:szCs w:val="24"/>
        </w:rPr>
      </w:pPr>
      <w:r w:rsidRPr="0028154A">
        <w:rPr>
          <w:bCs/>
          <w:szCs w:val="24"/>
        </w:rPr>
        <w:lastRenderedPageBreak/>
        <w:t xml:space="preserve">Some illustrative sensitivity analysis has been carried out to demonstrate the inputs to the model that have the greatest impact on the outputs. This has been done using the CCUS installation costs as these have been successfully aggregated in the cost model. The costs in the CCUS model also apply to hydrogen production, </w:t>
      </w:r>
      <w:proofErr w:type="gramStart"/>
      <w:r w:rsidRPr="0028154A">
        <w:rPr>
          <w:bCs/>
          <w:szCs w:val="24"/>
        </w:rPr>
        <w:t>with the exception of</w:t>
      </w:r>
      <w:proofErr w:type="gramEnd"/>
      <w:r w:rsidRPr="0028154A">
        <w:rPr>
          <w:bCs/>
          <w:szCs w:val="24"/>
        </w:rPr>
        <w:t xml:space="preserve"> well notifications and examinations</w:t>
      </w:r>
      <w:r w:rsidR="009E3B03">
        <w:rPr>
          <w:bCs/>
          <w:szCs w:val="24"/>
        </w:rPr>
        <w:t xml:space="preserve">. </w:t>
      </w:r>
      <w:proofErr w:type="gramStart"/>
      <w:r w:rsidR="009E3B03">
        <w:rPr>
          <w:bCs/>
          <w:szCs w:val="24"/>
        </w:rPr>
        <w:t>T</w:t>
      </w:r>
      <w:r w:rsidRPr="0028154A">
        <w:rPr>
          <w:bCs/>
          <w:szCs w:val="24"/>
        </w:rPr>
        <w:t>herefore</w:t>
      </w:r>
      <w:proofErr w:type="gramEnd"/>
      <w:r w:rsidRPr="0028154A">
        <w:rPr>
          <w:bCs/>
          <w:szCs w:val="24"/>
        </w:rPr>
        <w:t xml:space="preserve"> the analysis should highlight sensitivities that also apply to hydrogen production.</w:t>
      </w:r>
    </w:p>
    <w:p w14:paraId="5C75BEC7" w14:textId="29332F26" w:rsidR="0028154A" w:rsidRPr="0028154A" w:rsidRDefault="0028154A" w:rsidP="00CA7F1E">
      <w:pPr>
        <w:numPr>
          <w:ilvl w:val="0"/>
          <w:numId w:val="1"/>
        </w:numPr>
        <w:spacing w:before="240" w:after="120"/>
        <w:jc w:val="both"/>
        <w:rPr>
          <w:bCs/>
          <w:szCs w:val="24"/>
        </w:rPr>
      </w:pPr>
      <w:r w:rsidRPr="0028154A">
        <w:rPr>
          <w:bCs/>
          <w:szCs w:val="24"/>
        </w:rPr>
        <w:t>Pipeline costs are also not yet aggregated, and the unit cost is significantly less than the cost to offshore installations. For pipelines a simple ranking of cost inputs has been provided to demonstrate which parts of PSR</w:t>
      </w:r>
      <w:r w:rsidR="00D62CBF">
        <w:rPr>
          <w:bCs/>
          <w:szCs w:val="24"/>
        </w:rPr>
        <w:t>96</w:t>
      </w:r>
      <w:r w:rsidRPr="0028154A">
        <w:rPr>
          <w:bCs/>
          <w:szCs w:val="24"/>
        </w:rPr>
        <w:t xml:space="preserve"> drive the greatest proportion of the cost.</w:t>
      </w:r>
    </w:p>
    <w:p w14:paraId="2C24CB4F" w14:textId="0C23DEC6" w:rsidR="0028154A" w:rsidRPr="0028154A" w:rsidRDefault="00627ECA" w:rsidP="0028154A">
      <w:pPr>
        <w:spacing w:before="240" w:after="120"/>
        <w:rPr>
          <w:bCs/>
          <w:szCs w:val="24"/>
          <w:u w:val="single"/>
        </w:rPr>
      </w:pPr>
      <w:r>
        <w:rPr>
          <w:bCs/>
          <w:szCs w:val="24"/>
          <w:u w:val="single"/>
        </w:rPr>
        <w:t>Sector Size -</w:t>
      </w:r>
      <w:r w:rsidR="0028154A" w:rsidRPr="0028154A">
        <w:rPr>
          <w:bCs/>
          <w:szCs w:val="24"/>
          <w:u w:val="single"/>
        </w:rPr>
        <w:t xml:space="preserve"> CCUS installations</w:t>
      </w:r>
    </w:p>
    <w:p w14:paraId="1A986893" w14:textId="77777777" w:rsidR="0028154A" w:rsidRPr="0028154A" w:rsidRDefault="0028154A" w:rsidP="00CA7F1E">
      <w:pPr>
        <w:numPr>
          <w:ilvl w:val="0"/>
          <w:numId w:val="1"/>
        </w:numPr>
        <w:spacing w:before="240" w:after="120"/>
        <w:jc w:val="both"/>
        <w:rPr>
          <w:bCs/>
          <w:szCs w:val="24"/>
        </w:rPr>
      </w:pPr>
      <w:r w:rsidRPr="0028154A">
        <w:rPr>
          <w:bCs/>
          <w:szCs w:val="24"/>
        </w:rPr>
        <w:t>A key assumption in developing the net cost estimate for the offshore CCUS industry is the number of installations expected to begin operating over the appraisal period. It has been assumed that there will be 27 installations operating during the period, based on NSTA licenses granted. This is a highly uncertain assumption and HSE intend to improve this by engaging with DESNZ and industry through consultation. Refining assumptions around industry size will be a key focus of further research and analysis.</w:t>
      </w:r>
    </w:p>
    <w:p w14:paraId="63F07ED5" w14:textId="5726034E" w:rsidR="0028154A" w:rsidRPr="0028154A" w:rsidRDefault="0028154A" w:rsidP="00CA7F1E">
      <w:pPr>
        <w:numPr>
          <w:ilvl w:val="0"/>
          <w:numId w:val="1"/>
        </w:numPr>
        <w:spacing w:before="240" w:after="120"/>
        <w:jc w:val="both"/>
        <w:rPr>
          <w:bCs/>
          <w:szCs w:val="24"/>
        </w:rPr>
      </w:pPr>
      <w:bookmarkStart w:id="21" w:name="_Ref178260275"/>
      <w:proofErr w:type="gramStart"/>
      <w:r w:rsidRPr="0028154A">
        <w:rPr>
          <w:bCs/>
          <w:szCs w:val="24"/>
        </w:rPr>
        <w:t>In order to</w:t>
      </w:r>
      <w:proofErr w:type="gramEnd"/>
      <w:r w:rsidRPr="0028154A">
        <w:rPr>
          <w:bCs/>
          <w:szCs w:val="24"/>
        </w:rPr>
        <w:t xml:space="preserve"> test this assumption EANDCB thresholds of £10m and £100m have been used for the best estimate of cost to offshore CCUS, which is estimated by the model to be £2</w:t>
      </w:r>
      <w:r w:rsidR="00472D34">
        <w:rPr>
          <w:bCs/>
          <w:szCs w:val="24"/>
        </w:rPr>
        <w:t>6</w:t>
      </w:r>
      <w:r w:rsidRPr="0028154A">
        <w:rPr>
          <w:bCs/>
          <w:szCs w:val="24"/>
        </w:rPr>
        <w:t>m. The analysis checks the number of additional or fewer installations required to move the best estimate to these thresholds.</w:t>
      </w:r>
      <w:bookmarkEnd w:id="21"/>
    </w:p>
    <w:p w14:paraId="1C3E8A65" w14:textId="3A4A68C5" w:rsidR="0028154A" w:rsidRPr="0028154A" w:rsidRDefault="0028154A" w:rsidP="00CA7F1E">
      <w:pPr>
        <w:numPr>
          <w:ilvl w:val="0"/>
          <w:numId w:val="1"/>
        </w:numPr>
        <w:spacing w:before="240" w:after="120"/>
        <w:jc w:val="both"/>
        <w:rPr>
          <w:bCs/>
          <w:szCs w:val="24"/>
        </w:rPr>
      </w:pPr>
      <w:proofErr w:type="gramStart"/>
      <w:r w:rsidRPr="0028154A">
        <w:rPr>
          <w:bCs/>
          <w:szCs w:val="24"/>
        </w:rPr>
        <w:t>In order to</w:t>
      </w:r>
      <w:proofErr w:type="gramEnd"/>
      <w:r w:rsidRPr="0028154A">
        <w:rPr>
          <w:bCs/>
          <w:szCs w:val="24"/>
        </w:rPr>
        <w:t xml:space="preserve"> reach the £10m threshold, the number of installations would need to decrease to approximately 10, representing a 61% decrease on the current assumption. </w:t>
      </w:r>
      <w:proofErr w:type="gramStart"/>
      <w:r w:rsidRPr="0028154A">
        <w:rPr>
          <w:bCs/>
          <w:szCs w:val="24"/>
        </w:rPr>
        <w:t>In order to</w:t>
      </w:r>
      <w:proofErr w:type="gramEnd"/>
      <w:r w:rsidRPr="0028154A">
        <w:rPr>
          <w:bCs/>
          <w:szCs w:val="24"/>
        </w:rPr>
        <w:t xml:space="preserve"> reach the £100m threshold, the number of installations would need to increase to approximately 10</w:t>
      </w:r>
      <w:r w:rsidR="00430B45">
        <w:rPr>
          <w:bCs/>
          <w:szCs w:val="24"/>
        </w:rPr>
        <w:t>5</w:t>
      </w:r>
      <w:r w:rsidRPr="0028154A">
        <w:rPr>
          <w:bCs/>
          <w:szCs w:val="24"/>
        </w:rPr>
        <w:t xml:space="preserve">, representing a 290% increase on the current assumption. </w:t>
      </w:r>
    </w:p>
    <w:p w14:paraId="26501671" w14:textId="5C9FFA88" w:rsidR="0028154A" w:rsidRDefault="0028154A" w:rsidP="00CA7F1E">
      <w:pPr>
        <w:numPr>
          <w:ilvl w:val="0"/>
          <w:numId w:val="1"/>
        </w:numPr>
        <w:spacing w:before="240" w:after="120"/>
        <w:jc w:val="both"/>
      </w:pPr>
      <w:r>
        <w:t xml:space="preserve">While this suggests that a large change </w:t>
      </w:r>
      <w:r w:rsidR="00627ECA">
        <w:t>i</w:t>
      </w:r>
      <w:r>
        <w:t>n the number of CCUS installations would be required to move costs out of the order of magnitude of 10’s of £millions, the high level of uncertainty means this could occur; a scenario where fewer than 10 installations are operating could be a realistic possibility.</w:t>
      </w:r>
      <w:r w:rsidR="00627ECA">
        <w:t xml:space="preserve"> As such, variation in this </w:t>
      </w:r>
      <w:r w:rsidR="006212C8">
        <w:t xml:space="preserve">figure </w:t>
      </w:r>
      <w:r w:rsidR="00162216">
        <w:t xml:space="preserve">poses a significant risk to the </w:t>
      </w:r>
      <w:r w:rsidR="00B542B7">
        <w:t>validity of the analysis.</w:t>
      </w:r>
      <w:r w:rsidR="003152C4">
        <w:t xml:space="preserve"> </w:t>
      </w:r>
      <w:r w:rsidR="001347D0">
        <w:t>HSE aim to mitigate this with f</w:t>
      </w:r>
      <w:r w:rsidR="003152C4">
        <w:t xml:space="preserve">urther communication with industry and DESNZ </w:t>
      </w:r>
      <w:r w:rsidR="00F01D3E">
        <w:t>through consultation</w:t>
      </w:r>
      <w:r w:rsidR="006801D6">
        <w:t xml:space="preserve">. This </w:t>
      </w:r>
      <w:r w:rsidR="00FE454B">
        <w:t>should ensure the IA contains the b</w:t>
      </w:r>
      <w:r w:rsidR="2153A9A1">
        <w:t>e</w:t>
      </w:r>
      <w:r w:rsidR="00FE454B">
        <w:t xml:space="preserve">st available data, but inherent uncertainty around the development of the industry means that this will </w:t>
      </w:r>
      <w:r w:rsidR="00C46FCF">
        <w:t xml:space="preserve">remain a key priority for </w:t>
      </w:r>
      <w:r w:rsidR="00147366">
        <w:t>monitoring and evaluation.</w:t>
      </w:r>
    </w:p>
    <w:p w14:paraId="39CB7FD8" w14:textId="1574B722" w:rsidR="00627ECA" w:rsidRDefault="00627ECA" w:rsidP="007C47D0">
      <w:pPr>
        <w:keepNext/>
        <w:spacing w:before="240" w:after="120"/>
        <w:rPr>
          <w:u w:val="single"/>
        </w:rPr>
      </w:pPr>
      <w:r w:rsidRPr="1CAE9988">
        <w:rPr>
          <w:u w:val="single"/>
        </w:rPr>
        <w:t xml:space="preserve">Sector Size – Hydrogen </w:t>
      </w:r>
      <w:r w:rsidR="0CAD0EFC" w:rsidRPr="1CAE9988">
        <w:rPr>
          <w:u w:val="single"/>
        </w:rPr>
        <w:t>Production and</w:t>
      </w:r>
      <w:r w:rsidRPr="1CAE9988">
        <w:rPr>
          <w:u w:val="single"/>
        </w:rPr>
        <w:t>&amp; CO</w:t>
      </w:r>
      <w:r w:rsidRPr="1CAE9988">
        <w:rPr>
          <w:u w:val="single"/>
          <w:vertAlign w:val="subscript"/>
        </w:rPr>
        <w:t>2</w:t>
      </w:r>
      <w:r w:rsidRPr="1CAE9988">
        <w:rPr>
          <w:u w:val="single"/>
        </w:rPr>
        <w:t xml:space="preserve"> Pipelines</w:t>
      </w:r>
    </w:p>
    <w:p w14:paraId="24C219F9" w14:textId="45D4DA67" w:rsidR="00147366" w:rsidRPr="00147366" w:rsidRDefault="00147366" w:rsidP="00CA7F1E">
      <w:pPr>
        <w:keepNext/>
        <w:numPr>
          <w:ilvl w:val="0"/>
          <w:numId w:val="1"/>
        </w:numPr>
        <w:spacing w:before="240" w:after="120"/>
        <w:jc w:val="both"/>
        <w:rPr>
          <w:bCs/>
          <w:szCs w:val="24"/>
        </w:rPr>
      </w:pPr>
      <w:r w:rsidRPr="007C47D0">
        <w:rPr>
          <w:bCs/>
          <w:szCs w:val="24"/>
        </w:rPr>
        <w:t>Uncertainty around</w:t>
      </w:r>
      <w:r>
        <w:rPr>
          <w:bCs/>
          <w:szCs w:val="24"/>
        </w:rPr>
        <w:t xml:space="preserve"> the development of the sector </w:t>
      </w:r>
      <w:r w:rsidR="00C45B9D">
        <w:rPr>
          <w:bCs/>
          <w:szCs w:val="24"/>
        </w:rPr>
        <w:t xml:space="preserve">has prevented aggregation of costs for both </w:t>
      </w:r>
      <w:r w:rsidR="009D1AA5">
        <w:rPr>
          <w:bCs/>
          <w:szCs w:val="24"/>
        </w:rPr>
        <w:t>offshore hydrogen production and onshore CO</w:t>
      </w:r>
      <w:r w:rsidR="009D1AA5">
        <w:rPr>
          <w:bCs/>
          <w:szCs w:val="24"/>
          <w:vertAlign w:val="subscript"/>
        </w:rPr>
        <w:t xml:space="preserve">2 </w:t>
      </w:r>
      <w:r w:rsidR="009D1AA5">
        <w:rPr>
          <w:bCs/>
          <w:szCs w:val="24"/>
        </w:rPr>
        <w:t xml:space="preserve">pipelines. </w:t>
      </w:r>
      <w:r w:rsidR="008C31D7">
        <w:rPr>
          <w:bCs/>
          <w:szCs w:val="24"/>
        </w:rPr>
        <w:t xml:space="preserve">This also </w:t>
      </w:r>
      <w:r w:rsidR="00E753E9">
        <w:rPr>
          <w:bCs/>
          <w:szCs w:val="24"/>
        </w:rPr>
        <w:t xml:space="preserve">poses a risk to the </w:t>
      </w:r>
      <w:r w:rsidR="00B76346">
        <w:rPr>
          <w:bCs/>
          <w:szCs w:val="24"/>
        </w:rPr>
        <w:t>completeness</w:t>
      </w:r>
      <w:r w:rsidR="009F290B">
        <w:rPr>
          <w:bCs/>
          <w:szCs w:val="24"/>
        </w:rPr>
        <w:t xml:space="preserve"> of the analysis</w:t>
      </w:r>
      <w:r w:rsidR="00200F49">
        <w:rPr>
          <w:bCs/>
          <w:szCs w:val="24"/>
        </w:rPr>
        <w:t xml:space="preserve">. As with </w:t>
      </w:r>
      <w:r w:rsidR="00CB77EF">
        <w:rPr>
          <w:bCs/>
          <w:szCs w:val="24"/>
        </w:rPr>
        <w:t xml:space="preserve">offshore CCUS, HSE aim to mitigate this with </w:t>
      </w:r>
      <w:r w:rsidR="00CB77EF">
        <w:rPr>
          <w:bCs/>
          <w:szCs w:val="24"/>
        </w:rPr>
        <w:lastRenderedPageBreak/>
        <w:t>further communication with industry and DESNZ through consultation, as well as through ongoing monitoring and evaluation.</w:t>
      </w:r>
    </w:p>
    <w:p w14:paraId="6979A70B" w14:textId="77777777" w:rsidR="0028154A" w:rsidRPr="0028154A" w:rsidRDefault="0028154A" w:rsidP="007C47D0">
      <w:pPr>
        <w:keepNext/>
        <w:spacing w:before="240" w:after="120"/>
        <w:rPr>
          <w:bCs/>
          <w:szCs w:val="24"/>
          <w:u w:val="single"/>
        </w:rPr>
      </w:pPr>
      <w:r w:rsidRPr="0028154A">
        <w:rPr>
          <w:bCs/>
          <w:szCs w:val="24"/>
          <w:u w:val="single"/>
        </w:rPr>
        <w:t>Input Costs – Offshore</w:t>
      </w:r>
    </w:p>
    <w:p w14:paraId="7B0A4176" w14:textId="77CF6DA9" w:rsidR="0028154A" w:rsidRPr="0028154A" w:rsidRDefault="0028154A" w:rsidP="00CA7F1E">
      <w:pPr>
        <w:keepNext/>
        <w:numPr>
          <w:ilvl w:val="0"/>
          <w:numId w:val="1"/>
        </w:numPr>
        <w:spacing w:before="240" w:after="120"/>
        <w:jc w:val="both"/>
        <w:rPr>
          <w:bCs/>
          <w:szCs w:val="24"/>
        </w:rPr>
      </w:pPr>
      <w:r w:rsidRPr="0028154A">
        <w:rPr>
          <w:bCs/>
          <w:szCs w:val="24"/>
        </w:rPr>
        <w:t>The following table outlines the weighting of the costs of each requirement in SCR</w:t>
      </w:r>
      <w:r w:rsidR="00D62CBF">
        <w:rPr>
          <w:bCs/>
          <w:szCs w:val="24"/>
        </w:rPr>
        <w:t>15</w:t>
      </w:r>
      <w:r w:rsidRPr="0028154A">
        <w:rPr>
          <w:bCs/>
          <w:szCs w:val="24"/>
        </w:rPr>
        <w:t>, MAR</w:t>
      </w:r>
      <w:r w:rsidR="00D62CBF">
        <w:rPr>
          <w:bCs/>
          <w:szCs w:val="24"/>
        </w:rPr>
        <w:t>95</w:t>
      </w:r>
      <w:r w:rsidRPr="0028154A">
        <w:rPr>
          <w:bCs/>
          <w:szCs w:val="24"/>
        </w:rPr>
        <w:t xml:space="preserve"> and DCR</w:t>
      </w:r>
      <w:r w:rsidR="00D62CBF">
        <w:rPr>
          <w:bCs/>
          <w:szCs w:val="24"/>
        </w:rPr>
        <w:t>96</w:t>
      </w:r>
      <w:r w:rsidR="00123A1C">
        <w:rPr>
          <w:bCs/>
          <w:szCs w:val="24"/>
        </w:rPr>
        <w:t xml:space="preserve"> using best estimate </w:t>
      </w:r>
      <w:r w:rsidR="00324FAD">
        <w:rPr>
          <w:bCs/>
          <w:szCs w:val="24"/>
        </w:rPr>
        <w:t>figures</w:t>
      </w:r>
      <w:r w:rsidRPr="0028154A">
        <w:rPr>
          <w:bCs/>
          <w:szCs w:val="24"/>
        </w:rPr>
        <w:t>. The cost areas that make up the greatest proportions of overall cost are the inputs that the model outputs are most sensitive to. There is some uncertainty around the quality of these estimates, particularly those that draw on the 2012 baseline IA. These estimates will be reviewed in further analysis and</w:t>
      </w:r>
      <w:r w:rsidR="00551120">
        <w:rPr>
          <w:bCs/>
          <w:szCs w:val="24"/>
        </w:rPr>
        <w:t xml:space="preserve"> </w:t>
      </w:r>
      <w:r w:rsidRPr="0028154A">
        <w:rPr>
          <w:bCs/>
          <w:szCs w:val="24"/>
        </w:rPr>
        <w:t>the table below can be used to prioritise costs for review based on their estimated impact.</w:t>
      </w:r>
    </w:p>
    <w:tbl>
      <w:tblPr>
        <w:tblStyle w:val="TableGrid1"/>
        <w:tblW w:w="0" w:type="auto"/>
        <w:tblInd w:w="607" w:type="dxa"/>
        <w:tblLayout w:type="fixed"/>
        <w:tblLook w:val="04A0" w:firstRow="1" w:lastRow="0" w:firstColumn="1" w:lastColumn="0" w:noHBand="0" w:noVBand="1"/>
      </w:tblPr>
      <w:tblGrid>
        <w:gridCol w:w="3074"/>
        <w:gridCol w:w="2693"/>
        <w:gridCol w:w="1134"/>
        <w:gridCol w:w="1418"/>
      </w:tblGrid>
      <w:tr w:rsidR="00305EF9" w:rsidRPr="0028154A" w14:paraId="525B72D8" w14:textId="77777777" w:rsidTr="0061324E">
        <w:tc>
          <w:tcPr>
            <w:tcW w:w="3074" w:type="dxa"/>
          </w:tcPr>
          <w:p w14:paraId="537E3E5B" w14:textId="77777777" w:rsidR="0028154A" w:rsidRPr="0028154A" w:rsidRDefault="0028154A" w:rsidP="005A72E0">
            <w:pPr>
              <w:keepNext/>
              <w:keepLines/>
              <w:rPr>
                <w:b/>
                <w:bCs/>
                <w:szCs w:val="24"/>
              </w:rPr>
            </w:pPr>
            <w:bookmarkStart w:id="22" w:name="_Hlk178263953"/>
          </w:p>
        </w:tc>
        <w:tc>
          <w:tcPr>
            <w:tcW w:w="2693" w:type="dxa"/>
          </w:tcPr>
          <w:p w14:paraId="2D2B17E1" w14:textId="77777777" w:rsidR="0028154A" w:rsidRPr="0028154A" w:rsidRDefault="0028154A" w:rsidP="005A72E0">
            <w:pPr>
              <w:keepNext/>
              <w:keepLines/>
              <w:rPr>
                <w:b/>
                <w:bCs/>
                <w:szCs w:val="24"/>
              </w:rPr>
            </w:pPr>
            <w:r w:rsidRPr="0028154A">
              <w:rPr>
                <w:rFonts w:eastAsia="Times New Roman"/>
                <w:b/>
                <w:bCs/>
                <w:color w:val="000000"/>
                <w:szCs w:val="24"/>
              </w:rPr>
              <w:t>Cost per installation</w:t>
            </w:r>
          </w:p>
        </w:tc>
        <w:tc>
          <w:tcPr>
            <w:tcW w:w="2552" w:type="dxa"/>
            <w:gridSpan w:val="2"/>
          </w:tcPr>
          <w:p w14:paraId="693FDF03" w14:textId="77777777" w:rsidR="0028154A" w:rsidRPr="0028154A" w:rsidRDefault="0028154A" w:rsidP="005A72E0">
            <w:pPr>
              <w:keepNext/>
              <w:keepLines/>
              <w:jc w:val="center"/>
              <w:rPr>
                <w:rFonts w:eastAsia="Times New Roman"/>
                <w:b/>
                <w:bCs/>
                <w:szCs w:val="24"/>
              </w:rPr>
            </w:pPr>
            <w:r w:rsidRPr="0028154A">
              <w:rPr>
                <w:rFonts w:eastAsia="Times New Roman"/>
                <w:b/>
                <w:bCs/>
                <w:szCs w:val="24"/>
              </w:rPr>
              <w:t>Proportion of total</w:t>
            </w:r>
          </w:p>
        </w:tc>
      </w:tr>
      <w:tr w:rsidR="0028154A" w:rsidRPr="0028154A" w14:paraId="3687467C" w14:textId="77777777" w:rsidTr="007C47D0">
        <w:trPr>
          <w:trHeight w:val="285"/>
        </w:trPr>
        <w:tc>
          <w:tcPr>
            <w:tcW w:w="3074" w:type="dxa"/>
            <w:noWrap/>
            <w:hideMark/>
          </w:tcPr>
          <w:p w14:paraId="1951B2DF" w14:textId="77777777" w:rsidR="0028154A" w:rsidRPr="0028154A" w:rsidRDefault="0028154A" w:rsidP="005A72E0">
            <w:pPr>
              <w:keepNext/>
              <w:keepLines/>
              <w:rPr>
                <w:rFonts w:eastAsia="Times New Roman"/>
                <w:b/>
                <w:bCs/>
                <w:szCs w:val="24"/>
              </w:rPr>
            </w:pPr>
            <w:r w:rsidRPr="0028154A">
              <w:rPr>
                <w:rFonts w:eastAsia="Times New Roman"/>
                <w:b/>
                <w:bCs/>
                <w:szCs w:val="24"/>
              </w:rPr>
              <w:t>Requirement</w:t>
            </w:r>
          </w:p>
        </w:tc>
        <w:tc>
          <w:tcPr>
            <w:tcW w:w="2693" w:type="dxa"/>
            <w:noWrap/>
            <w:hideMark/>
          </w:tcPr>
          <w:p w14:paraId="6E47C5CA" w14:textId="77777777" w:rsidR="0028154A" w:rsidRPr="0028154A" w:rsidRDefault="0028154A" w:rsidP="005A72E0">
            <w:pPr>
              <w:keepNext/>
              <w:keepLines/>
              <w:rPr>
                <w:rFonts w:eastAsia="Times New Roman"/>
                <w:b/>
                <w:bCs/>
                <w:color w:val="000000"/>
                <w:szCs w:val="24"/>
              </w:rPr>
            </w:pPr>
            <w:r w:rsidRPr="0028154A">
              <w:rPr>
                <w:rFonts w:eastAsia="Times New Roman"/>
                <w:b/>
                <w:bCs/>
                <w:color w:val="000000"/>
                <w:szCs w:val="24"/>
              </w:rPr>
              <w:t>EANDCB (£)</w:t>
            </w:r>
          </w:p>
        </w:tc>
        <w:tc>
          <w:tcPr>
            <w:tcW w:w="1134" w:type="dxa"/>
            <w:noWrap/>
            <w:hideMark/>
          </w:tcPr>
          <w:p w14:paraId="527BB9BD" w14:textId="77777777" w:rsidR="0028154A" w:rsidRPr="0028154A" w:rsidRDefault="0028154A" w:rsidP="005A72E0">
            <w:pPr>
              <w:keepNext/>
              <w:keepLines/>
              <w:jc w:val="center"/>
              <w:rPr>
                <w:rFonts w:eastAsia="Times New Roman"/>
                <w:b/>
                <w:bCs/>
                <w:i/>
                <w:iCs/>
                <w:szCs w:val="24"/>
              </w:rPr>
            </w:pPr>
            <w:r w:rsidRPr="0028154A">
              <w:rPr>
                <w:rFonts w:eastAsia="Times New Roman"/>
                <w:b/>
                <w:bCs/>
                <w:color w:val="000000"/>
                <w:szCs w:val="24"/>
              </w:rPr>
              <w:t>CCUS</w:t>
            </w:r>
          </w:p>
        </w:tc>
        <w:tc>
          <w:tcPr>
            <w:tcW w:w="1418" w:type="dxa"/>
          </w:tcPr>
          <w:p w14:paraId="6F915C1A" w14:textId="77777777" w:rsidR="0028154A" w:rsidRPr="0028154A" w:rsidRDefault="0028154A" w:rsidP="005A72E0">
            <w:pPr>
              <w:keepNext/>
              <w:keepLines/>
              <w:rPr>
                <w:rFonts w:eastAsia="Times New Roman"/>
                <w:b/>
                <w:bCs/>
                <w:szCs w:val="24"/>
              </w:rPr>
            </w:pPr>
            <w:r w:rsidRPr="0028154A">
              <w:rPr>
                <w:rFonts w:eastAsia="Times New Roman"/>
                <w:b/>
                <w:bCs/>
                <w:color w:val="000000"/>
                <w:szCs w:val="24"/>
              </w:rPr>
              <w:t>Hydrogen</w:t>
            </w:r>
          </w:p>
        </w:tc>
      </w:tr>
      <w:tr w:rsidR="0028154A" w:rsidRPr="0028154A" w14:paraId="23B60525" w14:textId="77777777" w:rsidTr="007C47D0">
        <w:trPr>
          <w:trHeight w:val="285"/>
        </w:trPr>
        <w:tc>
          <w:tcPr>
            <w:tcW w:w="3074" w:type="dxa"/>
            <w:noWrap/>
            <w:hideMark/>
          </w:tcPr>
          <w:p w14:paraId="7EA7D264" w14:textId="77777777" w:rsidR="0028154A" w:rsidRPr="0028154A" w:rsidRDefault="0028154A" w:rsidP="005A72E0">
            <w:pPr>
              <w:keepNext/>
              <w:keepLines/>
              <w:rPr>
                <w:rFonts w:eastAsia="Times New Roman"/>
                <w:i/>
                <w:iCs/>
                <w:szCs w:val="24"/>
              </w:rPr>
            </w:pPr>
            <w:r w:rsidRPr="0028154A">
              <w:rPr>
                <w:rFonts w:eastAsia="Times New Roman"/>
                <w:color w:val="000000"/>
                <w:szCs w:val="24"/>
              </w:rPr>
              <w:t>Verification</w:t>
            </w:r>
          </w:p>
        </w:tc>
        <w:tc>
          <w:tcPr>
            <w:tcW w:w="2693" w:type="dxa"/>
            <w:noWrap/>
            <w:hideMark/>
          </w:tcPr>
          <w:p w14:paraId="073F543F" w14:textId="106D0467" w:rsidR="0028154A" w:rsidRPr="0028154A" w:rsidRDefault="0028154A" w:rsidP="005A72E0">
            <w:pPr>
              <w:keepNext/>
              <w:keepLines/>
              <w:rPr>
                <w:rFonts w:eastAsia="Times New Roman"/>
                <w:color w:val="000000"/>
                <w:szCs w:val="24"/>
              </w:rPr>
            </w:pPr>
            <w:r w:rsidRPr="0028154A">
              <w:rPr>
                <w:rFonts w:eastAsia="Times New Roman"/>
                <w:szCs w:val="24"/>
              </w:rPr>
              <w:t xml:space="preserve"> £5</w:t>
            </w:r>
            <w:r w:rsidR="00F41A3E">
              <w:rPr>
                <w:rFonts w:eastAsia="Times New Roman"/>
                <w:szCs w:val="24"/>
              </w:rPr>
              <w:t>5</w:t>
            </w:r>
            <w:r w:rsidRPr="0028154A">
              <w:rPr>
                <w:rFonts w:eastAsia="Times New Roman"/>
                <w:szCs w:val="24"/>
              </w:rPr>
              <w:t xml:space="preserve">0,000 </w:t>
            </w:r>
          </w:p>
        </w:tc>
        <w:tc>
          <w:tcPr>
            <w:tcW w:w="1134" w:type="dxa"/>
            <w:noWrap/>
            <w:hideMark/>
          </w:tcPr>
          <w:p w14:paraId="238FA990" w14:textId="77777777" w:rsidR="0028154A" w:rsidRPr="0028154A" w:rsidRDefault="0028154A" w:rsidP="005A72E0">
            <w:pPr>
              <w:keepNext/>
              <w:keepLines/>
              <w:rPr>
                <w:rFonts w:eastAsia="Times New Roman"/>
                <w:color w:val="000000"/>
                <w:szCs w:val="24"/>
              </w:rPr>
            </w:pPr>
            <w:r w:rsidRPr="0028154A">
              <w:rPr>
                <w:rFonts w:eastAsia="Times New Roman"/>
                <w:szCs w:val="24"/>
              </w:rPr>
              <w:t>34%</w:t>
            </w:r>
          </w:p>
        </w:tc>
        <w:tc>
          <w:tcPr>
            <w:tcW w:w="1418" w:type="dxa"/>
            <w:noWrap/>
            <w:hideMark/>
          </w:tcPr>
          <w:p w14:paraId="5968C763" w14:textId="77777777" w:rsidR="0028154A" w:rsidRPr="0028154A" w:rsidRDefault="0028154A" w:rsidP="005A72E0">
            <w:pPr>
              <w:keepNext/>
              <w:keepLines/>
              <w:rPr>
                <w:rFonts w:eastAsia="Times New Roman"/>
                <w:color w:val="000000"/>
                <w:szCs w:val="24"/>
              </w:rPr>
            </w:pPr>
            <w:r w:rsidRPr="0028154A">
              <w:rPr>
                <w:rFonts w:eastAsia="Times New Roman"/>
                <w:szCs w:val="24"/>
              </w:rPr>
              <w:t>41%</w:t>
            </w:r>
          </w:p>
        </w:tc>
      </w:tr>
      <w:tr w:rsidR="0028154A" w:rsidRPr="0028154A" w14:paraId="5E287ECE" w14:textId="77777777" w:rsidTr="007C47D0">
        <w:trPr>
          <w:trHeight w:val="285"/>
        </w:trPr>
        <w:tc>
          <w:tcPr>
            <w:tcW w:w="3074" w:type="dxa"/>
            <w:noWrap/>
            <w:hideMark/>
          </w:tcPr>
          <w:p w14:paraId="18F030AA" w14:textId="77777777" w:rsidR="0028154A" w:rsidRPr="0028154A" w:rsidRDefault="0028154A" w:rsidP="005A72E0">
            <w:pPr>
              <w:keepNext/>
              <w:keepLines/>
              <w:rPr>
                <w:rFonts w:eastAsia="Times New Roman"/>
                <w:color w:val="000000"/>
                <w:szCs w:val="24"/>
              </w:rPr>
            </w:pPr>
            <w:r w:rsidRPr="0028154A">
              <w:rPr>
                <w:rFonts w:eastAsia="Times New Roman"/>
                <w:szCs w:val="24"/>
              </w:rPr>
              <w:t>Well Notifications</w:t>
            </w:r>
          </w:p>
        </w:tc>
        <w:tc>
          <w:tcPr>
            <w:tcW w:w="2693" w:type="dxa"/>
            <w:noWrap/>
            <w:hideMark/>
          </w:tcPr>
          <w:p w14:paraId="5187A387" w14:textId="77777777" w:rsidR="0028154A" w:rsidRPr="0028154A" w:rsidRDefault="0028154A" w:rsidP="005A72E0">
            <w:pPr>
              <w:keepNext/>
              <w:keepLines/>
              <w:rPr>
                <w:rFonts w:eastAsia="Times New Roman"/>
                <w:szCs w:val="24"/>
              </w:rPr>
            </w:pPr>
            <w:r w:rsidRPr="0028154A">
              <w:rPr>
                <w:rFonts w:eastAsia="Times New Roman"/>
                <w:szCs w:val="24"/>
              </w:rPr>
              <w:t xml:space="preserve"> £210,000 **</w:t>
            </w:r>
          </w:p>
        </w:tc>
        <w:tc>
          <w:tcPr>
            <w:tcW w:w="1134" w:type="dxa"/>
            <w:noWrap/>
            <w:hideMark/>
          </w:tcPr>
          <w:p w14:paraId="5B994D9B" w14:textId="77777777" w:rsidR="0028154A" w:rsidRPr="0028154A" w:rsidRDefault="0028154A" w:rsidP="005A72E0">
            <w:pPr>
              <w:keepNext/>
              <w:keepLines/>
              <w:rPr>
                <w:rFonts w:eastAsia="Times New Roman"/>
                <w:szCs w:val="24"/>
              </w:rPr>
            </w:pPr>
            <w:r w:rsidRPr="0028154A">
              <w:rPr>
                <w:rFonts w:eastAsia="Times New Roman"/>
                <w:szCs w:val="24"/>
              </w:rPr>
              <w:t>13%</w:t>
            </w:r>
          </w:p>
        </w:tc>
        <w:tc>
          <w:tcPr>
            <w:tcW w:w="1418" w:type="dxa"/>
            <w:noWrap/>
            <w:hideMark/>
          </w:tcPr>
          <w:p w14:paraId="23430BCD" w14:textId="77777777" w:rsidR="0028154A" w:rsidRPr="0028154A" w:rsidRDefault="0028154A" w:rsidP="005A72E0">
            <w:pPr>
              <w:keepNext/>
              <w:keepLines/>
              <w:rPr>
                <w:rFonts w:eastAsia="Times New Roman"/>
                <w:szCs w:val="24"/>
              </w:rPr>
            </w:pPr>
            <w:r w:rsidRPr="0028154A">
              <w:rPr>
                <w:rFonts w:eastAsia="Times New Roman"/>
                <w:szCs w:val="24"/>
              </w:rPr>
              <w:t>0%</w:t>
            </w:r>
          </w:p>
        </w:tc>
      </w:tr>
      <w:bookmarkEnd w:id="22"/>
      <w:tr w:rsidR="0028154A" w:rsidRPr="0028154A" w14:paraId="0D56AE2E" w14:textId="77777777" w:rsidTr="007C47D0">
        <w:trPr>
          <w:trHeight w:val="285"/>
        </w:trPr>
        <w:tc>
          <w:tcPr>
            <w:tcW w:w="3074" w:type="dxa"/>
            <w:noWrap/>
          </w:tcPr>
          <w:p w14:paraId="52957BAD" w14:textId="77777777" w:rsidR="0028154A" w:rsidRPr="0028154A" w:rsidRDefault="0028154A" w:rsidP="005A72E0">
            <w:pPr>
              <w:keepNext/>
              <w:keepLines/>
              <w:rPr>
                <w:rFonts w:eastAsia="Times New Roman"/>
                <w:szCs w:val="24"/>
              </w:rPr>
            </w:pPr>
            <w:r w:rsidRPr="0028154A">
              <w:rPr>
                <w:rFonts w:eastAsia="Times New Roman"/>
                <w:szCs w:val="24"/>
              </w:rPr>
              <w:t>Appointing Operators</w:t>
            </w:r>
          </w:p>
        </w:tc>
        <w:tc>
          <w:tcPr>
            <w:tcW w:w="2693" w:type="dxa"/>
            <w:noWrap/>
          </w:tcPr>
          <w:p w14:paraId="4BB689B1" w14:textId="7F1B1724" w:rsidR="0028154A" w:rsidRPr="0028154A" w:rsidRDefault="0028154A" w:rsidP="005A72E0">
            <w:pPr>
              <w:keepNext/>
              <w:keepLines/>
              <w:rPr>
                <w:rFonts w:eastAsia="Times New Roman"/>
                <w:szCs w:val="24"/>
              </w:rPr>
            </w:pPr>
            <w:r w:rsidRPr="0028154A">
              <w:rPr>
                <w:rFonts w:eastAsia="Times New Roman"/>
                <w:szCs w:val="24"/>
              </w:rPr>
              <w:t xml:space="preserve"> £200,000 </w:t>
            </w:r>
          </w:p>
        </w:tc>
        <w:tc>
          <w:tcPr>
            <w:tcW w:w="1134" w:type="dxa"/>
            <w:noWrap/>
          </w:tcPr>
          <w:p w14:paraId="34CD3015" w14:textId="190596D2" w:rsidR="0028154A" w:rsidRPr="0028154A" w:rsidRDefault="0028154A" w:rsidP="005A72E0">
            <w:pPr>
              <w:keepNext/>
              <w:keepLines/>
              <w:rPr>
                <w:rFonts w:eastAsia="Times New Roman"/>
                <w:szCs w:val="24"/>
              </w:rPr>
            </w:pPr>
            <w:r w:rsidRPr="0028154A">
              <w:rPr>
                <w:rFonts w:eastAsia="Times New Roman"/>
                <w:szCs w:val="24"/>
              </w:rPr>
              <w:t>1</w:t>
            </w:r>
            <w:r w:rsidR="003A4B49">
              <w:rPr>
                <w:rFonts w:eastAsia="Times New Roman"/>
                <w:szCs w:val="24"/>
              </w:rPr>
              <w:t>3</w:t>
            </w:r>
            <w:r w:rsidRPr="0028154A">
              <w:rPr>
                <w:rFonts w:eastAsia="Times New Roman"/>
                <w:szCs w:val="24"/>
              </w:rPr>
              <w:t>%</w:t>
            </w:r>
          </w:p>
        </w:tc>
        <w:tc>
          <w:tcPr>
            <w:tcW w:w="1418" w:type="dxa"/>
            <w:noWrap/>
          </w:tcPr>
          <w:p w14:paraId="3EBA54DE" w14:textId="77777777" w:rsidR="0028154A" w:rsidRPr="0028154A" w:rsidRDefault="0028154A" w:rsidP="005A72E0">
            <w:pPr>
              <w:keepNext/>
              <w:keepLines/>
              <w:rPr>
                <w:rFonts w:eastAsia="Times New Roman"/>
                <w:szCs w:val="24"/>
              </w:rPr>
            </w:pPr>
            <w:r w:rsidRPr="0028154A">
              <w:rPr>
                <w:rFonts w:eastAsia="Times New Roman"/>
                <w:szCs w:val="24"/>
              </w:rPr>
              <w:t>15%</w:t>
            </w:r>
          </w:p>
        </w:tc>
      </w:tr>
      <w:tr w:rsidR="0028154A" w:rsidRPr="0028154A" w14:paraId="222AF422" w14:textId="77777777" w:rsidTr="007C47D0">
        <w:trPr>
          <w:trHeight w:val="285"/>
        </w:trPr>
        <w:tc>
          <w:tcPr>
            <w:tcW w:w="3074" w:type="dxa"/>
            <w:noWrap/>
            <w:hideMark/>
          </w:tcPr>
          <w:p w14:paraId="5164D2E8" w14:textId="1A0D3BA8" w:rsidR="0028154A" w:rsidRPr="0028154A" w:rsidRDefault="0028154A" w:rsidP="005A72E0">
            <w:pPr>
              <w:keepNext/>
              <w:keepLines/>
              <w:rPr>
                <w:rFonts w:eastAsia="Times New Roman"/>
                <w:szCs w:val="24"/>
              </w:rPr>
            </w:pPr>
            <w:r w:rsidRPr="0028154A">
              <w:rPr>
                <w:rFonts w:eastAsia="Times New Roman"/>
                <w:szCs w:val="24"/>
              </w:rPr>
              <w:t>Heli</w:t>
            </w:r>
            <w:r w:rsidR="0061324E">
              <w:rPr>
                <w:rFonts w:eastAsia="Times New Roman"/>
                <w:szCs w:val="24"/>
              </w:rPr>
              <w:t>copter</w:t>
            </w:r>
            <w:r w:rsidRPr="0028154A">
              <w:rPr>
                <w:rFonts w:eastAsia="Times New Roman"/>
                <w:szCs w:val="24"/>
              </w:rPr>
              <w:t xml:space="preserve"> Landing Officers</w:t>
            </w:r>
          </w:p>
        </w:tc>
        <w:tc>
          <w:tcPr>
            <w:tcW w:w="2693" w:type="dxa"/>
            <w:noWrap/>
            <w:hideMark/>
          </w:tcPr>
          <w:p w14:paraId="23FBF0F7" w14:textId="77777777" w:rsidR="0028154A" w:rsidRPr="0028154A" w:rsidRDefault="0028154A" w:rsidP="005A72E0">
            <w:pPr>
              <w:keepNext/>
              <w:keepLines/>
              <w:rPr>
                <w:rFonts w:eastAsia="Times New Roman"/>
                <w:szCs w:val="24"/>
              </w:rPr>
            </w:pPr>
            <w:r w:rsidRPr="0028154A">
              <w:rPr>
                <w:rFonts w:eastAsia="Times New Roman"/>
                <w:szCs w:val="24"/>
              </w:rPr>
              <w:t xml:space="preserve"> £180,000 </w:t>
            </w:r>
          </w:p>
        </w:tc>
        <w:tc>
          <w:tcPr>
            <w:tcW w:w="1134" w:type="dxa"/>
            <w:noWrap/>
            <w:hideMark/>
          </w:tcPr>
          <w:p w14:paraId="1357EFAD" w14:textId="77777777" w:rsidR="0028154A" w:rsidRPr="0028154A" w:rsidRDefault="0028154A" w:rsidP="005A72E0">
            <w:pPr>
              <w:keepNext/>
              <w:keepLines/>
              <w:rPr>
                <w:rFonts w:eastAsia="Times New Roman"/>
                <w:szCs w:val="24"/>
              </w:rPr>
            </w:pPr>
            <w:r w:rsidRPr="0028154A">
              <w:rPr>
                <w:rFonts w:eastAsia="Times New Roman"/>
                <w:szCs w:val="24"/>
              </w:rPr>
              <w:t>11%</w:t>
            </w:r>
          </w:p>
        </w:tc>
        <w:tc>
          <w:tcPr>
            <w:tcW w:w="1418" w:type="dxa"/>
            <w:noWrap/>
            <w:hideMark/>
          </w:tcPr>
          <w:p w14:paraId="2F927F50" w14:textId="77777777" w:rsidR="0028154A" w:rsidRPr="0028154A" w:rsidRDefault="0028154A" w:rsidP="005A72E0">
            <w:pPr>
              <w:keepNext/>
              <w:keepLines/>
              <w:rPr>
                <w:rFonts w:eastAsia="Times New Roman"/>
                <w:szCs w:val="24"/>
              </w:rPr>
            </w:pPr>
            <w:r w:rsidRPr="0028154A">
              <w:rPr>
                <w:rFonts w:eastAsia="Times New Roman"/>
                <w:szCs w:val="24"/>
              </w:rPr>
              <w:t>13%</w:t>
            </w:r>
          </w:p>
        </w:tc>
      </w:tr>
      <w:tr w:rsidR="0028154A" w:rsidRPr="0028154A" w14:paraId="49EAD410" w14:textId="77777777" w:rsidTr="007C47D0">
        <w:trPr>
          <w:trHeight w:val="285"/>
        </w:trPr>
        <w:tc>
          <w:tcPr>
            <w:tcW w:w="3074" w:type="dxa"/>
            <w:noWrap/>
            <w:hideMark/>
          </w:tcPr>
          <w:p w14:paraId="64E48E8C" w14:textId="22716B8E" w:rsidR="0028154A" w:rsidRPr="0028154A" w:rsidRDefault="0028154A" w:rsidP="005A72E0">
            <w:pPr>
              <w:keepNext/>
              <w:keepLines/>
              <w:rPr>
                <w:rFonts w:eastAsia="Times New Roman"/>
                <w:szCs w:val="24"/>
              </w:rPr>
            </w:pPr>
            <w:r w:rsidRPr="0028154A">
              <w:rPr>
                <w:rFonts w:eastAsia="Times New Roman"/>
                <w:szCs w:val="24"/>
              </w:rPr>
              <w:t>Procedures in Writing</w:t>
            </w:r>
          </w:p>
        </w:tc>
        <w:tc>
          <w:tcPr>
            <w:tcW w:w="2693" w:type="dxa"/>
            <w:noWrap/>
            <w:hideMark/>
          </w:tcPr>
          <w:p w14:paraId="2F3D74AA" w14:textId="77777777" w:rsidR="0028154A" w:rsidRPr="0028154A" w:rsidRDefault="0028154A" w:rsidP="005A72E0">
            <w:pPr>
              <w:keepNext/>
              <w:keepLines/>
              <w:rPr>
                <w:rFonts w:eastAsia="Times New Roman"/>
                <w:szCs w:val="24"/>
              </w:rPr>
            </w:pPr>
            <w:r w:rsidRPr="0028154A">
              <w:rPr>
                <w:rFonts w:eastAsia="Times New Roman"/>
                <w:szCs w:val="24"/>
              </w:rPr>
              <w:t xml:space="preserve"> £150,000 </w:t>
            </w:r>
          </w:p>
        </w:tc>
        <w:tc>
          <w:tcPr>
            <w:tcW w:w="1134" w:type="dxa"/>
            <w:noWrap/>
            <w:hideMark/>
          </w:tcPr>
          <w:p w14:paraId="63B1757F" w14:textId="77777777" w:rsidR="0028154A" w:rsidRPr="0028154A" w:rsidRDefault="0028154A" w:rsidP="005A72E0">
            <w:pPr>
              <w:keepNext/>
              <w:keepLines/>
              <w:rPr>
                <w:rFonts w:eastAsia="Times New Roman"/>
                <w:szCs w:val="24"/>
              </w:rPr>
            </w:pPr>
            <w:r w:rsidRPr="0028154A">
              <w:rPr>
                <w:rFonts w:eastAsia="Times New Roman"/>
                <w:szCs w:val="24"/>
              </w:rPr>
              <w:t>10%</w:t>
            </w:r>
          </w:p>
        </w:tc>
        <w:tc>
          <w:tcPr>
            <w:tcW w:w="1418" w:type="dxa"/>
            <w:noWrap/>
            <w:hideMark/>
          </w:tcPr>
          <w:p w14:paraId="29F57DE0" w14:textId="0677C80A" w:rsidR="0028154A" w:rsidRPr="0028154A" w:rsidRDefault="0028154A" w:rsidP="005A72E0">
            <w:pPr>
              <w:keepNext/>
              <w:keepLines/>
              <w:rPr>
                <w:rFonts w:eastAsia="Times New Roman"/>
                <w:szCs w:val="24"/>
              </w:rPr>
            </w:pPr>
            <w:r w:rsidRPr="0028154A">
              <w:rPr>
                <w:rFonts w:eastAsia="Times New Roman"/>
                <w:szCs w:val="24"/>
              </w:rPr>
              <w:t>1</w:t>
            </w:r>
            <w:r w:rsidR="003A4B49">
              <w:rPr>
                <w:rFonts w:eastAsia="Times New Roman"/>
                <w:szCs w:val="24"/>
              </w:rPr>
              <w:t>2</w:t>
            </w:r>
            <w:r w:rsidRPr="0028154A">
              <w:rPr>
                <w:rFonts w:eastAsia="Times New Roman"/>
                <w:szCs w:val="24"/>
              </w:rPr>
              <w:t>%</w:t>
            </w:r>
          </w:p>
        </w:tc>
      </w:tr>
      <w:tr w:rsidR="0028154A" w:rsidRPr="0028154A" w14:paraId="63304A1C" w14:textId="77777777" w:rsidTr="007C47D0">
        <w:trPr>
          <w:trHeight w:val="285"/>
        </w:trPr>
        <w:tc>
          <w:tcPr>
            <w:tcW w:w="3074" w:type="dxa"/>
            <w:noWrap/>
            <w:hideMark/>
          </w:tcPr>
          <w:p w14:paraId="50D653E9" w14:textId="77777777" w:rsidR="0028154A" w:rsidRPr="0028154A" w:rsidRDefault="0028154A" w:rsidP="005A72E0">
            <w:pPr>
              <w:keepNext/>
              <w:keepLines/>
              <w:rPr>
                <w:rFonts w:eastAsia="Times New Roman"/>
                <w:szCs w:val="24"/>
              </w:rPr>
            </w:pPr>
            <w:r w:rsidRPr="0028154A">
              <w:rPr>
                <w:rFonts w:eastAsia="Times New Roman"/>
                <w:szCs w:val="24"/>
              </w:rPr>
              <w:t>Safety Cases</w:t>
            </w:r>
          </w:p>
        </w:tc>
        <w:tc>
          <w:tcPr>
            <w:tcW w:w="2693" w:type="dxa"/>
            <w:noWrap/>
            <w:hideMark/>
          </w:tcPr>
          <w:p w14:paraId="495DF347" w14:textId="77777777" w:rsidR="0028154A" w:rsidRPr="0028154A" w:rsidRDefault="0028154A" w:rsidP="005A72E0">
            <w:pPr>
              <w:keepNext/>
              <w:keepLines/>
              <w:rPr>
                <w:rFonts w:eastAsia="Times New Roman"/>
                <w:szCs w:val="24"/>
              </w:rPr>
            </w:pPr>
            <w:r w:rsidRPr="0028154A">
              <w:rPr>
                <w:rFonts w:eastAsia="Times New Roman"/>
                <w:szCs w:val="24"/>
              </w:rPr>
              <w:t xml:space="preserve"> £110,000</w:t>
            </w:r>
          </w:p>
        </w:tc>
        <w:tc>
          <w:tcPr>
            <w:tcW w:w="1134" w:type="dxa"/>
            <w:noWrap/>
            <w:hideMark/>
          </w:tcPr>
          <w:p w14:paraId="344AB845" w14:textId="77777777" w:rsidR="0028154A" w:rsidRPr="0028154A" w:rsidRDefault="0028154A" w:rsidP="005A72E0">
            <w:pPr>
              <w:keepNext/>
              <w:keepLines/>
              <w:rPr>
                <w:rFonts w:eastAsia="Times New Roman"/>
                <w:szCs w:val="24"/>
              </w:rPr>
            </w:pPr>
            <w:r w:rsidRPr="0028154A">
              <w:rPr>
                <w:rFonts w:eastAsia="Times New Roman"/>
                <w:szCs w:val="24"/>
              </w:rPr>
              <w:t>7%</w:t>
            </w:r>
          </w:p>
        </w:tc>
        <w:tc>
          <w:tcPr>
            <w:tcW w:w="1418" w:type="dxa"/>
            <w:noWrap/>
            <w:hideMark/>
          </w:tcPr>
          <w:p w14:paraId="318C01DD" w14:textId="77777777" w:rsidR="0028154A" w:rsidRPr="0028154A" w:rsidRDefault="0028154A" w:rsidP="005A72E0">
            <w:pPr>
              <w:keepNext/>
              <w:keepLines/>
              <w:rPr>
                <w:rFonts w:eastAsia="Times New Roman"/>
                <w:szCs w:val="24"/>
              </w:rPr>
            </w:pPr>
            <w:r w:rsidRPr="0028154A">
              <w:rPr>
                <w:rFonts w:eastAsia="Times New Roman"/>
                <w:szCs w:val="24"/>
              </w:rPr>
              <w:t>8%</w:t>
            </w:r>
          </w:p>
        </w:tc>
      </w:tr>
      <w:tr w:rsidR="0028154A" w:rsidRPr="0028154A" w14:paraId="18A5D863" w14:textId="77777777" w:rsidTr="007C47D0">
        <w:trPr>
          <w:trHeight w:val="285"/>
        </w:trPr>
        <w:tc>
          <w:tcPr>
            <w:tcW w:w="3074" w:type="dxa"/>
            <w:noWrap/>
            <w:hideMark/>
          </w:tcPr>
          <w:p w14:paraId="4E97F14F" w14:textId="77777777" w:rsidR="0028154A" w:rsidRPr="0028154A" w:rsidRDefault="0028154A" w:rsidP="005A72E0">
            <w:pPr>
              <w:keepNext/>
              <w:keepLines/>
              <w:rPr>
                <w:rFonts w:eastAsia="Times New Roman"/>
                <w:szCs w:val="24"/>
              </w:rPr>
            </w:pPr>
            <w:r w:rsidRPr="0028154A">
              <w:rPr>
                <w:rFonts w:eastAsia="Times New Roman"/>
                <w:szCs w:val="24"/>
              </w:rPr>
              <w:t>Accommodation</w:t>
            </w:r>
          </w:p>
        </w:tc>
        <w:tc>
          <w:tcPr>
            <w:tcW w:w="2693" w:type="dxa"/>
            <w:noWrap/>
            <w:hideMark/>
          </w:tcPr>
          <w:p w14:paraId="36113513" w14:textId="77777777" w:rsidR="0028154A" w:rsidRPr="0028154A" w:rsidRDefault="0028154A" w:rsidP="005A72E0">
            <w:pPr>
              <w:keepNext/>
              <w:keepLines/>
              <w:rPr>
                <w:rFonts w:eastAsia="Times New Roman"/>
                <w:szCs w:val="24"/>
              </w:rPr>
            </w:pPr>
            <w:r w:rsidRPr="0028154A">
              <w:rPr>
                <w:rFonts w:eastAsia="Times New Roman"/>
                <w:szCs w:val="24"/>
              </w:rPr>
              <w:t xml:space="preserve"> £77,000 </w:t>
            </w:r>
          </w:p>
        </w:tc>
        <w:tc>
          <w:tcPr>
            <w:tcW w:w="1134" w:type="dxa"/>
            <w:noWrap/>
            <w:hideMark/>
          </w:tcPr>
          <w:p w14:paraId="4D2DD76B" w14:textId="77777777" w:rsidR="0028154A" w:rsidRPr="0028154A" w:rsidRDefault="0028154A" w:rsidP="005A72E0">
            <w:pPr>
              <w:keepNext/>
              <w:keepLines/>
              <w:rPr>
                <w:rFonts w:eastAsia="Times New Roman"/>
                <w:szCs w:val="24"/>
              </w:rPr>
            </w:pPr>
            <w:r w:rsidRPr="0028154A">
              <w:rPr>
                <w:rFonts w:eastAsia="Times New Roman"/>
                <w:szCs w:val="24"/>
              </w:rPr>
              <w:t>5%</w:t>
            </w:r>
          </w:p>
        </w:tc>
        <w:tc>
          <w:tcPr>
            <w:tcW w:w="1418" w:type="dxa"/>
            <w:noWrap/>
            <w:hideMark/>
          </w:tcPr>
          <w:p w14:paraId="72AE0294" w14:textId="77777777" w:rsidR="0028154A" w:rsidRPr="0028154A" w:rsidRDefault="0028154A" w:rsidP="005A72E0">
            <w:pPr>
              <w:keepNext/>
              <w:keepLines/>
              <w:rPr>
                <w:rFonts w:eastAsia="Times New Roman"/>
                <w:szCs w:val="24"/>
              </w:rPr>
            </w:pPr>
            <w:r w:rsidRPr="0028154A">
              <w:rPr>
                <w:rFonts w:eastAsia="Times New Roman"/>
                <w:szCs w:val="24"/>
              </w:rPr>
              <w:t>6%</w:t>
            </w:r>
          </w:p>
        </w:tc>
      </w:tr>
      <w:tr w:rsidR="0028154A" w:rsidRPr="0028154A" w14:paraId="5B6B304C" w14:textId="77777777" w:rsidTr="007C47D0">
        <w:trPr>
          <w:trHeight w:val="285"/>
        </w:trPr>
        <w:tc>
          <w:tcPr>
            <w:tcW w:w="3074" w:type="dxa"/>
            <w:noWrap/>
            <w:hideMark/>
          </w:tcPr>
          <w:p w14:paraId="2D6B01BE" w14:textId="77777777" w:rsidR="0028154A" w:rsidRPr="0028154A" w:rsidRDefault="0028154A" w:rsidP="005A72E0">
            <w:pPr>
              <w:keepNext/>
              <w:keepLines/>
              <w:rPr>
                <w:rFonts w:eastAsia="Times New Roman"/>
                <w:szCs w:val="24"/>
              </w:rPr>
            </w:pPr>
            <w:r w:rsidRPr="0028154A">
              <w:rPr>
                <w:rFonts w:eastAsia="Times New Roman"/>
                <w:szCs w:val="24"/>
              </w:rPr>
              <w:t>Well Examinations</w:t>
            </w:r>
          </w:p>
        </w:tc>
        <w:tc>
          <w:tcPr>
            <w:tcW w:w="2693" w:type="dxa"/>
            <w:noWrap/>
            <w:hideMark/>
          </w:tcPr>
          <w:p w14:paraId="7D2E9D34" w14:textId="77777777" w:rsidR="0028154A" w:rsidRPr="0028154A" w:rsidRDefault="0028154A" w:rsidP="005A72E0">
            <w:pPr>
              <w:keepNext/>
              <w:keepLines/>
              <w:rPr>
                <w:rFonts w:eastAsia="Times New Roman"/>
                <w:szCs w:val="24"/>
              </w:rPr>
            </w:pPr>
            <w:r w:rsidRPr="0028154A">
              <w:rPr>
                <w:rFonts w:eastAsia="Times New Roman"/>
                <w:szCs w:val="24"/>
              </w:rPr>
              <w:t xml:space="preserve"> £50,000 **</w:t>
            </w:r>
          </w:p>
        </w:tc>
        <w:tc>
          <w:tcPr>
            <w:tcW w:w="1134" w:type="dxa"/>
            <w:noWrap/>
            <w:hideMark/>
          </w:tcPr>
          <w:p w14:paraId="0051C32A" w14:textId="77777777" w:rsidR="0028154A" w:rsidRPr="0028154A" w:rsidRDefault="0028154A" w:rsidP="005A72E0">
            <w:pPr>
              <w:keepNext/>
              <w:keepLines/>
              <w:rPr>
                <w:rFonts w:eastAsia="Times New Roman"/>
                <w:szCs w:val="24"/>
              </w:rPr>
            </w:pPr>
            <w:r w:rsidRPr="0028154A">
              <w:rPr>
                <w:rFonts w:eastAsia="Times New Roman"/>
                <w:szCs w:val="24"/>
              </w:rPr>
              <w:t>3%</w:t>
            </w:r>
          </w:p>
        </w:tc>
        <w:tc>
          <w:tcPr>
            <w:tcW w:w="1418" w:type="dxa"/>
            <w:noWrap/>
            <w:hideMark/>
          </w:tcPr>
          <w:p w14:paraId="5BB8CBB1" w14:textId="77777777" w:rsidR="0028154A" w:rsidRPr="0028154A" w:rsidRDefault="0028154A" w:rsidP="005A72E0">
            <w:pPr>
              <w:keepNext/>
              <w:keepLines/>
              <w:rPr>
                <w:rFonts w:eastAsia="Times New Roman"/>
                <w:szCs w:val="24"/>
              </w:rPr>
            </w:pPr>
            <w:r w:rsidRPr="0028154A">
              <w:rPr>
                <w:rFonts w:eastAsia="Times New Roman"/>
                <w:szCs w:val="24"/>
              </w:rPr>
              <w:t>0%</w:t>
            </w:r>
          </w:p>
        </w:tc>
      </w:tr>
      <w:tr w:rsidR="0028154A" w:rsidRPr="0028154A" w14:paraId="34F999C1" w14:textId="77777777" w:rsidTr="007C47D0">
        <w:trPr>
          <w:trHeight w:val="285"/>
        </w:trPr>
        <w:tc>
          <w:tcPr>
            <w:tcW w:w="3074" w:type="dxa"/>
            <w:noWrap/>
            <w:hideMark/>
          </w:tcPr>
          <w:p w14:paraId="3A28CA85" w14:textId="77777777" w:rsidR="0028154A" w:rsidRPr="0028154A" w:rsidRDefault="0028154A" w:rsidP="005A72E0">
            <w:pPr>
              <w:keepNext/>
              <w:keepLines/>
              <w:rPr>
                <w:rFonts w:eastAsia="Times New Roman"/>
                <w:szCs w:val="24"/>
              </w:rPr>
            </w:pPr>
            <w:r w:rsidRPr="0028154A">
              <w:rPr>
                <w:rFonts w:eastAsia="Times New Roman"/>
                <w:szCs w:val="24"/>
              </w:rPr>
              <w:t>Training Installation Manager</w:t>
            </w:r>
          </w:p>
        </w:tc>
        <w:tc>
          <w:tcPr>
            <w:tcW w:w="2693" w:type="dxa"/>
            <w:noWrap/>
            <w:hideMark/>
          </w:tcPr>
          <w:p w14:paraId="49EE3445" w14:textId="77777777" w:rsidR="0028154A" w:rsidRPr="0028154A" w:rsidRDefault="0028154A" w:rsidP="005A72E0">
            <w:pPr>
              <w:keepNext/>
              <w:keepLines/>
              <w:rPr>
                <w:rFonts w:eastAsia="Times New Roman"/>
                <w:szCs w:val="24"/>
              </w:rPr>
            </w:pPr>
            <w:r w:rsidRPr="0028154A">
              <w:rPr>
                <w:rFonts w:eastAsia="Times New Roman"/>
                <w:color w:val="000000"/>
                <w:szCs w:val="24"/>
              </w:rPr>
              <w:t xml:space="preserve"> £28,000 </w:t>
            </w:r>
          </w:p>
        </w:tc>
        <w:tc>
          <w:tcPr>
            <w:tcW w:w="1134" w:type="dxa"/>
            <w:noWrap/>
            <w:hideMark/>
          </w:tcPr>
          <w:p w14:paraId="525820BE" w14:textId="77777777" w:rsidR="0028154A" w:rsidRPr="0028154A" w:rsidRDefault="0028154A" w:rsidP="005A72E0">
            <w:pPr>
              <w:keepNext/>
              <w:keepLines/>
              <w:rPr>
                <w:rFonts w:eastAsia="Times New Roman"/>
                <w:szCs w:val="24"/>
              </w:rPr>
            </w:pPr>
            <w:r w:rsidRPr="0028154A">
              <w:rPr>
                <w:rFonts w:eastAsia="Times New Roman"/>
                <w:szCs w:val="24"/>
              </w:rPr>
              <w:t>2%</w:t>
            </w:r>
          </w:p>
        </w:tc>
        <w:tc>
          <w:tcPr>
            <w:tcW w:w="1418" w:type="dxa"/>
            <w:noWrap/>
            <w:hideMark/>
          </w:tcPr>
          <w:p w14:paraId="19ED0586" w14:textId="77777777" w:rsidR="0028154A" w:rsidRPr="0028154A" w:rsidRDefault="0028154A" w:rsidP="005A72E0">
            <w:pPr>
              <w:keepNext/>
              <w:keepLines/>
              <w:rPr>
                <w:rFonts w:eastAsia="Times New Roman"/>
                <w:szCs w:val="24"/>
              </w:rPr>
            </w:pPr>
            <w:r w:rsidRPr="0028154A">
              <w:rPr>
                <w:rFonts w:eastAsia="Times New Roman"/>
                <w:szCs w:val="24"/>
              </w:rPr>
              <w:t>2%</w:t>
            </w:r>
          </w:p>
        </w:tc>
      </w:tr>
      <w:tr w:rsidR="0028154A" w:rsidRPr="0028154A" w14:paraId="394A364A" w14:textId="77777777" w:rsidTr="007C47D0">
        <w:trPr>
          <w:trHeight w:val="285"/>
        </w:trPr>
        <w:tc>
          <w:tcPr>
            <w:tcW w:w="3074" w:type="dxa"/>
            <w:noWrap/>
            <w:hideMark/>
          </w:tcPr>
          <w:p w14:paraId="668C642B" w14:textId="77777777" w:rsidR="0028154A" w:rsidRPr="0028154A" w:rsidRDefault="0028154A" w:rsidP="005A72E0">
            <w:pPr>
              <w:keepNext/>
              <w:keepLines/>
              <w:rPr>
                <w:rFonts w:eastAsia="Times New Roman"/>
                <w:szCs w:val="24"/>
              </w:rPr>
            </w:pPr>
            <w:r w:rsidRPr="0028154A">
              <w:rPr>
                <w:rFonts w:eastAsia="Times New Roman"/>
                <w:szCs w:val="24"/>
              </w:rPr>
              <w:t>Cost Recovery</w:t>
            </w:r>
          </w:p>
        </w:tc>
        <w:tc>
          <w:tcPr>
            <w:tcW w:w="2693" w:type="dxa"/>
            <w:noWrap/>
            <w:hideMark/>
          </w:tcPr>
          <w:p w14:paraId="32EBA468" w14:textId="77777777" w:rsidR="0028154A" w:rsidRPr="0028154A" w:rsidRDefault="0028154A" w:rsidP="005A72E0">
            <w:pPr>
              <w:keepNext/>
              <w:keepLines/>
              <w:rPr>
                <w:rFonts w:eastAsia="Times New Roman"/>
                <w:szCs w:val="24"/>
              </w:rPr>
            </w:pPr>
            <w:r w:rsidRPr="0028154A">
              <w:rPr>
                <w:rFonts w:eastAsia="Times New Roman"/>
                <w:color w:val="000000"/>
                <w:szCs w:val="24"/>
              </w:rPr>
              <w:t xml:space="preserve"> £16,000 </w:t>
            </w:r>
          </w:p>
        </w:tc>
        <w:tc>
          <w:tcPr>
            <w:tcW w:w="1134" w:type="dxa"/>
            <w:noWrap/>
            <w:hideMark/>
          </w:tcPr>
          <w:p w14:paraId="150EFB02" w14:textId="77777777" w:rsidR="0028154A" w:rsidRPr="0028154A" w:rsidRDefault="0028154A" w:rsidP="005A72E0">
            <w:pPr>
              <w:keepNext/>
              <w:keepLines/>
              <w:rPr>
                <w:rFonts w:eastAsia="Times New Roman"/>
                <w:szCs w:val="24"/>
              </w:rPr>
            </w:pPr>
            <w:r w:rsidRPr="0028154A">
              <w:rPr>
                <w:rFonts w:eastAsia="Times New Roman"/>
                <w:szCs w:val="24"/>
              </w:rPr>
              <w:t>1%</w:t>
            </w:r>
          </w:p>
        </w:tc>
        <w:tc>
          <w:tcPr>
            <w:tcW w:w="1418" w:type="dxa"/>
            <w:noWrap/>
            <w:hideMark/>
          </w:tcPr>
          <w:p w14:paraId="7AC02B4E" w14:textId="77777777" w:rsidR="0028154A" w:rsidRPr="0028154A" w:rsidRDefault="0028154A" w:rsidP="005A72E0">
            <w:pPr>
              <w:keepNext/>
              <w:keepLines/>
              <w:rPr>
                <w:rFonts w:eastAsia="Times New Roman"/>
                <w:szCs w:val="24"/>
              </w:rPr>
            </w:pPr>
            <w:r w:rsidRPr="0028154A">
              <w:rPr>
                <w:rFonts w:eastAsia="Times New Roman"/>
                <w:szCs w:val="24"/>
              </w:rPr>
              <w:t>1%</w:t>
            </w:r>
          </w:p>
        </w:tc>
      </w:tr>
      <w:tr w:rsidR="0028154A" w:rsidRPr="0028154A" w14:paraId="2E8D5ED0" w14:textId="77777777" w:rsidTr="007C47D0">
        <w:trPr>
          <w:trHeight w:val="285"/>
        </w:trPr>
        <w:tc>
          <w:tcPr>
            <w:tcW w:w="3074" w:type="dxa"/>
            <w:noWrap/>
            <w:hideMark/>
          </w:tcPr>
          <w:p w14:paraId="6F117E89" w14:textId="7437F542" w:rsidR="0028154A" w:rsidRPr="0028154A" w:rsidRDefault="0028154A" w:rsidP="005A72E0">
            <w:pPr>
              <w:keepNext/>
              <w:keepLines/>
              <w:rPr>
                <w:rFonts w:eastAsia="Times New Roman"/>
                <w:szCs w:val="24"/>
              </w:rPr>
            </w:pPr>
            <w:r w:rsidRPr="0028154A">
              <w:rPr>
                <w:rFonts w:eastAsia="Times New Roman"/>
                <w:szCs w:val="24"/>
              </w:rPr>
              <w:t>Material Change to SC</w:t>
            </w:r>
          </w:p>
        </w:tc>
        <w:tc>
          <w:tcPr>
            <w:tcW w:w="2693" w:type="dxa"/>
            <w:noWrap/>
            <w:hideMark/>
          </w:tcPr>
          <w:p w14:paraId="0D303CD1" w14:textId="77777777"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£9,800</w:t>
            </w:r>
          </w:p>
        </w:tc>
        <w:tc>
          <w:tcPr>
            <w:tcW w:w="1134" w:type="dxa"/>
            <w:noWrap/>
            <w:hideMark/>
          </w:tcPr>
          <w:p w14:paraId="0E99D8E6" w14:textId="77777777" w:rsidR="0028154A" w:rsidRPr="0028154A" w:rsidRDefault="0028154A" w:rsidP="005A72E0">
            <w:pPr>
              <w:keepNext/>
              <w:keepLines/>
              <w:rPr>
                <w:rFonts w:eastAsia="Times New Roman"/>
                <w:szCs w:val="24"/>
              </w:rPr>
            </w:pPr>
            <w:r w:rsidRPr="0028154A">
              <w:rPr>
                <w:rFonts w:eastAsia="Times New Roman"/>
                <w:szCs w:val="24"/>
              </w:rPr>
              <w:t>1%</w:t>
            </w:r>
          </w:p>
        </w:tc>
        <w:tc>
          <w:tcPr>
            <w:tcW w:w="1418" w:type="dxa"/>
            <w:noWrap/>
            <w:hideMark/>
          </w:tcPr>
          <w:p w14:paraId="3F22A128" w14:textId="77777777" w:rsidR="0028154A" w:rsidRPr="0028154A" w:rsidRDefault="0028154A" w:rsidP="005A72E0">
            <w:pPr>
              <w:keepNext/>
              <w:keepLines/>
              <w:rPr>
                <w:rFonts w:eastAsia="Times New Roman"/>
                <w:szCs w:val="24"/>
              </w:rPr>
            </w:pPr>
            <w:r w:rsidRPr="0028154A">
              <w:rPr>
                <w:rFonts w:eastAsia="Times New Roman"/>
                <w:szCs w:val="24"/>
              </w:rPr>
              <w:t>1%</w:t>
            </w:r>
          </w:p>
        </w:tc>
      </w:tr>
      <w:tr w:rsidR="0028154A" w:rsidRPr="0028154A" w14:paraId="0A85EC51" w14:textId="77777777" w:rsidTr="007C47D0">
        <w:trPr>
          <w:trHeight w:val="285"/>
        </w:trPr>
        <w:tc>
          <w:tcPr>
            <w:tcW w:w="3074" w:type="dxa"/>
            <w:noWrap/>
            <w:hideMark/>
          </w:tcPr>
          <w:p w14:paraId="007B1EE5" w14:textId="21C8DA8B" w:rsidR="0028154A" w:rsidRPr="0028154A" w:rsidRDefault="0028154A" w:rsidP="005A72E0">
            <w:pPr>
              <w:keepNext/>
              <w:keepLines/>
              <w:rPr>
                <w:rFonts w:eastAsia="Times New Roman"/>
                <w:szCs w:val="24"/>
              </w:rPr>
            </w:pPr>
            <w:r w:rsidRPr="0028154A">
              <w:rPr>
                <w:rFonts w:eastAsia="Times New Roman"/>
                <w:szCs w:val="24"/>
              </w:rPr>
              <w:t>Identifying Marking</w:t>
            </w:r>
          </w:p>
        </w:tc>
        <w:tc>
          <w:tcPr>
            <w:tcW w:w="2693" w:type="dxa"/>
            <w:noWrap/>
            <w:hideMark/>
          </w:tcPr>
          <w:p w14:paraId="0E5CD5B1" w14:textId="77777777"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£9,600 </w:t>
            </w:r>
          </w:p>
        </w:tc>
        <w:tc>
          <w:tcPr>
            <w:tcW w:w="1134" w:type="dxa"/>
            <w:noWrap/>
            <w:hideMark/>
          </w:tcPr>
          <w:p w14:paraId="1A7E9802" w14:textId="77777777" w:rsidR="0028154A" w:rsidRPr="0028154A" w:rsidRDefault="0028154A" w:rsidP="005A72E0">
            <w:pPr>
              <w:keepNext/>
              <w:keepLines/>
              <w:rPr>
                <w:rFonts w:eastAsia="Times New Roman"/>
                <w:szCs w:val="24"/>
              </w:rPr>
            </w:pPr>
            <w:r w:rsidRPr="0028154A">
              <w:rPr>
                <w:rFonts w:eastAsia="Times New Roman"/>
                <w:szCs w:val="24"/>
              </w:rPr>
              <w:t>1%</w:t>
            </w:r>
          </w:p>
        </w:tc>
        <w:tc>
          <w:tcPr>
            <w:tcW w:w="1418" w:type="dxa"/>
            <w:noWrap/>
            <w:hideMark/>
          </w:tcPr>
          <w:p w14:paraId="059A4641" w14:textId="77777777" w:rsidR="0028154A" w:rsidRPr="0028154A" w:rsidRDefault="0028154A" w:rsidP="005A72E0">
            <w:pPr>
              <w:keepNext/>
              <w:keepLines/>
              <w:rPr>
                <w:rFonts w:eastAsia="Times New Roman"/>
                <w:szCs w:val="24"/>
              </w:rPr>
            </w:pPr>
            <w:r w:rsidRPr="0028154A">
              <w:rPr>
                <w:rFonts w:eastAsia="Times New Roman"/>
                <w:szCs w:val="24"/>
              </w:rPr>
              <w:t>1%</w:t>
            </w:r>
          </w:p>
        </w:tc>
      </w:tr>
      <w:tr w:rsidR="0028154A" w:rsidRPr="0028154A" w14:paraId="17204D58" w14:textId="77777777" w:rsidTr="007C47D0">
        <w:trPr>
          <w:trHeight w:val="285"/>
        </w:trPr>
        <w:tc>
          <w:tcPr>
            <w:tcW w:w="3074" w:type="dxa"/>
            <w:noWrap/>
            <w:hideMark/>
          </w:tcPr>
          <w:p w14:paraId="4EC7A033" w14:textId="77777777" w:rsidR="0028154A" w:rsidRPr="0028154A" w:rsidRDefault="0028154A" w:rsidP="005A72E0">
            <w:pPr>
              <w:keepNext/>
              <w:keepLines/>
              <w:rPr>
                <w:rFonts w:eastAsia="Times New Roman"/>
                <w:szCs w:val="24"/>
              </w:rPr>
            </w:pPr>
            <w:r w:rsidRPr="0028154A">
              <w:rPr>
                <w:rFonts w:eastAsia="Times New Roman"/>
                <w:szCs w:val="24"/>
              </w:rPr>
              <w:t>Combined Operations</w:t>
            </w:r>
          </w:p>
        </w:tc>
        <w:tc>
          <w:tcPr>
            <w:tcW w:w="2693" w:type="dxa"/>
            <w:noWrap/>
            <w:hideMark/>
          </w:tcPr>
          <w:p w14:paraId="5B59B2A2" w14:textId="77777777"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£5,500 </w:t>
            </w:r>
          </w:p>
        </w:tc>
        <w:tc>
          <w:tcPr>
            <w:tcW w:w="1134" w:type="dxa"/>
            <w:noWrap/>
            <w:hideMark/>
          </w:tcPr>
          <w:p w14:paraId="1B26DACE" w14:textId="77777777" w:rsidR="0028154A" w:rsidRPr="0028154A" w:rsidRDefault="0028154A" w:rsidP="005A72E0">
            <w:pPr>
              <w:keepNext/>
              <w:keepLines/>
              <w:rPr>
                <w:rFonts w:eastAsia="Times New Roman"/>
                <w:szCs w:val="24"/>
              </w:rPr>
            </w:pPr>
            <w:r w:rsidRPr="0028154A">
              <w:rPr>
                <w:rFonts w:eastAsia="Times New Roman"/>
                <w:szCs w:val="24"/>
              </w:rPr>
              <w:t>0%</w:t>
            </w:r>
          </w:p>
        </w:tc>
        <w:tc>
          <w:tcPr>
            <w:tcW w:w="1418" w:type="dxa"/>
            <w:noWrap/>
            <w:hideMark/>
          </w:tcPr>
          <w:p w14:paraId="3CA4BE2B" w14:textId="77777777" w:rsidR="0028154A" w:rsidRPr="0028154A" w:rsidRDefault="0028154A" w:rsidP="005A72E0">
            <w:pPr>
              <w:keepNext/>
              <w:keepLines/>
              <w:rPr>
                <w:rFonts w:eastAsia="Times New Roman"/>
                <w:szCs w:val="24"/>
              </w:rPr>
            </w:pPr>
            <w:r w:rsidRPr="0028154A">
              <w:rPr>
                <w:rFonts w:eastAsia="Times New Roman"/>
                <w:szCs w:val="24"/>
              </w:rPr>
              <w:t>0%</w:t>
            </w:r>
          </w:p>
        </w:tc>
      </w:tr>
      <w:tr w:rsidR="0028154A" w:rsidRPr="0028154A" w14:paraId="4855A765" w14:textId="77777777" w:rsidTr="007C47D0">
        <w:trPr>
          <w:trHeight w:val="285"/>
        </w:trPr>
        <w:tc>
          <w:tcPr>
            <w:tcW w:w="3074" w:type="dxa"/>
            <w:noWrap/>
            <w:hideMark/>
          </w:tcPr>
          <w:p w14:paraId="4D43D4A7" w14:textId="77777777" w:rsidR="0028154A" w:rsidRPr="0028154A" w:rsidRDefault="0028154A" w:rsidP="005A72E0">
            <w:pPr>
              <w:keepNext/>
              <w:keepLines/>
              <w:rPr>
                <w:rFonts w:eastAsia="Times New Roman"/>
                <w:szCs w:val="24"/>
              </w:rPr>
            </w:pPr>
            <w:r w:rsidRPr="0028154A">
              <w:rPr>
                <w:rFonts w:eastAsia="Times New Roman"/>
                <w:szCs w:val="24"/>
              </w:rPr>
              <w:t>Design Notification</w:t>
            </w:r>
          </w:p>
        </w:tc>
        <w:tc>
          <w:tcPr>
            <w:tcW w:w="2693" w:type="dxa"/>
            <w:noWrap/>
            <w:hideMark/>
          </w:tcPr>
          <w:p w14:paraId="3E41E089" w14:textId="77777777"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£4,400 </w:t>
            </w:r>
          </w:p>
        </w:tc>
        <w:tc>
          <w:tcPr>
            <w:tcW w:w="1134" w:type="dxa"/>
            <w:noWrap/>
            <w:hideMark/>
          </w:tcPr>
          <w:p w14:paraId="004FC7C2" w14:textId="77777777" w:rsidR="0028154A" w:rsidRPr="0028154A" w:rsidRDefault="0028154A" w:rsidP="005A72E0">
            <w:pPr>
              <w:keepNext/>
              <w:keepLines/>
              <w:rPr>
                <w:rFonts w:eastAsia="Times New Roman"/>
                <w:szCs w:val="24"/>
              </w:rPr>
            </w:pPr>
            <w:r w:rsidRPr="0028154A">
              <w:rPr>
                <w:rFonts w:eastAsia="Times New Roman"/>
                <w:szCs w:val="24"/>
              </w:rPr>
              <w:t>0%</w:t>
            </w:r>
          </w:p>
        </w:tc>
        <w:tc>
          <w:tcPr>
            <w:tcW w:w="1418" w:type="dxa"/>
            <w:noWrap/>
            <w:hideMark/>
          </w:tcPr>
          <w:p w14:paraId="0FAF04BE" w14:textId="77777777" w:rsidR="0028154A" w:rsidRPr="0028154A" w:rsidRDefault="0028154A" w:rsidP="005A72E0">
            <w:pPr>
              <w:keepNext/>
              <w:keepLines/>
              <w:rPr>
                <w:rFonts w:eastAsia="Times New Roman"/>
                <w:szCs w:val="24"/>
              </w:rPr>
            </w:pPr>
            <w:r w:rsidRPr="0028154A">
              <w:rPr>
                <w:rFonts w:eastAsia="Times New Roman"/>
                <w:szCs w:val="24"/>
              </w:rPr>
              <w:t>0%</w:t>
            </w:r>
          </w:p>
        </w:tc>
      </w:tr>
      <w:tr w:rsidR="0028154A" w:rsidRPr="0028154A" w14:paraId="2A0BFBF4" w14:textId="77777777" w:rsidTr="007C47D0">
        <w:trPr>
          <w:trHeight w:val="285"/>
        </w:trPr>
        <w:tc>
          <w:tcPr>
            <w:tcW w:w="3074" w:type="dxa"/>
            <w:noWrap/>
            <w:hideMark/>
          </w:tcPr>
          <w:p w14:paraId="1903A2A5" w14:textId="3C41E1A1" w:rsidR="0028154A" w:rsidRPr="0028154A" w:rsidRDefault="006D69A8" w:rsidP="005A72E0">
            <w:pPr>
              <w:keepNext/>
              <w:keepLines/>
              <w:rPr>
                <w:rFonts w:eastAsia="Times New Roman"/>
                <w:szCs w:val="24"/>
              </w:rPr>
            </w:pPr>
            <w:r>
              <w:rPr>
                <w:rFonts w:eastAsia="Times New Roman"/>
                <w:szCs w:val="24"/>
              </w:rPr>
              <w:t>SEMS</w:t>
            </w:r>
          </w:p>
        </w:tc>
        <w:tc>
          <w:tcPr>
            <w:tcW w:w="2693" w:type="dxa"/>
            <w:noWrap/>
            <w:hideMark/>
          </w:tcPr>
          <w:p w14:paraId="3B834E89" w14:textId="4679A798"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w:t>
            </w:r>
            <w:r w:rsidR="006D69A8">
              <w:rPr>
                <w:rFonts w:eastAsia="Times New Roman"/>
                <w:color w:val="000000"/>
                <w:szCs w:val="24"/>
              </w:rPr>
              <w:t>1</w:t>
            </w:r>
            <w:r w:rsidRPr="0028154A">
              <w:rPr>
                <w:rFonts w:eastAsia="Times New Roman"/>
                <w:color w:val="000000"/>
                <w:szCs w:val="24"/>
              </w:rPr>
              <w:t xml:space="preserve">,500 </w:t>
            </w:r>
          </w:p>
        </w:tc>
        <w:tc>
          <w:tcPr>
            <w:tcW w:w="1134" w:type="dxa"/>
            <w:noWrap/>
            <w:hideMark/>
          </w:tcPr>
          <w:p w14:paraId="3768B942" w14:textId="77777777" w:rsidR="0028154A" w:rsidRPr="0028154A" w:rsidRDefault="0028154A" w:rsidP="005A72E0">
            <w:pPr>
              <w:keepNext/>
              <w:keepLines/>
              <w:rPr>
                <w:rFonts w:eastAsia="Times New Roman"/>
                <w:szCs w:val="24"/>
              </w:rPr>
            </w:pPr>
            <w:r w:rsidRPr="0028154A">
              <w:rPr>
                <w:rFonts w:eastAsia="Times New Roman"/>
                <w:szCs w:val="24"/>
              </w:rPr>
              <w:t>0%</w:t>
            </w:r>
          </w:p>
        </w:tc>
        <w:tc>
          <w:tcPr>
            <w:tcW w:w="1418" w:type="dxa"/>
            <w:noWrap/>
            <w:hideMark/>
          </w:tcPr>
          <w:p w14:paraId="4797EA80" w14:textId="77777777" w:rsidR="0028154A" w:rsidRPr="0028154A" w:rsidRDefault="0028154A" w:rsidP="005A72E0">
            <w:pPr>
              <w:keepNext/>
              <w:keepLines/>
              <w:rPr>
                <w:rFonts w:eastAsia="Times New Roman"/>
                <w:szCs w:val="24"/>
              </w:rPr>
            </w:pPr>
            <w:r w:rsidRPr="0028154A">
              <w:rPr>
                <w:rFonts w:eastAsia="Times New Roman"/>
                <w:szCs w:val="24"/>
              </w:rPr>
              <w:t>0%</w:t>
            </w:r>
          </w:p>
        </w:tc>
      </w:tr>
      <w:tr w:rsidR="0028154A" w:rsidRPr="0028154A" w14:paraId="73893D82" w14:textId="77777777" w:rsidTr="007C47D0">
        <w:trPr>
          <w:trHeight w:val="285"/>
        </w:trPr>
        <w:tc>
          <w:tcPr>
            <w:tcW w:w="3074" w:type="dxa"/>
            <w:noWrap/>
            <w:hideMark/>
          </w:tcPr>
          <w:p w14:paraId="28CD961C" w14:textId="441F3E59" w:rsidR="0028154A" w:rsidRPr="0028154A" w:rsidRDefault="006D69A8" w:rsidP="005A72E0">
            <w:pPr>
              <w:keepNext/>
              <w:keepLines/>
              <w:rPr>
                <w:rFonts w:eastAsia="Times New Roman"/>
                <w:szCs w:val="24"/>
              </w:rPr>
            </w:pPr>
            <w:r w:rsidRPr="0028154A">
              <w:rPr>
                <w:rFonts w:eastAsia="Times New Roman"/>
                <w:szCs w:val="24"/>
              </w:rPr>
              <w:t>Entering/Leaving Waters</w:t>
            </w:r>
          </w:p>
        </w:tc>
        <w:tc>
          <w:tcPr>
            <w:tcW w:w="2693" w:type="dxa"/>
            <w:noWrap/>
            <w:hideMark/>
          </w:tcPr>
          <w:p w14:paraId="72047B2C" w14:textId="7DA7A4C9"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w:t>
            </w:r>
            <w:r w:rsidR="006C0C04">
              <w:rPr>
                <w:rFonts w:eastAsia="Times New Roman"/>
                <w:color w:val="000000"/>
                <w:szCs w:val="24"/>
              </w:rPr>
              <w:t xml:space="preserve"> </w:t>
            </w:r>
            <w:r w:rsidR="006C0C04" w:rsidRPr="007C47D0">
              <w:rPr>
                <w:rFonts w:eastAsia="Times New Roman"/>
                <w:i/>
                <w:iCs/>
                <w:color w:val="000000"/>
                <w:szCs w:val="24"/>
              </w:rPr>
              <w:t>Negligible</w:t>
            </w:r>
          </w:p>
        </w:tc>
        <w:tc>
          <w:tcPr>
            <w:tcW w:w="1134" w:type="dxa"/>
            <w:noWrap/>
            <w:hideMark/>
          </w:tcPr>
          <w:p w14:paraId="30F6405F" w14:textId="77777777" w:rsidR="0028154A" w:rsidRPr="0028154A" w:rsidRDefault="0028154A" w:rsidP="005A72E0">
            <w:pPr>
              <w:keepNext/>
              <w:keepLines/>
              <w:rPr>
                <w:rFonts w:eastAsia="Times New Roman"/>
                <w:szCs w:val="24"/>
              </w:rPr>
            </w:pPr>
            <w:r w:rsidRPr="0028154A">
              <w:rPr>
                <w:rFonts w:eastAsia="Times New Roman"/>
                <w:szCs w:val="24"/>
              </w:rPr>
              <w:t>0%</w:t>
            </w:r>
          </w:p>
        </w:tc>
        <w:tc>
          <w:tcPr>
            <w:tcW w:w="1418" w:type="dxa"/>
            <w:noWrap/>
            <w:hideMark/>
          </w:tcPr>
          <w:p w14:paraId="721039E0" w14:textId="77777777" w:rsidR="0028154A" w:rsidRPr="0028154A" w:rsidRDefault="0028154A" w:rsidP="005A72E0">
            <w:pPr>
              <w:keepNext/>
              <w:keepLines/>
              <w:rPr>
                <w:rFonts w:eastAsia="Times New Roman"/>
                <w:szCs w:val="24"/>
              </w:rPr>
            </w:pPr>
            <w:r w:rsidRPr="0028154A">
              <w:rPr>
                <w:rFonts w:eastAsia="Times New Roman"/>
                <w:szCs w:val="24"/>
              </w:rPr>
              <w:t>0%</w:t>
            </w:r>
          </w:p>
        </w:tc>
      </w:tr>
      <w:tr w:rsidR="0028154A" w:rsidRPr="0028154A" w14:paraId="765DC52B" w14:textId="77777777" w:rsidTr="007C47D0">
        <w:trPr>
          <w:trHeight w:val="285"/>
        </w:trPr>
        <w:tc>
          <w:tcPr>
            <w:tcW w:w="3074" w:type="dxa"/>
            <w:noWrap/>
            <w:hideMark/>
          </w:tcPr>
          <w:p w14:paraId="73099D3C" w14:textId="27051AF0" w:rsidR="0028154A" w:rsidRPr="0028154A" w:rsidRDefault="006D69A8" w:rsidP="005A72E0">
            <w:pPr>
              <w:keepNext/>
              <w:keepLines/>
              <w:rPr>
                <w:rFonts w:eastAsia="Times New Roman"/>
                <w:szCs w:val="24"/>
              </w:rPr>
            </w:pPr>
            <w:r>
              <w:rPr>
                <w:rFonts w:eastAsia="Times New Roman"/>
                <w:szCs w:val="24"/>
              </w:rPr>
              <w:t>CMAPP</w:t>
            </w:r>
          </w:p>
        </w:tc>
        <w:tc>
          <w:tcPr>
            <w:tcW w:w="2693" w:type="dxa"/>
            <w:noWrap/>
            <w:hideMark/>
          </w:tcPr>
          <w:p w14:paraId="52E1EE1F" w14:textId="09E73B2A" w:rsidR="0028154A" w:rsidRPr="0028154A" w:rsidRDefault="0028154A" w:rsidP="005A72E0">
            <w:pPr>
              <w:keepNext/>
              <w:keepLines/>
              <w:rPr>
                <w:rFonts w:eastAsia="Times New Roman"/>
                <w:color w:val="000000"/>
                <w:szCs w:val="24"/>
              </w:rPr>
            </w:pPr>
            <w:r w:rsidRPr="0028154A">
              <w:rPr>
                <w:rFonts w:eastAsia="Times New Roman"/>
                <w:color w:val="000000"/>
                <w:szCs w:val="24"/>
              </w:rPr>
              <w:t xml:space="preserve"> £</w:t>
            </w:r>
            <w:r w:rsidR="006C0C04">
              <w:rPr>
                <w:rFonts w:eastAsia="Times New Roman"/>
                <w:color w:val="000000"/>
                <w:szCs w:val="24"/>
              </w:rPr>
              <w:t xml:space="preserve"> </w:t>
            </w:r>
            <w:r w:rsidR="006C0C04" w:rsidRPr="007C47D0">
              <w:rPr>
                <w:rFonts w:eastAsia="Times New Roman"/>
                <w:i/>
                <w:iCs/>
                <w:color w:val="000000"/>
                <w:szCs w:val="24"/>
              </w:rPr>
              <w:t>Neglig</w:t>
            </w:r>
            <w:r w:rsidR="003436E1">
              <w:rPr>
                <w:rFonts w:eastAsia="Times New Roman"/>
                <w:i/>
                <w:iCs/>
                <w:color w:val="000000"/>
                <w:szCs w:val="24"/>
              </w:rPr>
              <w:t>i</w:t>
            </w:r>
            <w:r w:rsidR="006C0C04" w:rsidRPr="007C47D0">
              <w:rPr>
                <w:rFonts w:eastAsia="Times New Roman"/>
                <w:i/>
                <w:iCs/>
                <w:color w:val="000000"/>
                <w:szCs w:val="24"/>
              </w:rPr>
              <w:t>ble</w:t>
            </w:r>
          </w:p>
        </w:tc>
        <w:tc>
          <w:tcPr>
            <w:tcW w:w="1134" w:type="dxa"/>
            <w:noWrap/>
            <w:hideMark/>
          </w:tcPr>
          <w:p w14:paraId="407907AF" w14:textId="77777777" w:rsidR="0028154A" w:rsidRPr="0028154A" w:rsidRDefault="0028154A" w:rsidP="005A72E0">
            <w:pPr>
              <w:keepNext/>
              <w:keepLines/>
              <w:rPr>
                <w:rFonts w:eastAsia="Times New Roman"/>
                <w:szCs w:val="24"/>
              </w:rPr>
            </w:pPr>
            <w:r w:rsidRPr="0028154A">
              <w:rPr>
                <w:rFonts w:eastAsia="Times New Roman"/>
                <w:szCs w:val="24"/>
              </w:rPr>
              <w:t>0%</w:t>
            </w:r>
          </w:p>
        </w:tc>
        <w:tc>
          <w:tcPr>
            <w:tcW w:w="1418" w:type="dxa"/>
            <w:noWrap/>
            <w:hideMark/>
          </w:tcPr>
          <w:p w14:paraId="7E28980A" w14:textId="77777777" w:rsidR="0028154A" w:rsidRPr="0028154A" w:rsidRDefault="0028154A" w:rsidP="005A72E0">
            <w:pPr>
              <w:keepNext/>
              <w:keepLines/>
              <w:rPr>
                <w:rFonts w:eastAsia="Times New Roman"/>
                <w:szCs w:val="24"/>
              </w:rPr>
            </w:pPr>
            <w:r w:rsidRPr="0028154A">
              <w:rPr>
                <w:rFonts w:eastAsia="Times New Roman"/>
                <w:szCs w:val="24"/>
              </w:rPr>
              <w:t>0%</w:t>
            </w:r>
          </w:p>
        </w:tc>
      </w:tr>
    </w:tbl>
    <w:p w14:paraId="06620779" w14:textId="77777777" w:rsidR="0028154A" w:rsidRPr="0028154A" w:rsidRDefault="0028154A" w:rsidP="005A72E0">
      <w:pPr>
        <w:keepNext/>
        <w:keepLines/>
        <w:spacing w:after="0"/>
        <w:rPr>
          <w:bCs/>
          <w:i/>
          <w:iCs/>
          <w:szCs w:val="24"/>
        </w:rPr>
      </w:pPr>
      <w:r w:rsidRPr="0028154A">
        <w:rPr>
          <w:bCs/>
          <w:i/>
          <w:iCs/>
          <w:szCs w:val="24"/>
        </w:rPr>
        <w:t xml:space="preserve"> *Rounded to 2s.f.s. **Cost to CCUS installations, not applicable to hydrogen.</w:t>
      </w:r>
    </w:p>
    <w:p w14:paraId="79C56261" w14:textId="61C89749" w:rsidR="0028154A" w:rsidRPr="0028154A" w:rsidRDefault="0028154A" w:rsidP="00CA7F1E">
      <w:pPr>
        <w:numPr>
          <w:ilvl w:val="0"/>
          <w:numId w:val="1"/>
        </w:numPr>
        <w:spacing w:before="240" w:after="120"/>
        <w:jc w:val="both"/>
        <w:rPr>
          <w:bCs/>
          <w:szCs w:val="24"/>
        </w:rPr>
      </w:pPr>
      <w:proofErr w:type="gramStart"/>
      <w:r w:rsidRPr="0028154A">
        <w:rPr>
          <w:bCs/>
          <w:szCs w:val="24"/>
        </w:rPr>
        <w:t>In order to</w:t>
      </w:r>
      <w:proofErr w:type="gramEnd"/>
      <w:r w:rsidRPr="0028154A">
        <w:rPr>
          <w:bCs/>
          <w:szCs w:val="24"/>
        </w:rPr>
        <w:t xml:space="preserve"> demonstrate the level of sensitivity to changes in the cost inputs, sensitivity analysis using the £10m and £100m thresholds introduced in paragraph </w:t>
      </w:r>
      <w:r w:rsidRPr="0028154A">
        <w:rPr>
          <w:bCs/>
          <w:szCs w:val="24"/>
        </w:rPr>
        <w:fldChar w:fldCharType="begin"/>
      </w:r>
      <w:r w:rsidRPr="0028154A">
        <w:rPr>
          <w:bCs/>
          <w:szCs w:val="24"/>
        </w:rPr>
        <w:instrText xml:space="preserve"> REF _Ref178260275 \r \h </w:instrText>
      </w:r>
      <w:r w:rsidRPr="0028154A">
        <w:rPr>
          <w:bCs/>
          <w:szCs w:val="24"/>
        </w:rPr>
      </w:r>
      <w:r w:rsidRPr="0028154A">
        <w:rPr>
          <w:bCs/>
          <w:szCs w:val="24"/>
        </w:rPr>
        <w:fldChar w:fldCharType="separate"/>
      </w:r>
      <w:r w:rsidR="009C27D2">
        <w:rPr>
          <w:bCs/>
          <w:szCs w:val="24"/>
          <w:cs/>
        </w:rPr>
        <w:t>‎</w:t>
      </w:r>
      <w:r w:rsidR="009C27D2">
        <w:rPr>
          <w:bCs/>
          <w:szCs w:val="24"/>
        </w:rPr>
        <w:t>151</w:t>
      </w:r>
      <w:r w:rsidRPr="0028154A">
        <w:rPr>
          <w:bCs/>
          <w:szCs w:val="24"/>
        </w:rPr>
        <w:fldChar w:fldCharType="end"/>
      </w:r>
      <w:r w:rsidRPr="0028154A">
        <w:rPr>
          <w:bCs/>
          <w:szCs w:val="24"/>
        </w:rPr>
        <w:t xml:space="preserve"> has been undertaken using the cost estimates for the verification scheme, which is the largest individual requirement by cost. The analysis checks what the one-off and ongoing cost of verification would need to be for the best estimate of the total EANDCB (estimated at £2</w:t>
      </w:r>
      <w:r w:rsidR="00472D34">
        <w:rPr>
          <w:bCs/>
          <w:szCs w:val="24"/>
        </w:rPr>
        <w:t>6</w:t>
      </w:r>
      <w:r w:rsidRPr="0028154A">
        <w:rPr>
          <w:bCs/>
          <w:szCs w:val="24"/>
        </w:rPr>
        <w:t>m) to move to the thresholds.</w:t>
      </w:r>
    </w:p>
    <w:p w14:paraId="245C10A3" w14:textId="77777777" w:rsidR="0028154A" w:rsidRPr="0028154A" w:rsidRDefault="0028154A" w:rsidP="00CA7F1E">
      <w:pPr>
        <w:numPr>
          <w:ilvl w:val="0"/>
          <w:numId w:val="1"/>
        </w:numPr>
        <w:spacing w:before="240" w:after="120"/>
        <w:jc w:val="both"/>
        <w:rPr>
          <w:bCs/>
          <w:szCs w:val="24"/>
        </w:rPr>
      </w:pPr>
      <w:proofErr w:type="gramStart"/>
      <w:r w:rsidRPr="0028154A">
        <w:rPr>
          <w:bCs/>
          <w:szCs w:val="24"/>
        </w:rPr>
        <w:t>In order to</w:t>
      </w:r>
      <w:proofErr w:type="gramEnd"/>
      <w:r w:rsidRPr="0028154A">
        <w:rPr>
          <w:bCs/>
          <w:szCs w:val="24"/>
        </w:rPr>
        <w:t xml:space="preserve"> reach the £10m threshold, the upfront cost of establishing the verification scheme would need to decrease to approximately -£4.3m, representing a 370% decrease on the current estimate of £1.6m. The verification scheme having a negative set up cost should not be possible in practise. </w:t>
      </w:r>
      <w:proofErr w:type="gramStart"/>
      <w:r w:rsidRPr="0028154A">
        <w:rPr>
          <w:bCs/>
          <w:szCs w:val="24"/>
        </w:rPr>
        <w:t>In order to</w:t>
      </w:r>
      <w:proofErr w:type="gramEnd"/>
      <w:r w:rsidRPr="0028154A">
        <w:rPr>
          <w:bCs/>
          <w:szCs w:val="24"/>
        </w:rPr>
        <w:t xml:space="preserve"> reach the £100m the upfront cost of establishing the verification scheme would need to increase to approximately £29m, representing an increase of 1700%.</w:t>
      </w:r>
    </w:p>
    <w:p w14:paraId="7AF6F82E" w14:textId="77777777" w:rsidR="0028154A" w:rsidRPr="0028154A" w:rsidRDefault="0028154A" w:rsidP="00CA7F1E">
      <w:pPr>
        <w:numPr>
          <w:ilvl w:val="0"/>
          <w:numId w:val="1"/>
        </w:numPr>
        <w:spacing w:before="240" w:after="120"/>
        <w:jc w:val="both"/>
        <w:rPr>
          <w:bCs/>
          <w:szCs w:val="24"/>
        </w:rPr>
      </w:pPr>
      <w:r w:rsidRPr="0028154A">
        <w:rPr>
          <w:bCs/>
          <w:szCs w:val="24"/>
        </w:rPr>
        <w:lastRenderedPageBreak/>
        <w:t xml:space="preserve">A similar exercise has been undertaken for the ongoing cost of maintaining the verification scheme. </w:t>
      </w:r>
      <w:proofErr w:type="gramStart"/>
      <w:r w:rsidRPr="0028154A">
        <w:rPr>
          <w:bCs/>
          <w:szCs w:val="24"/>
        </w:rPr>
        <w:t>In order to</w:t>
      </w:r>
      <w:proofErr w:type="gramEnd"/>
      <w:r w:rsidRPr="0028154A">
        <w:rPr>
          <w:bCs/>
          <w:szCs w:val="24"/>
        </w:rPr>
        <w:t xml:space="preserve"> reach the £10m threshold, the ongoing cost of maintaining the verification scheme would need to decrease to approximately -£780k per annum, representing a 330% decrease on the current estimate of £340k. The verification scheme having a negative maintenance cost should also not be possible in practise. </w:t>
      </w:r>
      <w:proofErr w:type="gramStart"/>
      <w:r w:rsidRPr="0028154A">
        <w:rPr>
          <w:bCs/>
          <w:szCs w:val="24"/>
        </w:rPr>
        <w:t>In order to</w:t>
      </w:r>
      <w:proofErr w:type="gramEnd"/>
      <w:r w:rsidRPr="0028154A">
        <w:rPr>
          <w:bCs/>
          <w:szCs w:val="24"/>
        </w:rPr>
        <w:t xml:space="preserve"> reach the £100m the ongoing cost of maintaining the verification scheme would need to increase to approximately £5.6m per annum, representing an increase of 1500%.</w:t>
      </w:r>
    </w:p>
    <w:p w14:paraId="6F9BFB0A" w14:textId="77777777" w:rsidR="0028154A" w:rsidRDefault="0028154A" w:rsidP="00CA7F1E">
      <w:pPr>
        <w:numPr>
          <w:ilvl w:val="0"/>
          <w:numId w:val="1"/>
        </w:numPr>
        <w:spacing w:before="240" w:after="120"/>
        <w:jc w:val="both"/>
        <w:rPr>
          <w:bCs/>
          <w:szCs w:val="24"/>
        </w:rPr>
      </w:pPr>
      <w:r w:rsidRPr="0028154A">
        <w:rPr>
          <w:bCs/>
          <w:szCs w:val="24"/>
        </w:rPr>
        <w:t xml:space="preserve">This analysis demonstrates that a very large underestimate, or an impossibly large overestimate of the cost of any individual requirement would be needed to result in a change in the order of magnitude of the total cost. For all other cost </w:t>
      </w:r>
      <w:proofErr w:type="gramStart"/>
      <w:r w:rsidRPr="0028154A">
        <w:rPr>
          <w:bCs/>
          <w:szCs w:val="24"/>
        </w:rPr>
        <w:t>inputs</w:t>
      </w:r>
      <w:proofErr w:type="gramEnd"/>
      <w:r w:rsidRPr="0028154A">
        <w:rPr>
          <w:bCs/>
          <w:szCs w:val="24"/>
        </w:rPr>
        <w:t xml:space="preserve"> the required change in cost increases proportionate to the proportion of overall cost that requirement makes up.</w:t>
      </w:r>
    </w:p>
    <w:p w14:paraId="79939857" w14:textId="62299036" w:rsidR="00B76346" w:rsidRPr="0028154A" w:rsidRDefault="00B76346" w:rsidP="00CA7F1E">
      <w:pPr>
        <w:numPr>
          <w:ilvl w:val="0"/>
          <w:numId w:val="1"/>
        </w:numPr>
        <w:spacing w:before="240" w:after="120"/>
        <w:jc w:val="both"/>
      </w:pPr>
      <w:r>
        <w:t xml:space="preserve">There remains some risk around the cost estimates in this OA. </w:t>
      </w:r>
      <w:proofErr w:type="gramStart"/>
      <w:r w:rsidR="00BE3D65">
        <w:t>The majority of</w:t>
      </w:r>
      <w:proofErr w:type="gramEnd"/>
      <w:r w:rsidR="00BE3D65">
        <w:t xml:space="preserve"> the estimates for offshore costs </w:t>
      </w:r>
      <w:r w:rsidR="00607C85">
        <w:t xml:space="preserve">were developed </w:t>
      </w:r>
      <w:r w:rsidR="005739D5">
        <w:t>for compliance of hydrocarbon installations</w:t>
      </w:r>
      <w:r w:rsidR="00821091">
        <w:t xml:space="preserve"> and used as a reasonable proxy for CCUS and hydrogen.</w:t>
      </w:r>
      <w:r w:rsidR="00452A3F">
        <w:t xml:space="preserve"> This means that systematic under or overestimation of cost is a possibility.</w:t>
      </w:r>
      <w:r w:rsidR="00821091">
        <w:t xml:space="preserve"> </w:t>
      </w:r>
      <w:r w:rsidR="00E71399">
        <w:t xml:space="preserve">The cost estimates will be tested for their validity </w:t>
      </w:r>
      <w:r w:rsidR="0079102D">
        <w:t>and applicability to CCUS and hydrogen at consultation stage.</w:t>
      </w:r>
    </w:p>
    <w:p w14:paraId="4DFA9210" w14:textId="77777777" w:rsidR="0028154A" w:rsidRPr="0028154A" w:rsidRDefault="0028154A" w:rsidP="0028154A">
      <w:pPr>
        <w:spacing w:before="240" w:after="120"/>
        <w:rPr>
          <w:bCs/>
          <w:szCs w:val="24"/>
          <w:u w:val="single"/>
        </w:rPr>
      </w:pPr>
      <w:r w:rsidRPr="0028154A">
        <w:rPr>
          <w:bCs/>
          <w:szCs w:val="24"/>
          <w:u w:val="single"/>
        </w:rPr>
        <w:t>Input Costs – Onshore Pipelines</w:t>
      </w:r>
    </w:p>
    <w:p w14:paraId="20C24B27" w14:textId="3FCBF5D4" w:rsidR="0028154A" w:rsidRPr="0028154A" w:rsidRDefault="0028154A" w:rsidP="00CA7F1E">
      <w:pPr>
        <w:numPr>
          <w:ilvl w:val="0"/>
          <w:numId w:val="1"/>
        </w:numPr>
        <w:spacing w:before="240" w:after="120"/>
        <w:jc w:val="both"/>
        <w:rPr>
          <w:bCs/>
          <w:szCs w:val="24"/>
        </w:rPr>
      </w:pPr>
      <w:r w:rsidRPr="0028154A">
        <w:rPr>
          <w:bCs/>
          <w:szCs w:val="24"/>
        </w:rPr>
        <w:t>As with the offshore costs, the proportion of overall onshore pipeline cost that each requirement of PSR</w:t>
      </w:r>
      <w:r w:rsidR="00D62CBF">
        <w:rPr>
          <w:bCs/>
          <w:szCs w:val="24"/>
        </w:rPr>
        <w:t>96</w:t>
      </w:r>
      <w:r w:rsidRPr="0028154A">
        <w:rPr>
          <w:bCs/>
          <w:szCs w:val="24"/>
        </w:rPr>
        <w:t xml:space="preserve"> makes up has been assessed. This demonstrates which requirements are most impactful and which costs the model is most sensitive to. These are outlined in the following table:</w:t>
      </w:r>
    </w:p>
    <w:tbl>
      <w:tblPr>
        <w:tblStyle w:val="TableGrid1"/>
        <w:tblW w:w="0" w:type="auto"/>
        <w:tblInd w:w="607" w:type="dxa"/>
        <w:tblLayout w:type="fixed"/>
        <w:tblLook w:val="04A0" w:firstRow="1" w:lastRow="0" w:firstColumn="1" w:lastColumn="0" w:noHBand="0" w:noVBand="1"/>
      </w:tblPr>
      <w:tblGrid>
        <w:gridCol w:w="3074"/>
        <w:gridCol w:w="2693"/>
        <w:gridCol w:w="2552"/>
      </w:tblGrid>
      <w:tr w:rsidR="0028154A" w:rsidRPr="0028154A" w14:paraId="3F85746B" w14:textId="77777777">
        <w:tc>
          <w:tcPr>
            <w:tcW w:w="3074" w:type="dxa"/>
          </w:tcPr>
          <w:p w14:paraId="58C9DAC1" w14:textId="77777777" w:rsidR="0028154A" w:rsidRPr="0028154A" w:rsidRDefault="0028154A" w:rsidP="0028154A">
            <w:pPr>
              <w:rPr>
                <w:b/>
                <w:bCs/>
                <w:szCs w:val="24"/>
              </w:rPr>
            </w:pPr>
          </w:p>
        </w:tc>
        <w:tc>
          <w:tcPr>
            <w:tcW w:w="2693" w:type="dxa"/>
          </w:tcPr>
          <w:p w14:paraId="52D9F1CF" w14:textId="168182AC" w:rsidR="0028154A" w:rsidRPr="0028154A" w:rsidRDefault="0028154A" w:rsidP="0028154A">
            <w:pPr>
              <w:rPr>
                <w:b/>
                <w:bCs/>
                <w:szCs w:val="24"/>
              </w:rPr>
            </w:pPr>
            <w:r w:rsidRPr="0028154A">
              <w:rPr>
                <w:rFonts w:eastAsia="Times New Roman"/>
                <w:b/>
                <w:bCs/>
                <w:color w:val="000000"/>
                <w:szCs w:val="24"/>
              </w:rPr>
              <w:t xml:space="preserve">Cost per </w:t>
            </w:r>
            <w:r w:rsidR="00F82EC5">
              <w:rPr>
                <w:rFonts w:eastAsia="Times New Roman"/>
                <w:b/>
                <w:bCs/>
                <w:color w:val="000000"/>
                <w:szCs w:val="24"/>
              </w:rPr>
              <w:t>pipeline</w:t>
            </w:r>
          </w:p>
        </w:tc>
        <w:tc>
          <w:tcPr>
            <w:tcW w:w="2552" w:type="dxa"/>
            <w:vMerge w:val="restart"/>
          </w:tcPr>
          <w:p w14:paraId="0E1E67EC" w14:textId="77777777" w:rsidR="0028154A" w:rsidRPr="0028154A" w:rsidRDefault="0028154A" w:rsidP="0028154A">
            <w:pPr>
              <w:jc w:val="center"/>
              <w:rPr>
                <w:rFonts w:eastAsia="Times New Roman"/>
                <w:b/>
                <w:bCs/>
                <w:szCs w:val="24"/>
              </w:rPr>
            </w:pPr>
            <w:r w:rsidRPr="0028154A">
              <w:rPr>
                <w:rFonts w:eastAsia="Times New Roman"/>
                <w:b/>
                <w:bCs/>
                <w:szCs w:val="24"/>
              </w:rPr>
              <w:t>Proportion of total cost</w:t>
            </w:r>
          </w:p>
        </w:tc>
      </w:tr>
      <w:tr w:rsidR="0028154A" w:rsidRPr="0028154A" w14:paraId="31B3D248" w14:textId="77777777">
        <w:trPr>
          <w:trHeight w:val="285"/>
        </w:trPr>
        <w:tc>
          <w:tcPr>
            <w:tcW w:w="3074" w:type="dxa"/>
            <w:noWrap/>
            <w:hideMark/>
          </w:tcPr>
          <w:p w14:paraId="7DD002BC" w14:textId="77777777" w:rsidR="0028154A" w:rsidRPr="0028154A" w:rsidRDefault="0028154A" w:rsidP="0028154A">
            <w:pPr>
              <w:rPr>
                <w:rFonts w:eastAsia="Times New Roman"/>
                <w:b/>
                <w:bCs/>
                <w:szCs w:val="24"/>
              </w:rPr>
            </w:pPr>
            <w:r w:rsidRPr="0028154A">
              <w:rPr>
                <w:rFonts w:eastAsia="Times New Roman"/>
                <w:b/>
                <w:bCs/>
                <w:szCs w:val="24"/>
              </w:rPr>
              <w:t>Requirement</w:t>
            </w:r>
          </w:p>
        </w:tc>
        <w:tc>
          <w:tcPr>
            <w:tcW w:w="2693" w:type="dxa"/>
            <w:noWrap/>
            <w:hideMark/>
          </w:tcPr>
          <w:p w14:paraId="3005ECA5" w14:textId="77777777" w:rsidR="0028154A" w:rsidRPr="0028154A" w:rsidRDefault="0028154A" w:rsidP="0028154A">
            <w:pPr>
              <w:rPr>
                <w:rFonts w:eastAsia="Times New Roman"/>
                <w:b/>
                <w:bCs/>
                <w:color w:val="000000"/>
                <w:szCs w:val="24"/>
              </w:rPr>
            </w:pPr>
            <w:r w:rsidRPr="0028154A">
              <w:rPr>
                <w:rFonts w:eastAsia="Times New Roman"/>
                <w:b/>
                <w:bCs/>
                <w:color w:val="000000"/>
                <w:szCs w:val="24"/>
              </w:rPr>
              <w:t>EANDCB (£)</w:t>
            </w:r>
          </w:p>
        </w:tc>
        <w:tc>
          <w:tcPr>
            <w:tcW w:w="2552" w:type="dxa"/>
            <w:vMerge/>
            <w:noWrap/>
            <w:hideMark/>
          </w:tcPr>
          <w:p w14:paraId="6E5443A4" w14:textId="77777777" w:rsidR="0028154A" w:rsidRPr="0028154A" w:rsidRDefault="0028154A" w:rsidP="0028154A">
            <w:pPr>
              <w:jc w:val="center"/>
              <w:rPr>
                <w:rFonts w:eastAsia="Times New Roman"/>
                <w:b/>
                <w:bCs/>
                <w:i/>
                <w:iCs/>
                <w:szCs w:val="24"/>
              </w:rPr>
            </w:pPr>
          </w:p>
        </w:tc>
      </w:tr>
      <w:tr w:rsidR="0028154A" w:rsidRPr="0028154A" w14:paraId="1D3A5A52" w14:textId="77777777">
        <w:trPr>
          <w:trHeight w:val="285"/>
        </w:trPr>
        <w:tc>
          <w:tcPr>
            <w:tcW w:w="3074" w:type="dxa"/>
            <w:noWrap/>
            <w:hideMark/>
          </w:tcPr>
          <w:p w14:paraId="5A96D69E" w14:textId="77777777" w:rsidR="0028154A" w:rsidRPr="0028154A" w:rsidRDefault="0028154A" w:rsidP="0028154A">
            <w:pPr>
              <w:rPr>
                <w:rFonts w:eastAsia="Times New Roman"/>
                <w:szCs w:val="24"/>
              </w:rPr>
            </w:pPr>
            <w:r w:rsidRPr="0028154A">
              <w:rPr>
                <w:rFonts w:eastAsia="Times New Roman"/>
                <w:szCs w:val="24"/>
              </w:rPr>
              <w:t>ESDVs</w:t>
            </w:r>
          </w:p>
        </w:tc>
        <w:tc>
          <w:tcPr>
            <w:tcW w:w="2693" w:type="dxa"/>
            <w:noWrap/>
            <w:hideMark/>
          </w:tcPr>
          <w:p w14:paraId="67B449A8" w14:textId="77777777" w:rsidR="0028154A" w:rsidRPr="0028154A" w:rsidRDefault="0028154A" w:rsidP="0028154A">
            <w:pPr>
              <w:rPr>
                <w:rFonts w:eastAsia="Times New Roman"/>
                <w:color w:val="000000"/>
                <w:szCs w:val="24"/>
              </w:rPr>
            </w:pPr>
            <w:r w:rsidRPr="0028154A">
              <w:rPr>
                <w:rFonts w:eastAsia="Times New Roman"/>
                <w:szCs w:val="24"/>
              </w:rPr>
              <w:t xml:space="preserve"> £46,000 </w:t>
            </w:r>
          </w:p>
        </w:tc>
        <w:tc>
          <w:tcPr>
            <w:tcW w:w="2552" w:type="dxa"/>
            <w:noWrap/>
            <w:hideMark/>
          </w:tcPr>
          <w:p w14:paraId="0A7A9F35" w14:textId="77777777" w:rsidR="0028154A" w:rsidRPr="0028154A" w:rsidRDefault="0028154A" w:rsidP="0028154A">
            <w:pPr>
              <w:rPr>
                <w:rFonts w:eastAsia="Times New Roman"/>
                <w:color w:val="000000"/>
                <w:szCs w:val="24"/>
              </w:rPr>
            </w:pPr>
            <w:r w:rsidRPr="0028154A">
              <w:rPr>
                <w:rFonts w:eastAsia="Times New Roman"/>
                <w:szCs w:val="24"/>
              </w:rPr>
              <w:t>56%</w:t>
            </w:r>
          </w:p>
        </w:tc>
      </w:tr>
      <w:tr w:rsidR="0028154A" w:rsidRPr="0028154A" w14:paraId="3728A451" w14:textId="77777777">
        <w:trPr>
          <w:trHeight w:val="285"/>
        </w:trPr>
        <w:tc>
          <w:tcPr>
            <w:tcW w:w="3074" w:type="dxa"/>
            <w:noWrap/>
            <w:hideMark/>
          </w:tcPr>
          <w:p w14:paraId="62A7B9C1" w14:textId="77777777" w:rsidR="0028154A" w:rsidRPr="0028154A" w:rsidRDefault="0028154A" w:rsidP="0028154A">
            <w:pPr>
              <w:rPr>
                <w:rFonts w:eastAsia="Times New Roman"/>
                <w:color w:val="000000"/>
                <w:szCs w:val="24"/>
              </w:rPr>
            </w:pPr>
            <w:r w:rsidRPr="0028154A">
              <w:rPr>
                <w:rFonts w:eastAsia="Times New Roman"/>
                <w:color w:val="000000"/>
                <w:szCs w:val="24"/>
              </w:rPr>
              <w:t>Emergency Procedures</w:t>
            </w:r>
          </w:p>
        </w:tc>
        <w:tc>
          <w:tcPr>
            <w:tcW w:w="2693" w:type="dxa"/>
            <w:noWrap/>
            <w:hideMark/>
          </w:tcPr>
          <w:p w14:paraId="578E0345" w14:textId="77777777" w:rsidR="0028154A" w:rsidRPr="0028154A" w:rsidRDefault="0028154A" w:rsidP="0028154A">
            <w:pPr>
              <w:rPr>
                <w:rFonts w:eastAsia="Times New Roman"/>
                <w:szCs w:val="24"/>
              </w:rPr>
            </w:pPr>
            <w:r w:rsidRPr="0028154A">
              <w:rPr>
                <w:rFonts w:eastAsia="Times New Roman"/>
                <w:szCs w:val="24"/>
              </w:rPr>
              <w:t xml:space="preserve"> £20,000</w:t>
            </w:r>
          </w:p>
        </w:tc>
        <w:tc>
          <w:tcPr>
            <w:tcW w:w="2552" w:type="dxa"/>
            <w:noWrap/>
            <w:hideMark/>
          </w:tcPr>
          <w:p w14:paraId="7E2045F4" w14:textId="77777777" w:rsidR="0028154A" w:rsidRPr="0028154A" w:rsidRDefault="0028154A" w:rsidP="0028154A">
            <w:pPr>
              <w:rPr>
                <w:rFonts w:eastAsia="Times New Roman"/>
                <w:szCs w:val="24"/>
              </w:rPr>
            </w:pPr>
            <w:r w:rsidRPr="0028154A">
              <w:rPr>
                <w:rFonts w:eastAsia="Times New Roman"/>
                <w:szCs w:val="24"/>
              </w:rPr>
              <w:t>24%</w:t>
            </w:r>
          </w:p>
        </w:tc>
      </w:tr>
      <w:tr w:rsidR="0028154A" w:rsidRPr="0028154A" w14:paraId="435A1B38" w14:textId="77777777">
        <w:trPr>
          <w:trHeight w:val="285"/>
        </w:trPr>
        <w:tc>
          <w:tcPr>
            <w:tcW w:w="3074" w:type="dxa"/>
            <w:noWrap/>
            <w:hideMark/>
          </w:tcPr>
          <w:p w14:paraId="2D3488E0" w14:textId="77777777" w:rsidR="0028154A" w:rsidRPr="0028154A" w:rsidRDefault="0028154A" w:rsidP="0028154A">
            <w:pPr>
              <w:rPr>
                <w:rFonts w:eastAsia="Times New Roman"/>
                <w:szCs w:val="24"/>
              </w:rPr>
            </w:pPr>
            <w:r w:rsidRPr="0028154A">
              <w:rPr>
                <w:rFonts w:eastAsia="Times New Roman"/>
                <w:szCs w:val="24"/>
              </w:rPr>
              <w:t>Local Authority Plans</w:t>
            </w:r>
          </w:p>
        </w:tc>
        <w:tc>
          <w:tcPr>
            <w:tcW w:w="2693" w:type="dxa"/>
            <w:noWrap/>
            <w:hideMark/>
          </w:tcPr>
          <w:p w14:paraId="5373BDDC" w14:textId="77777777" w:rsidR="0028154A" w:rsidRPr="0028154A" w:rsidRDefault="0028154A" w:rsidP="0028154A">
            <w:pPr>
              <w:rPr>
                <w:rFonts w:eastAsia="Times New Roman"/>
                <w:szCs w:val="24"/>
              </w:rPr>
            </w:pPr>
            <w:r w:rsidRPr="0028154A">
              <w:rPr>
                <w:rFonts w:eastAsia="Times New Roman"/>
                <w:szCs w:val="24"/>
              </w:rPr>
              <w:t xml:space="preserve"> £8,300 </w:t>
            </w:r>
          </w:p>
        </w:tc>
        <w:tc>
          <w:tcPr>
            <w:tcW w:w="2552" w:type="dxa"/>
            <w:noWrap/>
            <w:hideMark/>
          </w:tcPr>
          <w:p w14:paraId="1A477B83" w14:textId="77777777" w:rsidR="0028154A" w:rsidRPr="0028154A" w:rsidRDefault="0028154A" w:rsidP="0028154A">
            <w:pPr>
              <w:rPr>
                <w:rFonts w:eastAsia="Times New Roman"/>
                <w:szCs w:val="24"/>
              </w:rPr>
            </w:pPr>
            <w:r w:rsidRPr="0028154A">
              <w:rPr>
                <w:rFonts w:eastAsia="Times New Roman"/>
                <w:szCs w:val="24"/>
              </w:rPr>
              <w:t>10%</w:t>
            </w:r>
          </w:p>
        </w:tc>
      </w:tr>
      <w:tr w:rsidR="0028154A" w:rsidRPr="0028154A" w14:paraId="773E2C56" w14:textId="77777777">
        <w:trPr>
          <w:trHeight w:val="285"/>
        </w:trPr>
        <w:tc>
          <w:tcPr>
            <w:tcW w:w="3074" w:type="dxa"/>
            <w:noWrap/>
            <w:hideMark/>
          </w:tcPr>
          <w:p w14:paraId="72D309E2" w14:textId="77777777" w:rsidR="0028154A" w:rsidRPr="0028154A" w:rsidRDefault="0028154A" w:rsidP="0028154A">
            <w:pPr>
              <w:rPr>
                <w:rFonts w:eastAsia="Times New Roman"/>
                <w:szCs w:val="24"/>
              </w:rPr>
            </w:pPr>
            <w:r w:rsidRPr="0028154A">
              <w:rPr>
                <w:rFonts w:eastAsia="Times New Roman"/>
                <w:szCs w:val="24"/>
              </w:rPr>
              <w:t>MAPD</w:t>
            </w:r>
          </w:p>
        </w:tc>
        <w:tc>
          <w:tcPr>
            <w:tcW w:w="2693" w:type="dxa"/>
            <w:noWrap/>
            <w:hideMark/>
          </w:tcPr>
          <w:p w14:paraId="252F1B70" w14:textId="77777777" w:rsidR="0028154A" w:rsidRPr="0028154A" w:rsidRDefault="0028154A" w:rsidP="0028154A">
            <w:pPr>
              <w:rPr>
                <w:rFonts w:eastAsia="Times New Roman"/>
                <w:szCs w:val="24"/>
              </w:rPr>
            </w:pPr>
            <w:r w:rsidRPr="0028154A">
              <w:rPr>
                <w:rFonts w:eastAsia="Times New Roman"/>
                <w:szCs w:val="24"/>
              </w:rPr>
              <w:t xml:space="preserve"> £7,000 </w:t>
            </w:r>
          </w:p>
        </w:tc>
        <w:tc>
          <w:tcPr>
            <w:tcW w:w="2552" w:type="dxa"/>
            <w:noWrap/>
            <w:hideMark/>
          </w:tcPr>
          <w:p w14:paraId="1B3C66BD" w14:textId="77777777" w:rsidR="0028154A" w:rsidRPr="0028154A" w:rsidRDefault="0028154A" w:rsidP="0028154A">
            <w:pPr>
              <w:rPr>
                <w:rFonts w:eastAsia="Times New Roman"/>
                <w:szCs w:val="24"/>
              </w:rPr>
            </w:pPr>
            <w:r w:rsidRPr="0028154A">
              <w:rPr>
                <w:rFonts w:eastAsia="Times New Roman"/>
                <w:szCs w:val="24"/>
              </w:rPr>
              <w:t>9%</w:t>
            </w:r>
          </w:p>
        </w:tc>
      </w:tr>
      <w:tr w:rsidR="0028154A" w:rsidRPr="0028154A" w14:paraId="1D32FA5A" w14:textId="77777777">
        <w:trPr>
          <w:trHeight w:val="285"/>
        </w:trPr>
        <w:tc>
          <w:tcPr>
            <w:tcW w:w="3074" w:type="dxa"/>
            <w:noWrap/>
            <w:hideMark/>
          </w:tcPr>
          <w:p w14:paraId="2737CA9E" w14:textId="77777777" w:rsidR="0028154A" w:rsidRPr="0028154A" w:rsidRDefault="0028154A" w:rsidP="0028154A">
            <w:pPr>
              <w:contextualSpacing/>
              <w:rPr>
                <w:rFonts w:eastAsia="Times New Roman"/>
                <w:szCs w:val="24"/>
              </w:rPr>
            </w:pPr>
            <w:r w:rsidRPr="0028154A">
              <w:rPr>
                <w:rFonts w:eastAsia="Times New Roman"/>
                <w:szCs w:val="24"/>
              </w:rPr>
              <w:t>Notifications</w:t>
            </w:r>
          </w:p>
        </w:tc>
        <w:tc>
          <w:tcPr>
            <w:tcW w:w="2693" w:type="dxa"/>
            <w:noWrap/>
            <w:hideMark/>
          </w:tcPr>
          <w:p w14:paraId="2264CE1E" w14:textId="77777777" w:rsidR="0028154A" w:rsidRPr="0028154A" w:rsidRDefault="0028154A" w:rsidP="0028154A">
            <w:pPr>
              <w:contextualSpacing/>
              <w:rPr>
                <w:rFonts w:eastAsia="Times New Roman"/>
                <w:szCs w:val="24"/>
              </w:rPr>
            </w:pPr>
            <w:r w:rsidRPr="0028154A">
              <w:rPr>
                <w:rFonts w:eastAsia="Times New Roman"/>
                <w:szCs w:val="24"/>
              </w:rPr>
              <w:t xml:space="preserve"> £1,600</w:t>
            </w:r>
          </w:p>
        </w:tc>
        <w:tc>
          <w:tcPr>
            <w:tcW w:w="2552" w:type="dxa"/>
            <w:noWrap/>
            <w:hideMark/>
          </w:tcPr>
          <w:p w14:paraId="104409A7" w14:textId="77777777" w:rsidR="0028154A" w:rsidRPr="0028154A" w:rsidRDefault="0028154A" w:rsidP="0028154A">
            <w:pPr>
              <w:contextualSpacing/>
              <w:rPr>
                <w:rFonts w:eastAsia="Times New Roman"/>
                <w:szCs w:val="24"/>
              </w:rPr>
            </w:pPr>
            <w:r w:rsidRPr="0028154A">
              <w:rPr>
                <w:rFonts w:eastAsia="Times New Roman"/>
                <w:szCs w:val="24"/>
              </w:rPr>
              <w:t>2%</w:t>
            </w:r>
          </w:p>
        </w:tc>
      </w:tr>
    </w:tbl>
    <w:p w14:paraId="47BB0864" w14:textId="77777777" w:rsidR="0028154A" w:rsidRPr="0028154A" w:rsidRDefault="0028154A" w:rsidP="0028154A">
      <w:pPr>
        <w:spacing w:before="240" w:after="120"/>
        <w:contextualSpacing/>
        <w:rPr>
          <w:bCs/>
          <w:i/>
          <w:iCs/>
          <w:szCs w:val="24"/>
        </w:rPr>
      </w:pPr>
      <w:r w:rsidRPr="0028154A">
        <w:rPr>
          <w:bCs/>
          <w:i/>
          <w:iCs/>
          <w:szCs w:val="24"/>
        </w:rPr>
        <w:t>*Rounded to 2s.f.s.</w:t>
      </w:r>
    </w:p>
    <w:p w14:paraId="6D3DB8EB" w14:textId="23F344A9" w:rsidR="0028154A" w:rsidRPr="000F1B89" w:rsidRDefault="0079102D" w:rsidP="00CA7F1E">
      <w:pPr>
        <w:numPr>
          <w:ilvl w:val="0"/>
          <w:numId w:val="1"/>
        </w:numPr>
        <w:spacing w:before="240" w:after="120"/>
        <w:jc w:val="both"/>
        <w:rPr>
          <w:bCs/>
          <w:szCs w:val="24"/>
        </w:rPr>
      </w:pPr>
      <w:r>
        <w:rPr>
          <w:bCs/>
          <w:szCs w:val="24"/>
        </w:rPr>
        <w:t xml:space="preserve">There remains some risk around </w:t>
      </w:r>
      <w:r w:rsidR="00452A3F">
        <w:rPr>
          <w:bCs/>
          <w:szCs w:val="24"/>
        </w:rPr>
        <w:t>the estimates for the cost of complying with PSR</w:t>
      </w:r>
      <w:r w:rsidR="00D62CBF">
        <w:rPr>
          <w:bCs/>
          <w:szCs w:val="24"/>
        </w:rPr>
        <w:t>96</w:t>
      </w:r>
      <w:r w:rsidR="00452A3F">
        <w:rPr>
          <w:bCs/>
          <w:szCs w:val="24"/>
        </w:rPr>
        <w:t xml:space="preserve"> </w:t>
      </w:r>
      <w:r w:rsidR="009E109C">
        <w:rPr>
          <w:bCs/>
          <w:szCs w:val="24"/>
        </w:rPr>
        <w:t>as they are based on a small sample of survey resp</w:t>
      </w:r>
      <w:r w:rsidR="0086161D">
        <w:rPr>
          <w:bCs/>
          <w:szCs w:val="24"/>
        </w:rPr>
        <w:t>onses which contained some outliers. These cost estimates will be tested for their validity at consultation stage.</w:t>
      </w:r>
    </w:p>
    <w:p w14:paraId="73EC1258" w14:textId="77777777" w:rsidR="0028154A" w:rsidRPr="007C47D0" w:rsidRDefault="0028154A" w:rsidP="0028154A">
      <w:pPr>
        <w:keepNext/>
        <w:keepLines/>
        <w:spacing w:before="240" w:after="120" w:line="240" w:lineRule="auto"/>
        <w:outlineLvl w:val="2"/>
        <w:rPr>
          <w:rFonts w:eastAsia="Arial" w:cs="Arial"/>
          <w:b/>
          <w:color w:val="000000"/>
          <w:sz w:val="28"/>
          <w:szCs w:val="28"/>
        </w:rPr>
      </w:pPr>
      <w:r w:rsidRPr="007C47D0">
        <w:rPr>
          <w:rFonts w:eastAsia="Arial" w:cs="Arial"/>
          <w:b/>
          <w:color w:val="000000"/>
          <w:sz w:val="28"/>
          <w:szCs w:val="28"/>
        </w:rPr>
        <w:t>Summary</w:t>
      </w:r>
    </w:p>
    <w:p w14:paraId="3CAD023C" w14:textId="77777777" w:rsidR="00B21E86" w:rsidRPr="00CB599F" w:rsidRDefault="00B21E86" w:rsidP="00CA7F1E">
      <w:pPr>
        <w:numPr>
          <w:ilvl w:val="0"/>
          <w:numId w:val="1"/>
        </w:numPr>
        <w:spacing w:before="240" w:after="120"/>
        <w:jc w:val="both"/>
      </w:pPr>
      <w:proofErr w:type="gramStart"/>
      <w:r w:rsidRPr="0028154A">
        <w:rPr>
          <w:bCs/>
          <w:szCs w:val="24"/>
        </w:rPr>
        <w:t>Early stage</w:t>
      </w:r>
      <w:proofErr w:type="gramEnd"/>
      <w:r w:rsidRPr="0028154A">
        <w:rPr>
          <w:bCs/>
          <w:szCs w:val="24"/>
        </w:rPr>
        <w:t xml:space="preserve"> cost-benefit analysis </w:t>
      </w:r>
      <w:r>
        <w:rPr>
          <w:bCs/>
          <w:szCs w:val="24"/>
        </w:rPr>
        <w:t xml:space="preserve">for the preferred option </w:t>
      </w:r>
      <w:r w:rsidRPr="0028154A">
        <w:rPr>
          <w:bCs/>
          <w:szCs w:val="24"/>
        </w:rPr>
        <w:t xml:space="preserve">indicates that the likely annualised cost </w:t>
      </w:r>
      <w:r>
        <w:rPr>
          <w:bCs/>
          <w:szCs w:val="24"/>
        </w:rPr>
        <w:t>of compliance</w:t>
      </w:r>
      <w:r w:rsidRPr="0028154A">
        <w:rPr>
          <w:bCs/>
          <w:szCs w:val="24"/>
        </w:rPr>
        <w:t xml:space="preserve"> per offshore </w:t>
      </w:r>
      <w:r>
        <w:rPr>
          <w:bCs/>
          <w:szCs w:val="24"/>
        </w:rPr>
        <w:t xml:space="preserve">hydrogen </w:t>
      </w:r>
      <w:r w:rsidRPr="0028154A">
        <w:rPr>
          <w:bCs/>
          <w:szCs w:val="24"/>
        </w:rPr>
        <w:t xml:space="preserve">installation is </w:t>
      </w:r>
      <w:r>
        <w:rPr>
          <w:bCs/>
          <w:szCs w:val="24"/>
        </w:rPr>
        <w:t>between £590k and £2.1m</w:t>
      </w:r>
      <w:r w:rsidRPr="0028154A">
        <w:rPr>
          <w:bCs/>
          <w:szCs w:val="24"/>
        </w:rPr>
        <w:t xml:space="preserve">, with </w:t>
      </w:r>
      <w:r>
        <w:rPr>
          <w:bCs/>
          <w:szCs w:val="24"/>
        </w:rPr>
        <w:t>a best estimate of £1.3m per installation. Annualised c</w:t>
      </w:r>
      <w:r w:rsidRPr="0028154A">
        <w:rPr>
          <w:bCs/>
          <w:szCs w:val="24"/>
        </w:rPr>
        <w:t xml:space="preserve">osts for CCUS installations </w:t>
      </w:r>
      <w:r>
        <w:rPr>
          <w:bCs/>
          <w:szCs w:val="24"/>
        </w:rPr>
        <w:t>are estimated to be between £800k and £2.4m, with</w:t>
      </w:r>
      <w:r w:rsidRPr="0028154A">
        <w:rPr>
          <w:bCs/>
          <w:szCs w:val="24"/>
        </w:rPr>
        <w:t xml:space="preserve"> a </w:t>
      </w:r>
      <w:r>
        <w:rPr>
          <w:bCs/>
          <w:szCs w:val="24"/>
        </w:rPr>
        <w:t>best estimate</w:t>
      </w:r>
      <w:r w:rsidRPr="0028154A">
        <w:rPr>
          <w:bCs/>
          <w:szCs w:val="24"/>
        </w:rPr>
        <w:t xml:space="preserve"> of </w:t>
      </w:r>
      <w:r>
        <w:rPr>
          <w:bCs/>
          <w:szCs w:val="24"/>
        </w:rPr>
        <w:t>£1.6m</w:t>
      </w:r>
      <w:r w:rsidRPr="0028154A">
        <w:rPr>
          <w:bCs/>
          <w:szCs w:val="24"/>
        </w:rPr>
        <w:t xml:space="preserve"> </w:t>
      </w:r>
      <w:r>
        <w:rPr>
          <w:bCs/>
          <w:szCs w:val="24"/>
        </w:rPr>
        <w:t>per installation. CCUS costs are</w:t>
      </w:r>
      <w:r w:rsidRPr="0028154A">
        <w:rPr>
          <w:bCs/>
          <w:szCs w:val="24"/>
        </w:rPr>
        <w:t xml:space="preserve"> higher </w:t>
      </w:r>
      <w:proofErr w:type="gramStart"/>
      <w:r w:rsidRPr="0028154A">
        <w:rPr>
          <w:bCs/>
          <w:szCs w:val="24"/>
        </w:rPr>
        <w:t>as a result of</w:t>
      </w:r>
      <w:proofErr w:type="gramEnd"/>
      <w:r w:rsidRPr="0028154A">
        <w:rPr>
          <w:bCs/>
          <w:szCs w:val="24"/>
        </w:rPr>
        <w:t xml:space="preserve"> the use of wells, necessitating well examinations and well notifications.</w:t>
      </w:r>
    </w:p>
    <w:p w14:paraId="0B211978" w14:textId="3DCC2AB5" w:rsidR="00B21E86" w:rsidRPr="00CB599F" w:rsidRDefault="0028154A" w:rsidP="00CA7F1E">
      <w:pPr>
        <w:numPr>
          <w:ilvl w:val="0"/>
          <w:numId w:val="1"/>
        </w:numPr>
        <w:spacing w:before="240" w:after="120"/>
        <w:jc w:val="both"/>
      </w:pPr>
      <w:r w:rsidRPr="0028154A">
        <w:rPr>
          <w:bCs/>
          <w:szCs w:val="24"/>
        </w:rPr>
        <w:t xml:space="preserve">The likely cost of compliance per onshore </w:t>
      </w:r>
      <w:r w:rsidR="007C6A21" w:rsidRPr="0047731B">
        <w:rPr>
          <w:rFonts w:asciiTheme="minorBidi" w:hAnsiTheme="minorBidi" w:cstheme="minorBidi"/>
        </w:rPr>
        <w:t>CO</w:t>
      </w:r>
      <w:r w:rsidR="007C6A21" w:rsidRPr="0047731B">
        <w:rPr>
          <w:rFonts w:asciiTheme="minorBidi" w:hAnsiTheme="minorBidi" w:cstheme="minorBidi"/>
          <w:vertAlign w:val="subscript"/>
        </w:rPr>
        <w:t>2</w:t>
      </w:r>
      <w:r w:rsidR="007C6A21">
        <w:rPr>
          <w:rFonts w:asciiTheme="minorBidi" w:hAnsiTheme="minorBidi" w:cstheme="minorBidi"/>
          <w:vertAlign w:val="subscript"/>
        </w:rPr>
        <w:t xml:space="preserve"> </w:t>
      </w:r>
      <w:r w:rsidRPr="0028154A">
        <w:rPr>
          <w:bCs/>
          <w:szCs w:val="24"/>
        </w:rPr>
        <w:t xml:space="preserve">CCUS pipeline is lower, although there is significant uncertainty around this cost estimate with a range of annualised costs </w:t>
      </w:r>
      <w:r w:rsidRPr="0028154A">
        <w:rPr>
          <w:bCs/>
          <w:szCs w:val="24"/>
        </w:rPr>
        <w:lastRenderedPageBreak/>
        <w:t>between £</w:t>
      </w:r>
      <w:r w:rsidR="00B21E86">
        <w:rPr>
          <w:bCs/>
          <w:szCs w:val="24"/>
        </w:rPr>
        <w:t>5.4k</w:t>
      </w:r>
      <w:r w:rsidR="00B21E86" w:rsidRPr="0028154A">
        <w:rPr>
          <w:bCs/>
          <w:szCs w:val="24"/>
        </w:rPr>
        <w:t xml:space="preserve"> and </w:t>
      </w:r>
      <w:r w:rsidR="00B21E86">
        <w:rPr>
          <w:bCs/>
          <w:szCs w:val="24"/>
        </w:rPr>
        <w:t>£260k, with a best estimate of £83k per pipeline</w:t>
      </w:r>
      <w:r w:rsidR="00B21E86" w:rsidRPr="0028154A">
        <w:rPr>
          <w:bCs/>
          <w:szCs w:val="24"/>
        </w:rPr>
        <w:t>.</w:t>
      </w:r>
      <w:r w:rsidR="00B21E86">
        <w:rPr>
          <w:bCs/>
          <w:szCs w:val="24"/>
        </w:rPr>
        <w:t xml:space="preserve"> The range of potential costs for pipelines is particularly wide because they</w:t>
      </w:r>
      <w:r w:rsidR="0028495A">
        <w:rPr>
          <w:bCs/>
          <w:szCs w:val="24"/>
        </w:rPr>
        <w:t xml:space="preserve"> are</w:t>
      </w:r>
      <w:r w:rsidR="00B21E86">
        <w:rPr>
          <w:bCs/>
          <w:szCs w:val="24"/>
        </w:rPr>
        <w:t xml:space="preserve"> drawn from a survey of operators which received a limited response rate. These estimates will be improved through the consultation process.</w:t>
      </w:r>
    </w:p>
    <w:p w14:paraId="3A27D8D8" w14:textId="77777777" w:rsidR="0028154A" w:rsidRPr="0028154A" w:rsidRDefault="0028154A" w:rsidP="00CA7F1E">
      <w:pPr>
        <w:numPr>
          <w:ilvl w:val="0"/>
          <w:numId w:val="1"/>
        </w:numPr>
        <w:spacing w:before="240" w:after="120"/>
        <w:jc w:val="both"/>
        <w:rPr>
          <w:bCs/>
          <w:szCs w:val="24"/>
        </w:rPr>
      </w:pPr>
      <w:r w:rsidRPr="0028154A">
        <w:rPr>
          <w:bCs/>
          <w:szCs w:val="24"/>
        </w:rPr>
        <w:t>The key uncertainty in this analysis is the number of installations and pipelines expected to begin operating over the appraisal period. Even with the highest quality data available this would remain highly uncertain as these industries are not yet operating and their ability to scale up depends on a vast range of unpredictable practical and economic factors.</w:t>
      </w:r>
    </w:p>
    <w:p w14:paraId="454E0BBB" w14:textId="77777777" w:rsidR="00B21E86" w:rsidRPr="00777A88" w:rsidRDefault="00B21E86" w:rsidP="00CA7F1E">
      <w:pPr>
        <w:numPr>
          <w:ilvl w:val="0"/>
          <w:numId w:val="1"/>
        </w:numPr>
        <w:spacing w:before="240" w:after="120"/>
        <w:jc w:val="both"/>
      </w:pPr>
      <w:r w:rsidRPr="0007314F">
        <w:rPr>
          <w:bCs/>
          <w:szCs w:val="24"/>
        </w:rPr>
        <w:t xml:space="preserve">At this stage a reasonable assumption for industry size has only been made for offshore CCUS and sensitivity analysis has been undertaken around this assumption. This results in a likely annualised cost to industry of compliance </w:t>
      </w:r>
      <w:r>
        <w:rPr>
          <w:bCs/>
          <w:szCs w:val="24"/>
        </w:rPr>
        <w:t>of between £12m and £40m, with a best estimate of £26m.</w:t>
      </w:r>
    </w:p>
    <w:p w14:paraId="6D544FD5" w14:textId="357CC61D" w:rsidR="0028154A" w:rsidRPr="0028154A" w:rsidRDefault="0028154A" w:rsidP="00CA7F1E">
      <w:pPr>
        <w:numPr>
          <w:ilvl w:val="0"/>
          <w:numId w:val="1"/>
        </w:numPr>
        <w:spacing w:before="240" w:after="120"/>
        <w:jc w:val="both"/>
        <w:rPr>
          <w:bCs/>
          <w:szCs w:val="24"/>
        </w:rPr>
      </w:pPr>
      <w:r w:rsidRPr="0028154A">
        <w:rPr>
          <w:bCs/>
          <w:szCs w:val="24"/>
        </w:rPr>
        <w:t xml:space="preserve">These costs trade off against unquantified benefits which have been described qualitatively in the </w:t>
      </w:r>
      <w:r w:rsidR="00B21E86" w:rsidRPr="00C93508">
        <w:rPr>
          <w:bCs/>
          <w:szCs w:val="24"/>
        </w:rPr>
        <w:t>cost-benefit analysis.</w:t>
      </w:r>
      <w:r w:rsidRPr="0028154A">
        <w:rPr>
          <w:bCs/>
          <w:szCs w:val="24"/>
        </w:rPr>
        <w:t xml:space="preserve"> Based on prior examples, a major hazard incident </w:t>
      </w:r>
      <w:r w:rsidR="00B21E86" w:rsidRPr="00C93508">
        <w:rPr>
          <w:bCs/>
          <w:szCs w:val="24"/>
        </w:rPr>
        <w:t>could</w:t>
      </w:r>
      <w:r w:rsidRPr="0028154A">
        <w:rPr>
          <w:bCs/>
          <w:szCs w:val="24"/>
        </w:rPr>
        <w:t xml:space="preserve"> cost </w:t>
      </w:r>
      <w:r w:rsidR="00C02D10">
        <w:rPr>
          <w:bCs/>
          <w:szCs w:val="24"/>
        </w:rPr>
        <w:t>in the region</w:t>
      </w:r>
      <w:r w:rsidR="00C02D10" w:rsidRPr="0028154A">
        <w:rPr>
          <w:bCs/>
          <w:szCs w:val="24"/>
        </w:rPr>
        <w:t xml:space="preserve"> </w:t>
      </w:r>
      <w:r w:rsidRPr="0028154A">
        <w:rPr>
          <w:bCs/>
          <w:szCs w:val="24"/>
        </w:rPr>
        <w:t xml:space="preserve">of £1bn </w:t>
      </w:r>
      <w:r w:rsidR="008B2B89">
        <w:rPr>
          <w:bCs/>
          <w:szCs w:val="24"/>
        </w:rPr>
        <w:t>in</w:t>
      </w:r>
      <w:r w:rsidR="008B2B89" w:rsidRPr="0028154A">
        <w:rPr>
          <w:bCs/>
          <w:szCs w:val="24"/>
        </w:rPr>
        <w:t xml:space="preserve"> </w:t>
      </w:r>
      <w:r w:rsidRPr="0028154A">
        <w:rPr>
          <w:bCs/>
          <w:szCs w:val="24"/>
        </w:rPr>
        <w:t>impacts upon households, businesses and government. It isn’t known the degree to which compliance with offshore and onshore pipeline major hazard regulations reduce the risk of such a costly incident</w:t>
      </w:r>
    </w:p>
    <w:p w14:paraId="7841B3FC" w14:textId="151CA594" w:rsidR="00357F8C" w:rsidRDefault="0028154A" w:rsidP="00005D72">
      <w:pPr>
        <w:numPr>
          <w:ilvl w:val="0"/>
          <w:numId w:val="1"/>
        </w:numPr>
        <w:spacing w:before="240" w:after="120"/>
        <w:rPr>
          <w:rFonts w:eastAsia="Arial" w:cs="Arial"/>
          <w:szCs w:val="20"/>
        </w:rPr>
        <w:sectPr w:rsidR="00357F8C" w:rsidSect="00E56EF9">
          <w:headerReference w:type="default" r:id="rId18"/>
          <w:footerReference w:type="default" r:id="rId19"/>
          <w:pgSz w:w="11906" w:h="16838"/>
          <w:pgMar w:top="1134" w:right="1077" w:bottom="1134" w:left="1077" w:header="227" w:footer="454" w:gutter="0"/>
          <w:cols w:space="720"/>
          <w:docGrid w:linePitch="326"/>
        </w:sectPr>
      </w:pPr>
      <w:r w:rsidRPr="0028154A">
        <w:rPr>
          <w:bCs/>
          <w:szCs w:val="24"/>
        </w:rPr>
        <w:t xml:space="preserve">Analysis suggests that the benefits are best captured by Option </w:t>
      </w:r>
      <w:r w:rsidR="009104AE">
        <w:rPr>
          <w:bCs/>
          <w:szCs w:val="24"/>
        </w:rPr>
        <w:t>6</w:t>
      </w:r>
      <w:r w:rsidRPr="0028154A">
        <w:rPr>
          <w:bCs/>
          <w:szCs w:val="24"/>
        </w:rPr>
        <w:t xml:space="preserve"> which offers enforceability to better ensure compliance and covers fully both CCUS and hydrogen production.</w:t>
      </w:r>
    </w:p>
    <w:p w14:paraId="7892CA8F" w14:textId="5B7429C0" w:rsidR="000A555A" w:rsidRPr="007C47D0" w:rsidRDefault="000A555A" w:rsidP="007C47D0">
      <w:pPr>
        <w:pStyle w:val="Caption"/>
        <w:keepNext/>
        <w:rPr>
          <w:b/>
          <w:bCs/>
          <w:szCs w:val="24"/>
        </w:rPr>
      </w:pPr>
      <w:bookmarkStart w:id="23" w:name="_Ref178944174"/>
      <w:r w:rsidRPr="007C47D0">
        <w:rPr>
          <w:b/>
          <w:bCs/>
          <w:color w:val="auto"/>
          <w:sz w:val="24"/>
          <w:szCs w:val="24"/>
        </w:rPr>
        <w:lastRenderedPageBreak/>
        <w:t xml:space="preserve">Figure </w:t>
      </w:r>
      <w:r w:rsidRPr="007C47D0">
        <w:rPr>
          <w:b/>
          <w:bCs/>
          <w:color w:val="auto"/>
          <w:sz w:val="24"/>
          <w:szCs w:val="24"/>
        </w:rPr>
        <w:fldChar w:fldCharType="begin"/>
      </w:r>
      <w:r w:rsidRPr="007C47D0">
        <w:rPr>
          <w:b/>
          <w:bCs/>
          <w:color w:val="auto"/>
          <w:sz w:val="24"/>
          <w:szCs w:val="24"/>
        </w:rPr>
        <w:instrText xml:space="preserve"> SEQ Figure \* ARABIC </w:instrText>
      </w:r>
      <w:r w:rsidRPr="007C47D0">
        <w:rPr>
          <w:b/>
          <w:bCs/>
          <w:color w:val="auto"/>
          <w:sz w:val="24"/>
          <w:szCs w:val="24"/>
        </w:rPr>
        <w:fldChar w:fldCharType="separate"/>
      </w:r>
      <w:r w:rsidR="0086161D">
        <w:rPr>
          <w:b/>
          <w:bCs/>
          <w:noProof/>
          <w:color w:val="auto"/>
          <w:sz w:val="24"/>
          <w:szCs w:val="24"/>
        </w:rPr>
        <w:t>1</w:t>
      </w:r>
      <w:r w:rsidRPr="007C47D0">
        <w:rPr>
          <w:b/>
          <w:bCs/>
          <w:color w:val="auto"/>
          <w:sz w:val="24"/>
          <w:szCs w:val="24"/>
        </w:rPr>
        <w:fldChar w:fldCharType="end"/>
      </w:r>
      <w:bookmarkEnd w:id="23"/>
      <w:r w:rsidRPr="007C47D0">
        <w:rPr>
          <w:b/>
          <w:bCs/>
          <w:color w:val="auto"/>
          <w:sz w:val="24"/>
          <w:szCs w:val="24"/>
        </w:rPr>
        <w:t xml:space="preserve">. Schedule of </w:t>
      </w:r>
      <w:r w:rsidR="00E51354">
        <w:rPr>
          <w:b/>
          <w:bCs/>
          <w:color w:val="auto"/>
          <w:sz w:val="24"/>
          <w:szCs w:val="24"/>
        </w:rPr>
        <w:t xml:space="preserve">best estimate of </w:t>
      </w:r>
      <w:r w:rsidRPr="007C47D0">
        <w:rPr>
          <w:b/>
          <w:bCs/>
          <w:color w:val="auto"/>
          <w:sz w:val="24"/>
          <w:szCs w:val="24"/>
        </w:rPr>
        <w:t>costs per CCUS installation</w:t>
      </w:r>
    </w:p>
    <w:tbl>
      <w:tblPr>
        <w:tblStyle w:val="TableGrid2"/>
        <w:tblW w:w="15026" w:type="dxa"/>
        <w:tblInd w:w="-289" w:type="dxa"/>
        <w:tblLook w:val="04A0" w:firstRow="1" w:lastRow="0" w:firstColumn="1" w:lastColumn="0" w:noHBand="0" w:noVBand="1"/>
      </w:tblPr>
      <w:tblGrid>
        <w:gridCol w:w="3202"/>
        <w:gridCol w:w="1000"/>
        <w:gridCol w:w="1000"/>
        <w:gridCol w:w="1000"/>
        <w:gridCol w:w="999"/>
        <w:gridCol w:w="999"/>
        <w:gridCol w:w="999"/>
        <w:gridCol w:w="999"/>
        <w:gridCol w:w="999"/>
        <w:gridCol w:w="999"/>
        <w:gridCol w:w="999"/>
        <w:gridCol w:w="1831"/>
      </w:tblGrid>
      <w:tr w:rsidR="00A562FF" w:rsidRPr="00595B74" w14:paraId="57D500EA" w14:textId="77777777" w:rsidTr="00357F8C">
        <w:trPr>
          <w:trHeight w:val="285"/>
        </w:trPr>
        <w:tc>
          <w:tcPr>
            <w:tcW w:w="3201" w:type="dxa"/>
            <w:shd w:val="clear" w:color="auto" w:fill="000000"/>
            <w:noWrap/>
            <w:hideMark/>
          </w:tcPr>
          <w:p w14:paraId="6C0EECEB" w14:textId="2071F51C" w:rsidR="00982FC8" w:rsidRPr="00982FC8" w:rsidRDefault="00982FC8" w:rsidP="00982FC8">
            <w:pPr>
              <w:rPr>
                <w:b/>
                <w:bCs/>
                <w:color w:val="FFFFFF"/>
                <w:sz w:val="22"/>
                <w:szCs w:val="20"/>
              </w:rPr>
            </w:pPr>
            <w:r w:rsidRPr="00982FC8">
              <w:rPr>
                <w:b/>
                <w:bCs/>
                <w:color w:val="FFFFFF"/>
                <w:sz w:val="22"/>
                <w:szCs w:val="20"/>
              </w:rPr>
              <w:t>Year</w:t>
            </w:r>
          </w:p>
        </w:tc>
        <w:tc>
          <w:tcPr>
            <w:tcW w:w="0" w:type="auto"/>
            <w:shd w:val="clear" w:color="auto" w:fill="000000"/>
            <w:noWrap/>
            <w:hideMark/>
          </w:tcPr>
          <w:p w14:paraId="13A3D874" w14:textId="77777777" w:rsidR="00982FC8" w:rsidRPr="00982FC8" w:rsidRDefault="00982FC8" w:rsidP="00400C17">
            <w:pPr>
              <w:jc w:val="right"/>
              <w:rPr>
                <w:b/>
                <w:bCs/>
                <w:color w:val="FFFFFF"/>
                <w:sz w:val="22"/>
                <w:szCs w:val="20"/>
              </w:rPr>
            </w:pPr>
            <w:r w:rsidRPr="00982FC8">
              <w:rPr>
                <w:b/>
                <w:bCs/>
                <w:color w:val="FFFFFF"/>
                <w:sz w:val="22"/>
                <w:szCs w:val="20"/>
              </w:rPr>
              <w:t>0</w:t>
            </w:r>
          </w:p>
        </w:tc>
        <w:tc>
          <w:tcPr>
            <w:tcW w:w="0" w:type="auto"/>
            <w:shd w:val="clear" w:color="auto" w:fill="000000"/>
            <w:noWrap/>
            <w:hideMark/>
          </w:tcPr>
          <w:p w14:paraId="0FB38EF8" w14:textId="77777777" w:rsidR="00982FC8" w:rsidRPr="00982FC8" w:rsidRDefault="00982FC8" w:rsidP="00400C17">
            <w:pPr>
              <w:jc w:val="right"/>
              <w:rPr>
                <w:b/>
                <w:bCs/>
                <w:color w:val="FFFFFF"/>
                <w:sz w:val="22"/>
                <w:szCs w:val="20"/>
              </w:rPr>
            </w:pPr>
            <w:r w:rsidRPr="00982FC8">
              <w:rPr>
                <w:b/>
                <w:bCs/>
                <w:color w:val="FFFFFF"/>
                <w:sz w:val="22"/>
                <w:szCs w:val="20"/>
              </w:rPr>
              <w:t>1</w:t>
            </w:r>
          </w:p>
        </w:tc>
        <w:tc>
          <w:tcPr>
            <w:tcW w:w="0" w:type="auto"/>
            <w:shd w:val="clear" w:color="auto" w:fill="000000"/>
            <w:noWrap/>
            <w:hideMark/>
          </w:tcPr>
          <w:p w14:paraId="768075BD" w14:textId="77777777" w:rsidR="00982FC8" w:rsidRPr="00982FC8" w:rsidRDefault="00982FC8" w:rsidP="00400C17">
            <w:pPr>
              <w:jc w:val="right"/>
              <w:rPr>
                <w:b/>
                <w:bCs/>
                <w:color w:val="FFFFFF"/>
                <w:sz w:val="22"/>
                <w:szCs w:val="20"/>
              </w:rPr>
            </w:pPr>
            <w:r w:rsidRPr="00982FC8">
              <w:rPr>
                <w:b/>
                <w:bCs/>
                <w:color w:val="FFFFFF"/>
                <w:sz w:val="22"/>
                <w:szCs w:val="20"/>
              </w:rPr>
              <w:t>2</w:t>
            </w:r>
          </w:p>
        </w:tc>
        <w:tc>
          <w:tcPr>
            <w:tcW w:w="0" w:type="auto"/>
            <w:shd w:val="clear" w:color="auto" w:fill="000000"/>
            <w:noWrap/>
            <w:hideMark/>
          </w:tcPr>
          <w:p w14:paraId="3931D5F6" w14:textId="77777777" w:rsidR="00982FC8" w:rsidRPr="00982FC8" w:rsidRDefault="00982FC8" w:rsidP="00400C17">
            <w:pPr>
              <w:jc w:val="right"/>
              <w:rPr>
                <w:b/>
                <w:bCs/>
                <w:color w:val="FFFFFF"/>
                <w:sz w:val="22"/>
                <w:szCs w:val="20"/>
              </w:rPr>
            </w:pPr>
            <w:r w:rsidRPr="00982FC8">
              <w:rPr>
                <w:b/>
                <w:bCs/>
                <w:color w:val="FFFFFF"/>
                <w:sz w:val="22"/>
                <w:szCs w:val="20"/>
              </w:rPr>
              <w:t>3</w:t>
            </w:r>
          </w:p>
        </w:tc>
        <w:tc>
          <w:tcPr>
            <w:tcW w:w="0" w:type="auto"/>
            <w:shd w:val="clear" w:color="auto" w:fill="000000"/>
            <w:noWrap/>
            <w:hideMark/>
          </w:tcPr>
          <w:p w14:paraId="47EA1369" w14:textId="77777777" w:rsidR="00982FC8" w:rsidRPr="00982FC8" w:rsidRDefault="00982FC8" w:rsidP="00400C17">
            <w:pPr>
              <w:jc w:val="right"/>
              <w:rPr>
                <w:b/>
                <w:bCs/>
                <w:color w:val="FFFFFF"/>
                <w:sz w:val="22"/>
                <w:szCs w:val="20"/>
              </w:rPr>
            </w:pPr>
            <w:r w:rsidRPr="00982FC8">
              <w:rPr>
                <w:b/>
                <w:bCs/>
                <w:color w:val="FFFFFF"/>
                <w:sz w:val="22"/>
                <w:szCs w:val="20"/>
              </w:rPr>
              <w:t>4</w:t>
            </w:r>
          </w:p>
        </w:tc>
        <w:tc>
          <w:tcPr>
            <w:tcW w:w="0" w:type="auto"/>
            <w:shd w:val="clear" w:color="auto" w:fill="000000"/>
            <w:noWrap/>
            <w:hideMark/>
          </w:tcPr>
          <w:p w14:paraId="79F78333" w14:textId="77777777" w:rsidR="00982FC8" w:rsidRPr="00982FC8" w:rsidRDefault="00982FC8" w:rsidP="00400C17">
            <w:pPr>
              <w:jc w:val="right"/>
              <w:rPr>
                <w:b/>
                <w:bCs/>
                <w:color w:val="FFFFFF"/>
                <w:sz w:val="22"/>
                <w:szCs w:val="20"/>
              </w:rPr>
            </w:pPr>
            <w:r w:rsidRPr="00982FC8">
              <w:rPr>
                <w:b/>
                <w:bCs/>
                <w:color w:val="FFFFFF"/>
                <w:sz w:val="22"/>
                <w:szCs w:val="20"/>
              </w:rPr>
              <w:t>5</w:t>
            </w:r>
          </w:p>
        </w:tc>
        <w:tc>
          <w:tcPr>
            <w:tcW w:w="0" w:type="auto"/>
            <w:shd w:val="clear" w:color="auto" w:fill="000000"/>
            <w:noWrap/>
            <w:hideMark/>
          </w:tcPr>
          <w:p w14:paraId="2771367D" w14:textId="77777777" w:rsidR="00982FC8" w:rsidRPr="00982FC8" w:rsidRDefault="00982FC8" w:rsidP="00400C17">
            <w:pPr>
              <w:jc w:val="right"/>
              <w:rPr>
                <w:b/>
                <w:bCs/>
                <w:color w:val="FFFFFF"/>
                <w:sz w:val="22"/>
                <w:szCs w:val="20"/>
              </w:rPr>
            </w:pPr>
            <w:r w:rsidRPr="00982FC8">
              <w:rPr>
                <w:b/>
                <w:bCs/>
                <w:color w:val="FFFFFF"/>
                <w:sz w:val="22"/>
                <w:szCs w:val="20"/>
              </w:rPr>
              <w:t>6</w:t>
            </w:r>
          </w:p>
        </w:tc>
        <w:tc>
          <w:tcPr>
            <w:tcW w:w="0" w:type="auto"/>
            <w:shd w:val="clear" w:color="auto" w:fill="000000"/>
            <w:noWrap/>
            <w:hideMark/>
          </w:tcPr>
          <w:p w14:paraId="3D440FBC" w14:textId="77777777" w:rsidR="00982FC8" w:rsidRPr="00982FC8" w:rsidRDefault="00982FC8" w:rsidP="00400C17">
            <w:pPr>
              <w:jc w:val="right"/>
              <w:rPr>
                <w:b/>
                <w:bCs/>
                <w:color w:val="FFFFFF"/>
                <w:sz w:val="22"/>
                <w:szCs w:val="20"/>
              </w:rPr>
            </w:pPr>
            <w:r w:rsidRPr="00982FC8">
              <w:rPr>
                <w:b/>
                <w:bCs/>
                <w:color w:val="FFFFFF"/>
                <w:sz w:val="22"/>
                <w:szCs w:val="20"/>
              </w:rPr>
              <w:t>7</w:t>
            </w:r>
          </w:p>
        </w:tc>
        <w:tc>
          <w:tcPr>
            <w:tcW w:w="0" w:type="auto"/>
            <w:shd w:val="clear" w:color="auto" w:fill="000000"/>
            <w:noWrap/>
            <w:hideMark/>
          </w:tcPr>
          <w:p w14:paraId="771C6D38" w14:textId="77777777" w:rsidR="00982FC8" w:rsidRPr="00982FC8" w:rsidRDefault="00982FC8" w:rsidP="00400C17">
            <w:pPr>
              <w:jc w:val="right"/>
              <w:rPr>
                <w:b/>
                <w:bCs/>
                <w:color w:val="FFFFFF"/>
                <w:sz w:val="22"/>
                <w:szCs w:val="20"/>
              </w:rPr>
            </w:pPr>
            <w:r w:rsidRPr="00982FC8">
              <w:rPr>
                <w:b/>
                <w:bCs/>
                <w:color w:val="FFFFFF"/>
                <w:sz w:val="22"/>
                <w:szCs w:val="20"/>
              </w:rPr>
              <w:t>8</w:t>
            </w:r>
          </w:p>
        </w:tc>
        <w:tc>
          <w:tcPr>
            <w:tcW w:w="0" w:type="auto"/>
            <w:shd w:val="clear" w:color="auto" w:fill="000000"/>
            <w:noWrap/>
            <w:hideMark/>
          </w:tcPr>
          <w:p w14:paraId="1896F9F4" w14:textId="77777777" w:rsidR="00982FC8" w:rsidRPr="00982FC8" w:rsidRDefault="00982FC8" w:rsidP="00400C17">
            <w:pPr>
              <w:jc w:val="right"/>
              <w:rPr>
                <w:b/>
                <w:bCs/>
                <w:color w:val="FFFFFF"/>
                <w:sz w:val="22"/>
                <w:szCs w:val="20"/>
              </w:rPr>
            </w:pPr>
            <w:r w:rsidRPr="00982FC8">
              <w:rPr>
                <w:b/>
                <w:bCs/>
                <w:color w:val="FFFFFF"/>
                <w:sz w:val="22"/>
                <w:szCs w:val="20"/>
              </w:rPr>
              <w:t>9</w:t>
            </w:r>
          </w:p>
        </w:tc>
        <w:tc>
          <w:tcPr>
            <w:tcW w:w="1831" w:type="dxa"/>
            <w:shd w:val="clear" w:color="auto" w:fill="000000"/>
            <w:noWrap/>
            <w:hideMark/>
          </w:tcPr>
          <w:p w14:paraId="72FFBBD0" w14:textId="77777777" w:rsidR="00982FC8" w:rsidRPr="00982FC8" w:rsidRDefault="00982FC8" w:rsidP="00400C17">
            <w:pPr>
              <w:jc w:val="right"/>
              <w:rPr>
                <w:b/>
                <w:bCs/>
                <w:color w:val="FFFFFF"/>
                <w:sz w:val="22"/>
                <w:szCs w:val="20"/>
              </w:rPr>
            </w:pPr>
            <w:r w:rsidRPr="00982FC8">
              <w:rPr>
                <w:b/>
                <w:bCs/>
                <w:color w:val="FFFFFF"/>
                <w:sz w:val="22"/>
                <w:szCs w:val="20"/>
              </w:rPr>
              <w:t>Present Value</w:t>
            </w:r>
          </w:p>
        </w:tc>
      </w:tr>
      <w:tr w:rsidR="00AB120F" w:rsidRPr="00982FC8" w14:paraId="636829C2" w14:textId="77777777" w:rsidTr="003C13A3">
        <w:trPr>
          <w:trHeight w:val="285"/>
        </w:trPr>
        <w:tc>
          <w:tcPr>
            <w:tcW w:w="3201" w:type="dxa"/>
            <w:noWrap/>
            <w:hideMark/>
          </w:tcPr>
          <w:p w14:paraId="2190EFA5" w14:textId="77777777" w:rsidR="00982FC8" w:rsidRPr="00982FC8" w:rsidRDefault="00982FC8" w:rsidP="00982FC8">
            <w:pPr>
              <w:rPr>
                <w:sz w:val="22"/>
                <w:szCs w:val="20"/>
              </w:rPr>
            </w:pPr>
            <w:r w:rsidRPr="00982FC8">
              <w:rPr>
                <w:sz w:val="22"/>
                <w:szCs w:val="20"/>
              </w:rPr>
              <w:t>Verification</w:t>
            </w:r>
          </w:p>
        </w:tc>
        <w:tc>
          <w:tcPr>
            <w:tcW w:w="0" w:type="auto"/>
            <w:noWrap/>
            <w:hideMark/>
          </w:tcPr>
          <w:p w14:paraId="5046503A" w14:textId="13D7AD2B" w:rsidR="00982FC8" w:rsidRPr="00982FC8" w:rsidRDefault="00982FC8" w:rsidP="00400C17">
            <w:pPr>
              <w:jc w:val="right"/>
              <w:rPr>
                <w:sz w:val="22"/>
                <w:szCs w:val="20"/>
              </w:rPr>
            </w:pPr>
            <w:r w:rsidRPr="00982FC8">
              <w:rPr>
                <w:sz w:val="22"/>
                <w:szCs w:val="20"/>
              </w:rPr>
              <w:t>£1,</w:t>
            </w:r>
            <w:r w:rsidR="001C0339" w:rsidRPr="00787EDB">
              <w:rPr>
                <w:sz w:val="22"/>
                <w:szCs w:val="20"/>
              </w:rPr>
              <w:t>9</w:t>
            </w:r>
            <w:r w:rsidRPr="00982FC8">
              <w:rPr>
                <w:sz w:val="22"/>
                <w:szCs w:val="20"/>
              </w:rPr>
              <w:t>00</w:t>
            </w:r>
          </w:p>
        </w:tc>
        <w:tc>
          <w:tcPr>
            <w:tcW w:w="0" w:type="auto"/>
            <w:noWrap/>
            <w:hideMark/>
          </w:tcPr>
          <w:p w14:paraId="34809F42" w14:textId="4ED4FFD3" w:rsidR="00982FC8" w:rsidRPr="00982FC8" w:rsidRDefault="00982FC8" w:rsidP="00400C17">
            <w:pPr>
              <w:jc w:val="right"/>
              <w:rPr>
                <w:sz w:val="22"/>
                <w:szCs w:val="20"/>
              </w:rPr>
            </w:pPr>
            <w:r w:rsidRPr="00982FC8">
              <w:rPr>
                <w:sz w:val="22"/>
                <w:szCs w:val="20"/>
              </w:rPr>
              <w:t xml:space="preserve"> £340 </w:t>
            </w:r>
          </w:p>
        </w:tc>
        <w:tc>
          <w:tcPr>
            <w:tcW w:w="0" w:type="auto"/>
            <w:noWrap/>
            <w:hideMark/>
          </w:tcPr>
          <w:p w14:paraId="456A66D1" w14:textId="77777777" w:rsidR="00982FC8" w:rsidRPr="00982FC8" w:rsidRDefault="00982FC8" w:rsidP="00400C17">
            <w:pPr>
              <w:jc w:val="right"/>
              <w:rPr>
                <w:sz w:val="22"/>
                <w:szCs w:val="20"/>
              </w:rPr>
            </w:pPr>
            <w:r w:rsidRPr="00982FC8">
              <w:rPr>
                <w:sz w:val="22"/>
                <w:szCs w:val="20"/>
              </w:rPr>
              <w:t xml:space="preserve"> £340</w:t>
            </w:r>
          </w:p>
        </w:tc>
        <w:tc>
          <w:tcPr>
            <w:tcW w:w="0" w:type="auto"/>
            <w:noWrap/>
            <w:hideMark/>
          </w:tcPr>
          <w:p w14:paraId="1DF7307A" w14:textId="77777777" w:rsidR="00982FC8" w:rsidRPr="00982FC8" w:rsidRDefault="00982FC8" w:rsidP="00400C17">
            <w:pPr>
              <w:jc w:val="right"/>
              <w:rPr>
                <w:sz w:val="22"/>
                <w:szCs w:val="20"/>
              </w:rPr>
            </w:pPr>
            <w:r w:rsidRPr="00982FC8">
              <w:rPr>
                <w:sz w:val="22"/>
                <w:szCs w:val="20"/>
              </w:rPr>
              <w:t xml:space="preserve"> £ 410 </w:t>
            </w:r>
          </w:p>
        </w:tc>
        <w:tc>
          <w:tcPr>
            <w:tcW w:w="0" w:type="auto"/>
            <w:noWrap/>
            <w:hideMark/>
          </w:tcPr>
          <w:p w14:paraId="2F0B75EA" w14:textId="77777777" w:rsidR="00982FC8" w:rsidRPr="00982FC8" w:rsidRDefault="00982FC8" w:rsidP="00400C17">
            <w:pPr>
              <w:jc w:val="right"/>
              <w:rPr>
                <w:sz w:val="22"/>
                <w:szCs w:val="20"/>
              </w:rPr>
            </w:pPr>
            <w:r w:rsidRPr="00982FC8">
              <w:rPr>
                <w:sz w:val="22"/>
                <w:szCs w:val="20"/>
              </w:rPr>
              <w:t xml:space="preserve"> £ 340 </w:t>
            </w:r>
          </w:p>
        </w:tc>
        <w:tc>
          <w:tcPr>
            <w:tcW w:w="0" w:type="auto"/>
            <w:noWrap/>
            <w:hideMark/>
          </w:tcPr>
          <w:p w14:paraId="65B75152" w14:textId="77777777" w:rsidR="00982FC8" w:rsidRPr="00982FC8" w:rsidRDefault="00982FC8" w:rsidP="00400C17">
            <w:pPr>
              <w:jc w:val="right"/>
              <w:rPr>
                <w:sz w:val="22"/>
                <w:szCs w:val="20"/>
              </w:rPr>
            </w:pPr>
            <w:r w:rsidRPr="00982FC8">
              <w:rPr>
                <w:sz w:val="22"/>
                <w:szCs w:val="20"/>
              </w:rPr>
              <w:t xml:space="preserve"> £ 340 </w:t>
            </w:r>
          </w:p>
        </w:tc>
        <w:tc>
          <w:tcPr>
            <w:tcW w:w="0" w:type="auto"/>
            <w:noWrap/>
            <w:hideMark/>
          </w:tcPr>
          <w:p w14:paraId="44B7A349" w14:textId="77777777" w:rsidR="00982FC8" w:rsidRPr="00982FC8" w:rsidRDefault="00982FC8" w:rsidP="00400C17">
            <w:pPr>
              <w:jc w:val="right"/>
              <w:rPr>
                <w:sz w:val="22"/>
                <w:szCs w:val="20"/>
              </w:rPr>
            </w:pPr>
            <w:r w:rsidRPr="00982FC8">
              <w:rPr>
                <w:sz w:val="22"/>
                <w:szCs w:val="20"/>
              </w:rPr>
              <w:t xml:space="preserve"> £410</w:t>
            </w:r>
          </w:p>
        </w:tc>
        <w:tc>
          <w:tcPr>
            <w:tcW w:w="0" w:type="auto"/>
            <w:noWrap/>
            <w:hideMark/>
          </w:tcPr>
          <w:p w14:paraId="540001F5" w14:textId="77777777" w:rsidR="00982FC8" w:rsidRPr="00982FC8" w:rsidRDefault="00982FC8" w:rsidP="00400C17">
            <w:pPr>
              <w:jc w:val="right"/>
              <w:rPr>
                <w:sz w:val="22"/>
                <w:szCs w:val="20"/>
              </w:rPr>
            </w:pPr>
            <w:r w:rsidRPr="00982FC8">
              <w:rPr>
                <w:sz w:val="22"/>
                <w:szCs w:val="20"/>
              </w:rPr>
              <w:t xml:space="preserve"> £340 </w:t>
            </w:r>
          </w:p>
        </w:tc>
        <w:tc>
          <w:tcPr>
            <w:tcW w:w="0" w:type="auto"/>
            <w:noWrap/>
            <w:hideMark/>
          </w:tcPr>
          <w:p w14:paraId="1F57F710" w14:textId="77777777" w:rsidR="00982FC8" w:rsidRPr="00982FC8" w:rsidRDefault="00982FC8" w:rsidP="00400C17">
            <w:pPr>
              <w:jc w:val="right"/>
              <w:rPr>
                <w:sz w:val="22"/>
                <w:szCs w:val="20"/>
              </w:rPr>
            </w:pPr>
            <w:r w:rsidRPr="00982FC8">
              <w:rPr>
                <w:sz w:val="22"/>
                <w:szCs w:val="20"/>
              </w:rPr>
              <w:t xml:space="preserve"> £340 </w:t>
            </w:r>
          </w:p>
        </w:tc>
        <w:tc>
          <w:tcPr>
            <w:tcW w:w="0" w:type="auto"/>
            <w:noWrap/>
            <w:hideMark/>
          </w:tcPr>
          <w:p w14:paraId="0CADD93D" w14:textId="77777777" w:rsidR="00982FC8" w:rsidRPr="00982FC8" w:rsidRDefault="00982FC8" w:rsidP="00400C17">
            <w:pPr>
              <w:jc w:val="right"/>
              <w:rPr>
                <w:sz w:val="22"/>
                <w:szCs w:val="20"/>
              </w:rPr>
            </w:pPr>
            <w:r w:rsidRPr="00982FC8">
              <w:rPr>
                <w:sz w:val="22"/>
                <w:szCs w:val="20"/>
              </w:rPr>
              <w:t xml:space="preserve"> £410 </w:t>
            </w:r>
          </w:p>
        </w:tc>
        <w:tc>
          <w:tcPr>
            <w:tcW w:w="1831" w:type="dxa"/>
            <w:noWrap/>
            <w:hideMark/>
          </w:tcPr>
          <w:p w14:paraId="0473A406" w14:textId="746BB163" w:rsidR="00982FC8" w:rsidRPr="00982FC8" w:rsidRDefault="00982FC8" w:rsidP="00400C17">
            <w:pPr>
              <w:jc w:val="right"/>
              <w:rPr>
                <w:sz w:val="22"/>
                <w:szCs w:val="20"/>
              </w:rPr>
            </w:pPr>
            <w:r w:rsidRPr="00982FC8">
              <w:rPr>
                <w:sz w:val="22"/>
                <w:szCs w:val="20"/>
              </w:rPr>
              <w:t xml:space="preserve"> £4,</w:t>
            </w:r>
            <w:r w:rsidR="001C0339" w:rsidRPr="00787EDB">
              <w:rPr>
                <w:sz w:val="22"/>
                <w:szCs w:val="20"/>
              </w:rPr>
              <w:t>7</w:t>
            </w:r>
            <w:r w:rsidRPr="00982FC8">
              <w:rPr>
                <w:sz w:val="22"/>
                <w:szCs w:val="20"/>
              </w:rPr>
              <w:t>00</w:t>
            </w:r>
          </w:p>
        </w:tc>
      </w:tr>
      <w:tr w:rsidR="00AB120F" w:rsidRPr="00982FC8" w14:paraId="509A6F97" w14:textId="77777777" w:rsidTr="003C13A3">
        <w:trPr>
          <w:trHeight w:val="285"/>
        </w:trPr>
        <w:tc>
          <w:tcPr>
            <w:tcW w:w="3201" w:type="dxa"/>
            <w:noWrap/>
            <w:hideMark/>
          </w:tcPr>
          <w:p w14:paraId="2E16DE6E" w14:textId="69870E97" w:rsidR="00982FC8" w:rsidRPr="00982FC8" w:rsidRDefault="00982FC8" w:rsidP="00982FC8">
            <w:pPr>
              <w:rPr>
                <w:sz w:val="22"/>
                <w:szCs w:val="20"/>
              </w:rPr>
            </w:pPr>
            <w:r w:rsidRPr="00982FC8">
              <w:rPr>
                <w:sz w:val="22"/>
                <w:szCs w:val="20"/>
              </w:rPr>
              <w:t>Well Notifications</w:t>
            </w:r>
            <w:r w:rsidR="00471F85">
              <w:rPr>
                <w:sz w:val="22"/>
                <w:szCs w:val="20"/>
              </w:rPr>
              <w:t xml:space="preserve"> **</w:t>
            </w:r>
          </w:p>
        </w:tc>
        <w:tc>
          <w:tcPr>
            <w:tcW w:w="0" w:type="auto"/>
            <w:noWrap/>
            <w:hideMark/>
          </w:tcPr>
          <w:p w14:paraId="3E5FEB77" w14:textId="7F5CF198" w:rsidR="00982FC8" w:rsidRPr="00982FC8" w:rsidRDefault="00982FC8" w:rsidP="00400C17">
            <w:pPr>
              <w:jc w:val="right"/>
              <w:rPr>
                <w:sz w:val="22"/>
                <w:szCs w:val="20"/>
              </w:rPr>
            </w:pPr>
            <w:r w:rsidRPr="00982FC8">
              <w:rPr>
                <w:sz w:val="22"/>
                <w:szCs w:val="20"/>
              </w:rPr>
              <w:t xml:space="preserve">£210 </w:t>
            </w:r>
          </w:p>
        </w:tc>
        <w:tc>
          <w:tcPr>
            <w:tcW w:w="0" w:type="auto"/>
            <w:noWrap/>
            <w:hideMark/>
          </w:tcPr>
          <w:p w14:paraId="00D91557" w14:textId="7F4E2741" w:rsidR="00982FC8" w:rsidRPr="00982FC8" w:rsidRDefault="00982FC8" w:rsidP="00400C17">
            <w:pPr>
              <w:jc w:val="right"/>
              <w:rPr>
                <w:sz w:val="22"/>
                <w:szCs w:val="20"/>
              </w:rPr>
            </w:pPr>
            <w:r w:rsidRPr="00982FC8">
              <w:rPr>
                <w:sz w:val="22"/>
                <w:szCs w:val="20"/>
              </w:rPr>
              <w:t xml:space="preserve"> £210 </w:t>
            </w:r>
          </w:p>
        </w:tc>
        <w:tc>
          <w:tcPr>
            <w:tcW w:w="0" w:type="auto"/>
            <w:noWrap/>
            <w:hideMark/>
          </w:tcPr>
          <w:p w14:paraId="23146DAB" w14:textId="77777777" w:rsidR="00982FC8" w:rsidRPr="00982FC8" w:rsidRDefault="00982FC8" w:rsidP="00400C17">
            <w:pPr>
              <w:jc w:val="right"/>
              <w:rPr>
                <w:sz w:val="22"/>
                <w:szCs w:val="20"/>
              </w:rPr>
            </w:pPr>
            <w:r w:rsidRPr="00982FC8">
              <w:rPr>
                <w:sz w:val="22"/>
                <w:szCs w:val="20"/>
              </w:rPr>
              <w:t xml:space="preserve"> £210</w:t>
            </w:r>
          </w:p>
        </w:tc>
        <w:tc>
          <w:tcPr>
            <w:tcW w:w="0" w:type="auto"/>
            <w:noWrap/>
            <w:hideMark/>
          </w:tcPr>
          <w:p w14:paraId="61C00267" w14:textId="77777777" w:rsidR="00982FC8" w:rsidRPr="00982FC8" w:rsidRDefault="00982FC8" w:rsidP="00400C17">
            <w:pPr>
              <w:jc w:val="right"/>
              <w:rPr>
                <w:sz w:val="22"/>
                <w:szCs w:val="20"/>
              </w:rPr>
            </w:pPr>
            <w:r w:rsidRPr="00982FC8">
              <w:rPr>
                <w:sz w:val="22"/>
                <w:szCs w:val="20"/>
              </w:rPr>
              <w:t xml:space="preserve"> £ 210 </w:t>
            </w:r>
          </w:p>
        </w:tc>
        <w:tc>
          <w:tcPr>
            <w:tcW w:w="0" w:type="auto"/>
            <w:noWrap/>
            <w:hideMark/>
          </w:tcPr>
          <w:p w14:paraId="1E290120" w14:textId="77777777" w:rsidR="00982FC8" w:rsidRPr="00982FC8" w:rsidRDefault="00982FC8" w:rsidP="00400C17">
            <w:pPr>
              <w:jc w:val="right"/>
              <w:rPr>
                <w:sz w:val="22"/>
                <w:szCs w:val="20"/>
              </w:rPr>
            </w:pPr>
            <w:r w:rsidRPr="00982FC8">
              <w:rPr>
                <w:sz w:val="22"/>
                <w:szCs w:val="20"/>
              </w:rPr>
              <w:t>£210</w:t>
            </w:r>
          </w:p>
        </w:tc>
        <w:tc>
          <w:tcPr>
            <w:tcW w:w="0" w:type="auto"/>
            <w:noWrap/>
            <w:hideMark/>
          </w:tcPr>
          <w:p w14:paraId="261CE060" w14:textId="77777777" w:rsidR="00982FC8" w:rsidRPr="00982FC8" w:rsidRDefault="00982FC8" w:rsidP="00400C17">
            <w:pPr>
              <w:jc w:val="right"/>
              <w:rPr>
                <w:sz w:val="22"/>
                <w:szCs w:val="20"/>
              </w:rPr>
            </w:pPr>
            <w:r w:rsidRPr="00982FC8">
              <w:rPr>
                <w:sz w:val="22"/>
                <w:szCs w:val="20"/>
              </w:rPr>
              <w:t>£210</w:t>
            </w:r>
          </w:p>
        </w:tc>
        <w:tc>
          <w:tcPr>
            <w:tcW w:w="0" w:type="auto"/>
            <w:noWrap/>
            <w:hideMark/>
          </w:tcPr>
          <w:p w14:paraId="3CD87BBF" w14:textId="77777777" w:rsidR="00982FC8" w:rsidRPr="00982FC8" w:rsidRDefault="00982FC8" w:rsidP="00400C17">
            <w:pPr>
              <w:jc w:val="right"/>
              <w:rPr>
                <w:sz w:val="22"/>
                <w:szCs w:val="20"/>
              </w:rPr>
            </w:pPr>
            <w:r w:rsidRPr="00982FC8">
              <w:rPr>
                <w:sz w:val="22"/>
                <w:szCs w:val="20"/>
              </w:rPr>
              <w:t>£210</w:t>
            </w:r>
          </w:p>
        </w:tc>
        <w:tc>
          <w:tcPr>
            <w:tcW w:w="0" w:type="auto"/>
            <w:noWrap/>
            <w:hideMark/>
          </w:tcPr>
          <w:p w14:paraId="5810230E" w14:textId="77777777" w:rsidR="00982FC8" w:rsidRPr="00982FC8" w:rsidRDefault="00982FC8" w:rsidP="00400C17">
            <w:pPr>
              <w:jc w:val="right"/>
              <w:rPr>
                <w:sz w:val="22"/>
                <w:szCs w:val="20"/>
              </w:rPr>
            </w:pPr>
            <w:r w:rsidRPr="00982FC8">
              <w:rPr>
                <w:sz w:val="22"/>
                <w:szCs w:val="20"/>
              </w:rPr>
              <w:t>£210</w:t>
            </w:r>
          </w:p>
        </w:tc>
        <w:tc>
          <w:tcPr>
            <w:tcW w:w="0" w:type="auto"/>
            <w:noWrap/>
            <w:hideMark/>
          </w:tcPr>
          <w:p w14:paraId="7E1DB3AA" w14:textId="77777777" w:rsidR="00982FC8" w:rsidRPr="00982FC8" w:rsidRDefault="00982FC8" w:rsidP="00400C17">
            <w:pPr>
              <w:jc w:val="right"/>
              <w:rPr>
                <w:sz w:val="22"/>
                <w:szCs w:val="20"/>
              </w:rPr>
            </w:pPr>
            <w:r w:rsidRPr="00982FC8">
              <w:rPr>
                <w:sz w:val="22"/>
                <w:szCs w:val="20"/>
              </w:rPr>
              <w:t>£210</w:t>
            </w:r>
          </w:p>
        </w:tc>
        <w:tc>
          <w:tcPr>
            <w:tcW w:w="0" w:type="auto"/>
            <w:noWrap/>
            <w:hideMark/>
          </w:tcPr>
          <w:p w14:paraId="548269F5" w14:textId="77777777" w:rsidR="00982FC8" w:rsidRPr="00982FC8" w:rsidRDefault="00982FC8" w:rsidP="00400C17">
            <w:pPr>
              <w:jc w:val="right"/>
              <w:rPr>
                <w:sz w:val="22"/>
                <w:szCs w:val="20"/>
              </w:rPr>
            </w:pPr>
            <w:r w:rsidRPr="00982FC8">
              <w:rPr>
                <w:sz w:val="22"/>
                <w:szCs w:val="20"/>
              </w:rPr>
              <w:t>£210</w:t>
            </w:r>
          </w:p>
        </w:tc>
        <w:tc>
          <w:tcPr>
            <w:tcW w:w="1831" w:type="dxa"/>
            <w:noWrap/>
            <w:hideMark/>
          </w:tcPr>
          <w:p w14:paraId="2A27B6BE" w14:textId="77777777" w:rsidR="00982FC8" w:rsidRPr="00982FC8" w:rsidRDefault="00982FC8" w:rsidP="00400C17">
            <w:pPr>
              <w:jc w:val="right"/>
              <w:rPr>
                <w:sz w:val="22"/>
                <w:szCs w:val="20"/>
              </w:rPr>
            </w:pPr>
            <w:r w:rsidRPr="00982FC8">
              <w:rPr>
                <w:sz w:val="22"/>
                <w:szCs w:val="20"/>
              </w:rPr>
              <w:t>£1,800</w:t>
            </w:r>
          </w:p>
        </w:tc>
      </w:tr>
      <w:tr w:rsidR="00AB120F" w:rsidRPr="00982FC8" w14:paraId="41B499AE" w14:textId="77777777" w:rsidTr="003C13A3">
        <w:trPr>
          <w:trHeight w:val="285"/>
        </w:trPr>
        <w:tc>
          <w:tcPr>
            <w:tcW w:w="3201" w:type="dxa"/>
            <w:noWrap/>
            <w:hideMark/>
          </w:tcPr>
          <w:p w14:paraId="4FB7C228" w14:textId="77777777" w:rsidR="00982FC8" w:rsidRPr="00982FC8" w:rsidRDefault="00982FC8" w:rsidP="00982FC8">
            <w:pPr>
              <w:rPr>
                <w:sz w:val="22"/>
                <w:szCs w:val="20"/>
              </w:rPr>
            </w:pPr>
            <w:r w:rsidRPr="00982FC8">
              <w:rPr>
                <w:sz w:val="22"/>
                <w:szCs w:val="20"/>
              </w:rPr>
              <w:t>Operators</w:t>
            </w:r>
          </w:p>
        </w:tc>
        <w:tc>
          <w:tcPr>
            <w:tcW w:w="0" w:type="auto"/>
            <w:noWrap/>
            <w:hideMark/>
          </w:tcPr>
          <w:p w14:paraId="57A04B40" w14:textId="77777777" w:rsidR="00982FC8" w:rsidRPr="00982FC8" w:rsidRDefault="00982FC8" w:rsidP="00400C17">
            <w:pPr>
              <w:jc w:val="right"/>
              <w:rPr>
                <w:sz w:val="22"/>
                <w:szCs w:val="20"/>
              </w:rPr>
            </w:pPr>
            <w:r w:rsidRPr="00982FC8">
              <w:rPr>
                <w:sz w:val="22"/>
                <w:szCs w:val="20"/>
              </w:rPr>
              <w:t>£240</w:t>
            </w:r>
          </w:p>
        </w:tc>
        <w:tc>
          <w:tcPr>
            <w:tcW w:w="0" w:type="auto"/>
            <w:noWrap/>
            <w:hideMark/>
          </w:tcPr>
          <w:p w14:paraId="3B73C478"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634510D9"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6BA44C31"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190BDB34"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76E526D7"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500FF4D9"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0F3114A8"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68F2331E" w14:textId="77777777" w:rsidR="00982FC8" w:rsidRPr="00982FC8" w:rsidRDefault="00982FC8" w:rsidP="00400C17">
            <w:pPr>
              <w:jc w:val="right"/>
              <w:rPr>
                <w:sz w:val="22"/>
                <w:szCs w:val="20"/>
              </w:rPr>
            </w:pPr>
            <w:r w:rsidRPr="00982FC8">
              <w:rPr>
                <w:sz w:val="22"/>
                <w:szCs w:val="20"/>
              </w:rPr>
              <w:t>£200</w:t>
            </w:r>
          </w:p>
        </w:tc>
        <w:tc>
          <w:tcPr>
            <w:tcW w:w="0" w:type="auto"/>
            <w:noWrap/>
            <w:hideMark/>
          </w:tcPr>
          <w:p w14:paraId="2E9FE7AE" w14:textId="77777777" w:rsidR="00982FC8" w:rsidRPr="00982FC8" w:rsidRDefault="00982FC8" w:rsidP="00400C17">
            <w:pPr>
              <w:jc w:val="right"/>
              <w:rPr>
                <w:sz w:val="22"/>
                <w:szCs w:val="20"/>
              </w:rPr>
            </w:pPr>
            <w:r w:rsidRPr="00982FC8">
              <w:rPr>
                <w:sz w:val="22"/>
                <w:szCs w:val="20"/>
              </w:rPr>
              <w:t>£200</w:t>
            </w:r>
          </w:p>
        </w:tc>
        <w:tc>
          <w:tcPr>
            <w:tcW w:w="1831" w:type="dxa"/>
            <w:noWrap/>
            <w:hideMark/>
          </w:tcPr>
          <w:p w14:paraId="4787D9A0" w14:textId="77777777" w:rsidR="00982FC8" w:rsidRPr="00982FC8" w:rsidRDefault="00982FC8" w:rsidP="00400C17">
            <w:pPr>
              <w:jc w:val="right"/>
              <w:rPr>
                <w:sz w:val="22"/>
                <w:szCs w:val="20"/>
              </w:rPr>
            </w:pPr>
            <w:r w:rsidRPr="00982FC8">
              <w:rPr>
                <w:sz w:val="22"/>
                <w:szCs w:val="20"/>
              </w:rPr>
              <w:t>£1,700</w:t>
            </w:r>
          </w:p>
        </w:tc>
      </w:tr>
      <w:tr w:rsidR="00AB120F" w:rsidRPr="00982FC8" w14:paraId="537A80E5" w14:textId="77777777" w:rsidTr="003C13A3">
        <w:trPr>
          <w:trHeight w:val="285"/>
        </w:trPr>
        <w:tc>
          <w:tcPr>
            <w:tcW w:w="3201" w:type="dxa"/>
            <w:noWrap/>
            <w:hideMark/>
          </w:tcPr>
          <w:p w14:paraId="487877C9" w14:textId="77777777" w:rsidR="00982FC8" w:rsidRPr="00982FC8" w:rsidRDefault="00982FC8" w:rsidP="00982FC8">
            <w:pPr>
              <w:rPr>
                <w:sz w:val="22"/>
                <w:szCs w:val="20"/>
              </w:rPr>
            </w:pPr>
            <w:r w:rsidRPr="00982FC8">
              <w:rPr>
                <w:sz w:val="22"/>
                <w:szCs w:val="20"/>
              </w:rPr>
              <w:t>HLO</w:t>
            </w:r>
          </w:p>
        </w:tc>
        <w:tc>
          <w:tcPr>
            <w:tcW w:w="0" w:type="auto"/>
            <w:noWrap/>
            <w:hideMark/>
          </w:tcPr>
          <w:p w14:paraId="5098301D"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797A970F"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6F020213"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3B1674D6"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678CF8CD"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2631C01E"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5DA40B19"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794AB3DE"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41E33A2B" w14:textId="77777777" w:rsidR="00982FC8" w:rsidRPr="00982FC8" w:rsidRDefault="00982FC8" w:rsidP="00400C17">
            <w:pPr>
              <w:jc w:val="right"/>
              <w:rPr>
                <w:sz w:val="22"/>
                <w:szCs w:val="20"/>
              </w:rPr>
            </w:pPr>
            <w:r w:rsidRPr="00982FC8">
              <w:rPr>
                <w:sz w:val="22"/>
                <w:szCs w:val="20"/>
              </w:rPr>
              <w:t>£180</w:t>
            </w:r>
          </w:p>
        </w:tc>
        <w:tc>
          <w:tcPr>
            <w:tcW w:w="0" w:type="auto"/>
            <w:noWrap/>
            <w:hideMark/>
          </w:tcPr>
          <w:p w14:paraId="453B5A77" w14:textId="77777777" w:rsidR="00982FC8" w:rsidRPr="00982FC8" w:rsidRDefault="00982FC8" w:rsidP="00400C17">
            <w:pPr>
              <w:jc w:val="right"/>
              <w:rPr>
                <w:sz w:val="22"/>
                <w:szCs w:val="20"/>
              </w:rPr>
            </w:pPr>
            <w:r w:rsidRPr="00982FC8">
              <w:rPr>
                <w:sz w:val="22"/>
                <w:szCs w:val="20"/>
              </w:rPr>
              <w:t>£180</w:t>
            </w:r>
          </w:p>
        </w:tc>
        <w:tc>
          <w:tcPr>
            <w:tcW w:w="1831" w:type="dxa"/>
            <w:noWrap/>
            <w:hideMark/>
          </w:tcPr>
          <w:p w14:paraId="110A4EB7" w14:textId="77777777" w:rsidR="00982FC8" w:rsidRPr="00982FC8" w:rsidRDefault="00982FC8" w:rsidP="00400C17">
            <w:pPr>
              <w:jc w:val="right"/>
              <w:rPr>
                <w:sz w:val="22"/>
                <w:szCs w:val="20"/>
              </w:rPr>
            </w:pPr>
            <w:r w:rsidRPr="00982FC8">
              <w:rPr>
                <w:sz w:val="22"/>
                <w:szCs w:val="20"/>
              </w:rPr>
              <w:t>£1,500</w:t>
            </w:r>
          </w:p>
        </w:tc>
      </w:tr>
      <w:tr w:rsidR="00AB120F" w:rsidRPr="00982FC8" w14:paraId="6B502079" w14:textId="77777777" w:rsidTr="003C13A3">
        <w:trPr>
          <w:trHeight w:val="285"/>
        </w:trPr>
        <w:tc>
          <w:tcPr>
            <w:tcW w:w="3201" w:type="dxa"/>
            <w:noWrap/>
            <w:hideMark/>
          </w:tcPr>
          <w:p w14:paraId="1DAFB6CC" w14:textId="77777777" w:rsidR="00982FC8" w:rsidRPr="00982FC8" w:rsidRDefault="00982FC8" w:rsidP="00982FC8">
            <w:pPr>
              <w:rPr>
                <w:sz w:val="22"/>
                <w:szCs w:val="20"/>
              </w:rPr>
            </w:pPr>
            <w:r w:rsidRPr="00982FC8">
              <w:rPr>
                <w:sz w:val="22"/>
                <w:szCs w:val="20"/>
              </w:rPr>
              <w:t>Procedures</w:t>
            </w:r>
          </w:p>
        </w:tc>
        <w:tc>
          <w:tcPr>
            <w:tcW w:w="0" w:type="auto"/>
            <w:noWrap/>
            <w:hideMark/>
          </w:tcPr>
          <w:p w14:paraId="79046F45" w14:textId="77777777" w:rsidR="00982FC8" w:rsidRPr="00982FC8" w:rsidRDefault="00982FC8" w:rsidP="00400C17">
            <w:pPr>
              <w:jc w:val="right"/>
              <w:rPr>
                <w:sz w:val="22"/>
                <w:szCs w:val="20"/>
              </w:rPr>
            </w:pPr>
            <w:r w:rsidRPr="00982FC8">
              <w:rPr>
                <w:sz w:val="22"/>
                <w:szCs w:val="20"/>
              </w:rPr>
              <w:t xml:space="preserve">£150 </w:t>
            </w:r>
          </w:p>
        </w:tc>
        <w:tc>
          <w:tcPr>
            <w:tcW w:w="0" w:type="auto"/>
            <w:noWrap/>
            <w:hideMark/>
          </w:tcPr>
          <w:p w14:paraId="3A2DAEFD"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059F02BF"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4038FCE7"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654B0780"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0A6BB4B0"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60FF68BA"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41618887"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55BF7E88" w14:textId="77777777" w:rsidR="00982FC8" w:rsidRPr="00982FC8" w:rsidRDefault="00982FC8" w:rsidP="00400C17">
            <w:pPr>
              <w:jc w:val="right"/>
              <w:rPr>
                <w:sz w:val="22"/>
                <w:szCs w:val="20"/>
              </w:rPr>
            </w:pPr>
            <w:r w:rsidRPr="00982FC8">
              <w:rPr>
                <w:sz w:val="22"/>
                <w:szCs w:val="20"/>
              </w:rPr>
              <w:t>£150</w:t>
            </w:r>
          </w:p>
        </w:tc>
        <w:tc>
          <w:tcPr>
            <w:tcW w:w="0" w:type="auto"/>
            <w:noWrap/>
            <w:hideMark/>
          </w:tcPr>
          <w:p w14:paraId="2E65F8EE" w14:textId="77777777" w:rsidR="00982FC8" w:rsidRPr="00982FC8" w:rsidRDefault="00982FC8" w:rsidP="00400C17">
            <w:pPr>
              <w:jc w:val="right"/>
              <w:rPr>
                <w:sz w:val="22"/>
                <w:szCs w:val="20"/>
              </w:rPr>
            </w:pPr>
            <w:r w:rsidRPr="00982FC8">
              <w:rPr>
                <w:sz w:val="22"/>
                <w:szCs w:val="20"/>
              </w:rPr>
              <w:t>£150</w:t>
            </w:r>
          </w:p>
        </w:tc>
        <w:tc>
          <w:tcPr>
            <w:tcW w:w="1831" w:type="dxa"/>
            <w:noWrap/>
            <w:hideMark/>
          </w:tcPr>
          <w:p w14:paraId="190B8DEB" w14:textId="77777777" w:rsidR="00982FC8" w:rsidRPr="00982FC8" w:rsidRDefault="00982FC8" w:rsidP="00400C17">
            <w:pPr>
              <w:jc w:val="right"/>
              <w:rPr>
                <w:sz w:val="22"/>
                <w:szCs w:val="20"/>
              </w:rPr>
            </w:pPr>
            <w:r w:rsidRPr="00982FC8">
              <w:rPr>
                <w:sz w:val="22"/>
                <w:szCs w:val="20"/>
              </w:rPr>
              <w:t>£1,300</w:t>
            </w:r>
          </w:p>
        </w:tc>
      </w:tr>
      <w:tr w:rsidR="00AB120F" w:rsidRPr="00982FC8" w14:paraId="4DE97170" w14:textId="77777777" w:rsidTr="003C13A3">
        <w:trPr>
          <w:trHeight w:val="285"/>
        </w:trPr>
        <w:tc>
          <w:tcPr>
            <w:tcW w:w="3201" w:type="dxa"/>
            <w:noWrap/>
            <w:hideMark/>
          </w:tcPr>
          <w:p w14:paraId="7BFAB352" w14:textId="77777777" w:rsidR="00982FC8" w:rsidRPr="00982FC8" w:rsidRDefault="00982FC8" w:rsidP="00982FC8">
            <w:pPr>
              <w:rPr>
                <w:sz w:val="22"/>
                <w:szCs w:val="20"/>
              </w:rPr>
            </w:pPr>
            <w:r w:rsidRPr="00982FC8">
              <w:rPr>
                <w:sz w:val="22"/>
                <w:szCs w:val="20"/>
              </w:rPr>
              <w:t>Safety case</w:t>
            </w:r>
          </w:p>
        </w:tc>
        <w:tc>
          <w:tcPr>
            <w:tcW w:w="0" w:type="auto"/>
            <w:noWrap/>
            <w:hideMark/>
          </w:tcPr>
          <w:p w14:paraId="5BBE4A3F" w14:textId="77777777" w:rsidR="00982FC8" w:rsidRPr="00982FC8" w:rsidRDefault="00982FC8" w:rsidP="00400C17">
            <w:pPr>
              <w:jc w:val="right"/>
              <w:rPr>
                <w:sz w:val="22"/>
                <w:szCs w:val="20"/>
              </w:rPr>
            </w:pPr>
            <w:r w:rsidRPr="00982FC8">
              <w:rPr>
                <w:sz w:val="22"/>
                <w:szCs w:val="20"/>
              </w:rPr>
              <w:t xml:space="preserve">£710 </w:t>
            </w:r>
          </w:p>
        </w:tc>
        <w:tc>
          <w:tcPr>
            <w:tcW w:w="0" w:type="auto"/>
            <w:noWrap/>
            <w:hideMark/>
          </w:tcPr>
          <w:p w14:paraId="2E333DA9" w14:textId="77777777" w:rsidR="00982FC8" w:rsidRPr="00982FC8" w:rsidRDefault="00982FC8" w:rsidP="00400C17">
            <w:pPr>
              <w:jc w:val="right"/>
              <w:rPr>
                <w:sz w:val="22"/>
                <w:szCs w:val="20"/>
              </w:rPr>
            </w:pPr>
            <w:r w:rsidRPr="00982FC8">
              <w:rPr>
                <w:sz w:val="22"/>
                <w:szCs w:val="20"/>
              </w:rPr>
              <w:t xml:space="preserve">  £0</w:t>
            </w:r>
          </w:p>
        </w:tc>
        <w:tc>
          <w:tcPr>
            <w:tcW w:w="0" w:type="auto"/>
            <w:noWrap/>
            <w:hideMark/>
          </w:tcPr>
          <w:p w14:paraId="7ED15003"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3EF77834"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36CB3922"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2D5BA9D1" w14:textId="798B2E78" w:rsidR="00982FC8" w:rsidRPr="00982FC8" w:rsidRDefault="00982FC8" w:rsidP="00400C17">
            <w:pPr>
              <w:jc w:val="right"/>
              <w:rPr>
                <w:sz w:val="22"/>
                <w:szCs w:val="20"/>
              </w:rPr>
            </w:pPr>
            <w:r w:rsidRPr="00982FC8">
              <w:rPr>
                <w:sz w:val="22"/>
                <w:szCs w:val="20"/>
              </w:rPr>
              <w:t>£240</w:t>
            </w:r>
          </w:p>
        </w:tc>
        <w:tc>
          <w:tcPr>
            <w:tcW w:w="0" w:type="auto"/>
            <w:noWrap/>
            <w:hideMark/>
          </w:tcPr>
          <w:p w14:paraId="308E6FF3"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63697985"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6067BEA7"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709F69F" w14:textId="77777777" w:rsidR="00982FC8" w:rsidRPr="00982FC8" w:rsidRDefault="00982FC8" w:rsidP="00400C17">
            <w:pPr>
              <w:jc w:val="right"/>
              <w:rPr>
                <w:sz w:val="22"/>
                <w:szCs w:val="20"/>
              </w:rPr>
            </w:pPr>
            <w:r w:rsidRPr="00982FC8">
              <w:rPr>
                <w:sz w:val="22"/>
                <w:szCs w:val="20"/>
              </w:rPr>
              <w:t>£0</w:t>
            </w:r>
          </w:p>
        </w:tc>
        <w:tc>
          <w:tcPr>
            <w:tcW w:w="1831" w:type="dxa"/>
            <w:noWrap/>
            <w:hideMark/>
          </w:tcPr>
          <w:p w14:paraId="2446DF18" w14:textId="77777777" w:rsidR="00982FC8" w:rsidRPr="00982FC8" w:rsidRDefault="00982FC8" w:rsidP="00400C17">
            <w:pPr>
              <w:jc w:val="right"/>
              <w:rPr>
                <w:sz w:val="22"/>
                <w:szCs w:val="20"/>
              </w:rPr>
            </w:pPr>
            <w:r w:rsidRPr="00982FC8">
              <w:rPr>
                <w:sz w:val="22"/>
                <w:szCs w:val="20"/>
              </w:rPr>
              <w:t>£910</w:t>
            </w:r>
          </w:p>
        </w:tc>
      </w:tr>
      <w:tr w:rsidR="00AB120F" w:rsidRPr="00982FC8" w14:paraId="6B0AC097" w14:textId="77777777" w:rsidTr="003C13A3">
        <w:trPr>
          <w:trHeight w:val="285"/>
        </w:trPr>
        <w:tc>
          <w:tcPr>
            <w:tcW w:w="3201" w:type="dxa"/>
            <w:noWrap/>
            <w:hideMark/>
          </w:tcPr>
          <w:p w14:paraId="0FB1A7BD" w14:textId="77777777" w:rsidR="00982FC8" w:rsidRPr="00982FC8" w:rsidRDefault="00982FC8" w:rsidP="00982FC8">
            <w:pPr>
              <w:rPr>
                <w:sz w:val="22"/>
                <w:szCs w:val="20"/>
              </w:rPr>
            </w:pPr>
            <w:r w:rsidRPr="00982FC8">
              <w:rPr>
                <w:sz w:val="22"/>
                <w:szCs w:val="20"/>
              </w:rPr>
              <w:t>Accommodation</w:t>
            </w:r>
          </w:p>
        </w:tc>
        <w:tc>
          <w:tcPr>
            <w:tcW w:w="0" w:type="auto"/>
            <w:noWrap/>
            <w:hideMark/>
          </w:tcPr>
          <w:p w14:paraId="2D7CAD2B" w14:textId="77777777" w:rsidR="00982FC8" w:rsidRPr="00982FC8" w:rsidRDefault="00982FC8" w:rsidP="00400C17">
            <w:pPr>
              <w:jc w:val="right"/>
              <w:rPr>
                <w:sz w:val="22"/>
                <w:szCs w:val="20"/>
              </w:rPr>
            </w:pPr>
            <w:r w:rsidRPr="00982FC8">
              <w:rPr>
                <w:sz w:val="22"/>
                <w:szCs w:val="20"/>
              </w:rPr>
              <w:t>£660</w:t>
            </w:r>
          </w:p>
        </w:tc>
        <w:tc>
          <w:tcPr>
            <w:tcW w:w="0" w:type="auto"/>
            <w:noWrap/>
            <w:hideMark/>
          </w:tcPr>
          <w:p w14:paraId="230C043E"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F0B8C27"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90C6E8A"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CF96AB8"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77FCC5D"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CCFFC7A"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3215B55B"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5DB2028"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426D4592" w14:textId="77777777" w:rsidR="00982FC8" w:rsidRPr="00982FC8" w:rsidRDefault="00982FC8" w:rsidP="00400C17">
            <w:pPr>
              <w:jc w:val="right"/>
              <w:rPr>
                <w:sz w:val="22"/>
                <w:szCs w:val="20"/>
              </w:rPr>
            </w:pPr>
            <w:r w:rsidRPr="00982FC8">
              <w:rPr>
                <w:sz w:val="22"/>
                <w:szCs w:val="20"/>
              </w:rPr>
              <w:t>£0</w:t>
            </w:r>
          </w:p>
        </w:tc>
        <w:tc>
          <w:tcPr>
            <w:tcW w:w="1831" w:type="dxa"/>
            <w:noWrap/>
            <w:hideMark/>
          </w:tcPr>
          <w:p w14:paraId="7512BDDD" w14:textId="77777777" w:rsidR="00982FC8" w:rsidRPr="00982FC8" w:rsidRDefault="00982FC8" w:rsidP="00400C17">
            <w:pPr>
              <w:jc w:val="right"/>
              <w:rPr>
                <w:sz w:val="22"/>
                <w:szCs w:val="20"/>
              </w:rPr>
            </w:pPr>
            <w:r w:rsidRPr="00982FC8">
              <w:rPr>
                <w:sz w:val="22"/>
                <w:szCs w:val="20"/>
              </w:rPr>
              <w:t xml:space="preserve"> £660 </w:t>
            </w:r>
          </w:p>
        </w:tc>
      </w:tr>
      <w:tr w:rsidR="00AB120F" w:rsidRPr="00982FC8" w14:paraId="3B4FC255" w14:textId="77777777" w:rsidTr="003C13A3">
        <w:trPr>
          <w:trHeight w:val="285"/>
        </w:trPr>
        <w:tc>
          <w:tcPr>
            <w:tcW w:w="3201" w:type="dxa"/>
            <w:noWrap/>
            <w:hideMark/>
          </w:tcPr>
          <w:p w14:paraId="168B640F" w14:textId="219C0007" w:rsidR="00982FC8" w:rsidRPr="00982FC8" w:rsidRDefault="00982FC8" w:rsidP="00982FC8">
            <w:pPr>
              <w:rPr>
                <w:sz w:val="22"/>
                <w:szCs w:val="20"/>
              </w:rPr>
            </w:pPr>
            <w:r w:rsidRPr="00982FC8">
              <w:rPr>
                <w:sz w:val="22"/>
                <w:szCs w:val="20"/>
              </w:rPr>
              <w:t>Well Exam</w:t>
            </w:r>
            <w:r w:rsidR="00471F85">
              <w:rPr>
                <w:sz w:val="22"/>
                <w:szCs w:val="20"/>
              </w:rPr>
              <w:t xml:space="preserve"> **</w:t>
            </w:r>
          </w:p>
        </w:tc>
        <w:tc>
          <w:tcPr>
            <w:tcW w:w="0" w:type="auto"/>
            <w:noWrap/>
            <w:hideMark/>
          </w:tcPr>
          <w:p w14:paraId="7C8A4905"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60204026"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5049CB0B"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39FF4BA6"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1205F34D"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09539C34"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679C3873"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6F2E9181"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6890FA1F" w14:textId="77777777" w:rsidR="00982FC8" w:rsidRPr="00982FC8" w:rsidRDefault="00982FC8" w:rsidP="00400C17">
            <w:pPr>
              <w:jc w:val="right"/>
              <w:rPr>
                <w:sz w:val="22"/>
                <w:szCs w:val="20"/>
              </w:rPr>
            </w:pPr>
            <w:r w:rsidRPr="00982FC8">
              <w:rPr>
                <w:sz w:val="22"/>
                <w:szCs w:val="20"/>
              </w:rPr>
              <w:t>£50</w:t>
            </w:r>
          </w:p>
        </w:tc>
        <w:tc>
          <w:tcPr>
            <w:tcW w:w="0" w:type="auto"/>
            <w:noWrap/>
            <w:hideMark/>
          </w:tcPr>
          <w:p w14:paraId="1CD865A2" w14:textId="77777777" w:rsidR="00982FC8" w:rsidRPr="00982FC8" w:rsidRDefault="00982FC8" w:rsidP="00400C17">
            <w:pPr>
              <w:jc w:val="right"/>
              <w:rPr>
                <w:sz w:val="22"/>
                <w:szCs w:val="20"/>
              </w:rPr>
            </w:pPr>
            <w:r w:rsidRPr="00982FC8">
              <w:rPr>
                <w:sz w:val="22"/>
                <w:szCs w:val="20"/>
              </w:rPr>
              <w:t>£50</w:t>
            </w:r>
          </w:p>
        </w:tc>
        <w:tc>
          <w:tcPr>
            <w:tcW w:w="1831" w:type="dxa"/>
            <w:noWrap/>
            <w:hideMark/>
          </w:tcPr>
          <w:p w14:paraId="34BFC0AF" w14:textId="77777777" w:rsidR="00982FC8" w:rsidRPr="00982FC8" w:rsidRDefault="00982FC8" w:rsidP="00400C17">
            <w:pPr>
              <w:jc w:val="right"/>
              <w:rPr>
                <w:sz w:val="22"/>
                <w:szCs w:val="20"/>
              </w:rPr>
            </w:pPr>
            <w:r w:rsidRPr="00982FC8">
              <w:rPr>
                <w:sz w:val="22"/>
                <w:szCs w:val="20"/>
              </w:rPr>
              <w:t>£430</w:t>
            </w:r>
          </w:p>
        </w:tc>
      </w:tr>
      <w:tr w:rsidR="00AB120F" w:rsidRPr="00982FC8" w14:paraId="5930F821" w14:textId="77777777" w:rsidTr="003C13A3">
        <w:trPr>
          <w:trHeight w:val="285"/>
        </w:trPr>
        <w:tc>
          <w:tcPr>
            <w:tcW w:w="3201" w:type="dxa"/>
            <w:noWrap/>
            <w:hideMark/>
          </w:tcPr>
          <w:p w14:paraId="7DDEF8AA" w14:textId="77777777" w:rsidR="00982FC8" w:rsidRPr="00982FC8" w:rsidRDefault="00982FC8" w:rsidP="00982FC8">
            <w:pPr>
              <w:rPr>
                <w:sz w:val="22"/>
                <w:szCs w:val="20"/>
              </w:rPr>
            </w:pPr>
            <w:r w:rsidRPr="00982FC8">
              <w:rPr>
                <w:sz w:val="22"/>
                <w:szCs w:val="20"/>
              </w:rPr>
              <w:t>Installation Manager Training</w:t>
            </w:r>
          </w:p>
        </w:tc>
        <w:tc>
          <w:tcPr>
            <w:tcW w:w="0" w:type="auto"/>
            <w:noWrap/>
            <w:hideMark/>
          </w:tcPr>
          <w:p w14:paraId="6DF67E07" w14:textId="77777777" w:rsidR="00982FC8" w:rsidRPr="00982FC8" w:rsidRDefault="00982FC8" w:rsidP="00400C17">
            <w:pPr>
              <w:jc w:val="right"/>
              <w:rPr>
                <w:sz w:val="22"/>
                <w:szCs w:val="20"/>
              </w:rPr>
            </w:pPr>
            <w:r w:rsidRPr="00982FC8">
              <w:rPr>
                <w:sz w:val="22"/>
                <w:szCs w:val="20"/>
              </w:rPr>
              <w:t xml:space="preserve"> £70 </w:t>
            </w:r>
          </w:p>
        </w:tc>
        <w:tc>
          <w:tcPr>
            <w:tcW w:w="0" w:type="auto"/>
            <w:noWrap/>
            <w:hideMark/>
          </w:tcPr>
          <w:p w14:paraId="244DBE84"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5929E0D"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74C6393A" w14:textId="77777777" w:rsidR="00982FC8" w:rsidRPr="00982FC8" w:rsidRDefault="00982FC8" w:rsidP="00400C17">
            <w:pPr>
              <w:jc w:val="right"/>
              <w:rPr>
                <w:sz w:val="22"/>
                <w:szCs w:val="20"/>
              </w:rPr>
            </w:pPr>
            <w:r w:rsidRPr="00982FC8">
              <w:rPr>
                <w:sz w:val="22"/>
                <w:szCs w:val="20"/>
              </w:rPr>
              <w:t>£70</w:t>
            </w:r>
          </w:p>
        </w:tc>
        <w:tc>
          <w:tcPr>
            <w:tcW w:w="0" w:type="auto"/>
            <w:noWrap/>
            <w:hideMark/>
          </w:tcPr>
          <w:p w14:paraId="738E6479"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38B16048"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7C77A69" w14:textId="77777777" w:rsidR="00982FC8" w:rsidRPr="00982FC8" w:rsidRDefault="00982FC8" w:rsidP="00400C17">
            <w:pPr>
              <w:jc w:val="right"/>
              <w:rPr>
                <w:sz w:val="22"/>
                <w:szCs w:val="20"/>
              </w:rPr>
            </w:pPr>
            <w:r w:rsidRPr="00982FC8">
              <w:rPr>
                <w:sz w:val="22"/>
                <w:szCs w:val="20"/>
              </w:rPr>
              <w:t>£70</w:t>
            </w:r>
          </w:p>
        </w:tc>
        <w:tc>
          <w:tcPr>
            <w:tcW w:w="0" w:type="auto"/>
            <w:noWrap/>
            <w:hideMark/>
          </w:tcPr>
          <w:p w14:paraId="0AAFAFDE"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0FA8116"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7536EDA0" w14:textId="77777777" w:rsidR="00982FC8" w:rsidRPr="00982FC8" w:rsidRDefault="00982FC8" w:rsidP="00400C17">
            <w:pPr>
              <w:jc w:val="right"/>
              <w:rPr>
                <w:sz w:val="22"/>
                <w:szCs w:val="20"/>
              </w:rPr>
            </w:pPr>
            <w:r w:rsidRPr="00982FC8">
              <w:rPr>
                <w:sz w:val="22"/>
                <w:szCs w:val="20"/>
              </w:rPr>
              <w:t>£70</w:t>
            </w:r>
          </w:p>
        </w:tc>
        <w:tc>
          <w:tcPr>
            <w:tcW w:w="1831" w:type="dxa"/>
            <w:noWrap/>
            <w:hideMark/>
          </w:tcPr>
          <w:p w14:paraId="5746FBA6" w14:textId="77777777" w:rsidR="00982FC8" w:rsidRPr="00982FC8" w:rsidRDefault="00982FC8" w:rsidP="00400C17">
            <w:pPr>
              <w:jc w:val="right"/>
              <w:rPr>
                <w:sz w:val="22"/>
                <w:szCs w:val="20"/>
              </w:rPr>
            </w:pPr>
            <w:r w:rsidRPr="00982FC8">
              <w:rPr>
                <w:sz w:val="22"/>
                <w:szCs w:val="20"/>
              </w:rPr>
              <w:t>£240</w:t>
            </w:r>
          </w:p>
        </w:tc>
      </w:tr>
      <w:tr w:rsidR="00AB120F" w:rsidRPr="00982FC8" w14:paraId="244E4DC6" w14:textId="77777777" w:rsidTr="003C13A3">
        <w:trPr>
          <w:trHeight w:val="285"/>
        </w:trPr>
        <w:tc>
          <w:tcPr>
            <w:tcW w:w="3201" w:type="dxa"/>
            <w:noWrap/>
            <w:hideMark/>
          </w:tcPr>
          <w:p w14:paraId="46ABE83F" w14:textId="77777777" w:rsidR="00982FC8" w:rsidRPr="00982FC8" w:rsidRDefault="00982FC8" w:rsidP="00982FC8">
            <w:pPr>
              <w:rPr>
                <w:sz w:val="22"/>
                <w:szCs w:val="20"/>
              </w:rPr>
            </w:pPr>
            <w:r w:rsidRPr="00982FC8">
              <w:rPr>
                <w:sz w:val="22"/>
                <w:szCs w:val="20"/>
              </w:rPr>
              <w:t>Cost Recovery</w:t>
            </w:r>
          </w:p>
        </w:tc>
        <w:tc>
          <w:tcPr>
            <w:tcW w:w="0" w:type="auto"/>
            <w:noWrap/>
            <w:hideMark/>
          </w:tcPr>
          <w:p w14:paraId="4BF9A60F" w14:textId="77777777" w:rsidR="00982FC8" w:rsidRPr="00982FC8" w:rsidRDefault="00982FC8" w:rsidP="00400C17">
            <w:pPr>
              <w:jc w:val="right"/>
              <w:rPr>
                <w:sz w:val="22"/>
                <w:szCs w:val="20"/>
              </w:rPr>
            </w:pPr>
            <w:r w:rsidRPr="00982FC8">
              <w:rPr>
                <w:sz w:val="22"/>
                <w:szCs w:val="20"/>
              </w:rPr>
              <w:t>£80</w:t>
            </w:r>
          </w:p>
        </w:tc>
        <w:tc>
          <w:tcPr>
            <w:tcW w:w="0" w:type="auto"/>
            <w:noWrap/>
            <w:hideMark/>
          </w:tcPr>
          <w:p w14:paraId="436459E0"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7BD8CAB3"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46E53D8C"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6376FBE6"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66AA90CD"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3881F80B"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6D15833A"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6D5841FA" w14:textId="77777777" w:rsidR="00982FC8" w:rsidRPr="00982FC8" w:rsidRDefault="00982FC8" w:rsidP="00400C17">
            <w:pPr>
              <w:jc w:val="right"/>
              <w:rPr>
                <w:sz w:val="22"/>
                <w:szCs w:val="20"/>
              </w:rPr>
            </w:pPr>
            <w:r w:rsidRPr="00982FC8">
              <w:rPr>
                <w:sz w:val="22"/>
                <w:szCs w:val="20"/>
              </w:rPr>
              <w:t>£7.9</w:t>
            </w:r>
          </w:p>
        </w:tc>
        <w:tc>
          <w:tcPr>
            <w:tcW w:w="0" w:type="auto"/>
            <w:noWrap/>
            <w:hideMark/>
          </w:tcPr>
          <w:p w14:paraId="6DE8020A" w14:textId="77777777" w:rsidR="00982FC8" w:rsidRPr="00982FC8" w:rsidRDefault="00982FC8" w:rsidP="00400C17">
            <w:pPr>
              <w:jc w:val="right"/>
              <w:rPr>
                <w:sz w:val="22"/>
                <w:szCs w:val="20"/>
              </w:rPr>
            </w:pPr>
            <w:r w:rsidRPr="00982FC8">
              <w:rPr>
                <w:sz w:val="22"/>
                <w:szCs w:val="20"/>
              </w:rPr>
              <w:t>£7.9</w:t>
            </w:r>
          </w:p>
        </w:tc>
        <w:tc>
          <w:tcPr>
            <w:tcW w:w="1831" w:type="dxa"/>
            <w:noWrap/>
            <w:hideMark/>
          </w:tcPr>
          <w:p w14:paraId="78A31AF6" w14:textId="77777777" w:rsidR="00982FC8" w:rsidRPr="00982FC8" w:rsidRDefault="00982FC8" w:rsidP="00400C17">
            <w:pPr>
              <w:jc w:val="right"/>
              <w:rPr>
                <w:sz w:val="22"/>
                <w:szCs w:val="20"/>
              </w:rPr>
            </w:pPr>
            <w:r w:rsidRPr="00982FC8">
              <w:rPr>
                <w:sz w:val="22"/>
                <w:szCs w:val="20"/>
              </w:rPr>
              <w:t>£140</w:t>
            </w:r>
          </w:p>
        </w:tc>
      </w:tr>
      <w:tr w:rsidR="00AB120F" w:rsidRPr="00982FC8" w14:paraId="0362E127" w14:textId="77777777" w:rsidTr="003C13A3">
        <w:trPr>
          <w:trHeight w:val="285"/>
        </w:trPr>
        <w:tc>
          <w:tcPr>
            <w:tcW w:w="3201" w:type="dxa"/>
            <w:noWrap/>
            <w:hideMark/>
          </w:tcPr>
          <w:p w14:paraId="6B0A68E3" w14:textId="77777777" w:rsidR="00982FC8" w:rsidRPr="00982FC8" w:rsidRDefault="00982FC8" w:rsidP="00982FC8">
            <w:pPr>
              <w:rPr>
                <w:sz w:val="22"/>
                <w:szCs w:val="20"/>
              </w:rPr>
            </w:pPr>
            <w:r w:rsidRPr="00982FC8">
              <w:rPr>
                <w:sz w:val="22"/>
                <w:szCs w:val="20"/>
              </w:rPr>
              <w:t>Material Change</w:t>
            </w:r>
          </w:p>
        </w:tc>
        <w:tc>
          <w:tcPr>
            <w:tcW w:w="0" w:type="auto"/>
            <w:noWrap/>
            <w:hideMark/>
          </w:tcPr>
          <w:p w14:paraId="0966C301"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4653BEA0"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15C4E1FC"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3D1E3C91"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4C064D1C"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28C8FB1F"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4156A6D5"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344B19AA"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402451E5" w14:textId="77777777" w:rsidR="00982FC8" w:rsidRPr="00982FC8" w:rsidRDefault="00982FC8" w:rsidP="00400C17">
            <w:pPr>
              <w:jc w:val="right"/>
              <w:rPr>
                <w:sz w:val="22"/>
                <w:szCs w:val="20"/>
              </w:rPr>
            </w:pPr>
            <w:r w:rsidRPr="00982FC8">
              <w:rPr>
                <w:sz w:val="22"/>
                <w:szCs w:val="20"/>
              </w:rPr>
              <w:t xml:space="preserve">£9.8 </w:t>
            </w:r>
          </w:p>
        </w:tc>
        <w:tc>
          <w:tcPr>
            <w:tcW w:w="0" w:type="auto"/>
            <w:noWrap/>
            <w:hideMark/>
          </w:tcPr>
          <w:p w14:paraId="4C668E70" w14:textId="77777777" w:rsidR="00982FC8" w:rsidRPr="00982FC8" w:rsidRDefault="00982FC8" w:rsidP="00400C17">
            <w:pPr>
              <w:jc w:val="right"/>
              <w:rPr>
                <w:sz w:val="22"/>
                <w:szCs w:val="20"/>
              </w:rPr>
            </w:pPr>
            <w:r w:rsidRPr="00982FC8">
              <w:rPr>
                <w:sz w:val="22"/>
                <w:szCs w:val="20"/>
              </w:rPr>
              <w:t xml:space="preserve">£9.8 </w:t>
            </w:r>
          </w:p>
        </w:tc>
        <w:tc>
          <w:tcPr>
            <w:tcW w:w="1831" w:type="dxa"/>
            <w:noWrap/>
            <w:hideMark/>
          </w:tcPr>
          <w:p w14:paraId="15734D22" w14:textId="77777777" w:rsidR="00982FC8" w:rsidRPr="00982FC8" w:rsidRDefault="00982FC8" w:rsidP="00400C17">
            <w:pPr>
              <w:jc w:val="right"/>
              <w:rPr>
                <w:sz w:val="22"/>
                <w:szCs w:val="20"/>
              </w:rPr>
            </w:pPr>
            <w:r w:rsidRPr="00982FC8">
              <w:rPr>
                <w:sz w:val="22"/>
                <w:szCs w:val="20"/>
              </w:rPr>
              <w:t>£85</w:t>
            </w:r>
          </w:p>
        </w:tc>
      </w:tr>
      <w:tr w:rsidR="00AB120F" w:rsidRPr="00982FC8" w14:paraId="765E7418" w14:textId="77777777" w:rsidTr="003C13A3">
        <w:trPr>
          <w:trHeight w:val="285"/>
        </w:trPr>
        <w:tc>
          <w:tcPr>
            <w:tcW w:w="3201" w:type="dxa"/>
            <w:noWrap/>
            <w:hideMark/>
          </w:tcPr>
          <w:p w14:paraId="036459CE" w14:textId="77777777" w:rsidR="00982FC8" w:rsidRPr="00982FC8" w:rsidRDefault="00982FC8" w:rsidP="00982FC8">
            <w:pPr>
              <w:rPr>
                <w:sz w:val="22"/>
                <w:szCs w:val="20"/>
              </w:rPr>
            </w:pPr>
            <w:r w:rsidRPr="00982FC8">
              <w:rPr>
                <w:sz w:val="22"/>
                <w:szCs w:val="20"/>
              </w:rPr>
              <w:t>Identifying Marking</w:t>
            </w:r>
          </w:p>
        </w:tc>
        <w:tc>
          <w:tcPr>
            <w:tcW w:w="0" w:type="auto"/>
            <w:noWrap/>
            <w:hideMark/>
          </w:tcPr>
          <w:p w14:paraId="3BD5F600" w14:textId="77777777" w:rsidR="00982FC8" w:rsidRPr="00982FC8" w:rsidRDefault="00982FC8" w:rsidP="00400C17">
            <w:pPr>
              <w:jc w:val="right"/>
              <w:rPr>
                <w:sz w:val="22"/>
                <w:szCs w:val="20"/>
              </w:rPr>
            </w:pPr>
            <w:r w:rsidRPr="00982FC8">
              <w:rPr>
                <w:sz w:val="22"/>
                <w:szCs w:val="20"/>
              </w:rPr>
              <w:t xml:space="preserve">£82 </w:t>
            </w:r>
          </w:p>
        </w:tc>
        <w:tc>
          <w:tcPr>
            <w:tcW w:w="0" w:type="auto"/>
            <w:noWrap/>
            <w:hideMark/>
          </w:tcPr>
          <w:p w14:paraId="1A4B2064"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4F264D41"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B6EA7E9"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2F2C3B56"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4EED13BB"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781ABD54"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34DE3BE6"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4CACAE1C"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7A053EC" w14:textId="77777777" w:rsidR="00982FC8" w:rsidRPr="00982FC8" w:rsidRDefault="00982FC8" w:rsidP="00400C17">
            <w:pPr>
              <w:jc w:val="right"/>
              <w:rPr>
                <w:sz w:val="22"/>
                <w:szCs w:val="20"/>
              </w:rPr>
            </w:pPr>
            <w:r w:rsidRPr="00982FC8">
              <w:rPr>
                <w:sz w:val="22"/>
                <w:szCs w:val="20"/>
              </w:rPr>
              <w:t>£0</w:t>
            </w:r>
          </w:p>
        </w:tc>
        <w:tc>
          <w:tcPr>
            <w:tcW w:w="1831" w:type="dxa"/>
            <w:noWrap/>
            <w:hideMark/>
          </w:tcPr>
          <w:p w14:paraId="7CC03FD9" w14:textId="77777777" w:rsidR="00982FC8" w:rsidRPr="00982FC8" w:rsidRDefault="00982FC8" w:rsidP="00400C17">
            <w:pPr>
              <w:jc w:val="right"/>
              <w:rPr>
                <w:sz w:val="22"/>
                <w:szCs w:val="20"/>
              </w:rPr>
            </w:pPr>
            <w:r w:rsidRPr="00982FC8">
              <w:rPr>
                <w:sz w:val="22"/>
                <w:szCs w:val="20"/>
              </w:rPr>
              <w:t>£82</w:t>
            </w:r>
          </w:p>
        </w:tc>
      </w:tr>
      <w:tr w:rsidR="00AB120F" w:rsidRPr="00982FC8" w14:paraId="0A3C905C" w14:textId="77777777" w:rsidTr="003C13A3">
        <w:trPr>
          <w:trHeight w:val="285"/>
        </w:trPr>
        <w:tc>
          <w:tcPr>
            <w:tcW w:w="3201" w:type="dxa"/>
            <w:noWrap/>
            <w:hideMark/>
          </w:tcPr>
          <w:p w14:paraId="2098BE1F" w14:textId="77777777" w:rsidR="00982FC8" w:rsidRPr="00982FC8" w:rsidRDefault="00982FC8" w:rsidP="00982FC8">
            <w:pPr>
              <w:rPr>
                <w:sz w:val="22"/>
                <w:szCs w:val="20"/>
              </w:rPr>
            </w:pPr>
            <w:r w:rsidRPr="00982FC8">
              <w:rPr>
                <w:sz w:val="22"/>
                <w:szCs w:val="20"/>
              </w:rPr>
              <w:t>Combined Ops</w:t>
            </w:r>
          </w:p>
        </w:tc>
        <w:tc>
          <w:tcPr>
            <w:tcW w:w="0" w:type="auto"/>
            <w:noWrap/>
            <w:hideMark/>
          </w:tcPr>
          <w:p w14:paraId="1EC2796A"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25B89C4B"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3650B958"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51E3457A"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16ED315D"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248B80AC"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16D40FB1"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606ABE88"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7A1C6150" w14:textId="77777777" w:rsidR="00982FC8" w:rsidRPr="00982FC8" w:rsidRDefault="00982FC8" w:rsidP="00400C17">
            <w:pPr>
              <w:jc w:val="right"/>
              <w:rPr>
                <w:sz w:val="22"/>
                <w:szCs w:val="20"/>
              </w:rPr>
            </w:pPr>
            <w:r w:rsidRPr="00982FC8">
              <w:rPr>
                <w:sz w:val="22"/>
                <w:szCs w:val="20"/>
              </w:rPr>
              <w:t>£5.5</w:t>
            </w:r>
          </w:p>
        </w:tc>
        <w:tc>
          <w:tcPr>
            <w:tcW w:w="0" w:type="auto"/>
            <w:noWrap/>
            <w:hideMark/>
          </w:tcPr>
          <w:p w14:paraId="2DCE2835" w14:textId="77777777" w:rsidR="00982FC8" w:rsidRPr="00982FC8" w:rsidRDefault="00982FC8" w:rsidP="00400C17">
            <w:pPr>
              <w:jc w:val="right"/>
              <w:rPr>
                <w:sz w:val="22"/>
                <w:szCs w:val="20"/>
              </w:rPr>
            </w:pPr>
            <w:r w:rsidRPr="00982FC8">
              <w:rPr>
                <w:sz w:val="22"/>
                <w:szCs w:val="20"/>
              </w:rPr>
              <w:t>£5.5</w:t>
            </w:r>
          </w:p>
        </w:tc>
        <w:tc>
          <w:tcPr>
            <w:tcW w:w="1831" w:type="dxa"/>
            <w:noWrap/>
            <w:hideMark/>
          </w:tcPr>
          <w:p w14:paraId="58E953B1" w14:textId="77777777" w:rsidR="00982FC8" w:rsidRPr="00982FC8" w:rsidRDefault="00982FC8" w:rsidP="00400C17">
            <w:pPr>
              <w:jc w:val="right"/>
              <w:rPr>
                <w:sz w:val="22"/>
                <w:szCs w:val="20"/>
              </w:rPr>
            </w:pPr>
            <w:r w:rsidRPr="00982FC8">
              <w:rPr>
                <w:sz w:val="22"/>
                <w:szCs w:val="20"/>
              </w:rPr>
              <w:t>£47</w:t>
            </w:r>
          </w:p>
        </w:tc>
      </w:tr>
      <w:tr w:rsidR="00AB120F" w:rsidRPr="00982FC8" w14:paraId="4DB5A550" w14:textId="77777777" w:rsidTr="003C13A3">
        <w:trPr>
          <w:trHeight w:val="285"/>
        </w:trPr>
        <w:tc>
          <w:tcPr>
            <w:tcW w:w="3201" w:type="dxa"/>
            <w:noWrap/>
            <w:hideMark/>
          </w:tcPr>
          <w:p w14:paraId="507AD1D8" w14:textId="77777777" w:rsidR="00982FC8" w:rsidRPr="00982FC8" w:rsidRDefault="00982FC8" w:rsidP="00982FC8">
            <w:pPr>
              <w:rPr>
                <w:sz w:val="22"/>
                <w:szCs w:val="20"/>
              </w:rPr>
            </w:pPr>
            <w:r w:rsidRPr="00982FC8">
              <w:rPr>
                <w:sz w:val="22"/>
                <w:szCs w:val="20"/>
              </w:rPr>
              <w:t>Design Notification</w:t>
            </w:r>
          </w:p>
        </w:tc>
        <w:tc>
          <w:tcPr>
            <w:tcW w:w="0" w:type="auto"/>
            <w:noWrap/>
            <w:hideMark/>
          </w:tcPr>
          <w:p w14:paraId="12D11CB2" w14:textId="77777777" w:rsidR="00982FC8" w:rsidRPr="00982FC8" w:rsidRDefault="00982FC8" w:rsidP="00400C17">
            <w:pPr>
              <w:jc w:val="right"/>
              <w:rPr>
                <w:sz w:val="22"/>
                <w:szCs w:val="20"/>
              </w:rPr>
            </w:pPr>
            <w:r w:rsidRPr="00982FC8">
              <w:rPr>
                <w:sz w:val="22"/>
                <w:szCs w:val="20"/>
              </w:rPr>
              <w:t>£38</w:t>
            </w:r>
          </w:p>
        </w:tc>
        <w:tc>
          <w:tcPr>
            <w:tcW w:w="0" w:type="auto"/>
            <w:noWrap/>
            <w:hideMark/>
          </w:tcPr>
          <w:p w14:paraId="7B46883E" w14:textId="77777777" w:rsidR="00982FC8" w:rsidRPr="00982FC8" w:rsidRDefault="00982FC8" w:rsidP="00400C17">
            <w:pPr>
              <w:jc w:val="right"/>
              <w:rPr>
                <w:sz w:val="22"/>
                <w:szCs w:val="20"/>
              </w:rPr>
            </w:pPr>
            <w:r w:rsidRPr="00982FC8">
              <w:rPr>
                <w:sz w:val="22"/>
                <w:szCs w:val="20"/>
              </w:rPr>
              <w:t xml:space="preserve"> £0</w:t>
            </w:r>
          </w:p>
        </w:tc>
        <w:tc>
          <w:tcPr>
            <w:tcW w:w="0" w:type="auto"/>
            <w:noWrap/>
            <w:hideMark/>
          </w:tcPr>
          <w:p w14:paraId="5BE59979" w14:textId="77777777" w:rsidR="00982FC8" w:rsidRPr="00982FC8" w:rsidRDefault="00982FC8" w:rsidP="00400C17">
            <w:pPr>
              <w:jc w:val="right"/>
              <w:rPr>
                <w:sz w:val="22"/>
                <w:szCs w:val="20"/>
              </w:rPr>
            </w:pPr>
            <w:r w:rsidRPr="00982FC8">
              <w:rPr>
                <w:sz w:val="22"/>
                <w:szCs w:val="20"/>
              </w:rPr>
              <w:t xml:space="preserve">£0  </w:t>
            </w:r>
          </w:p>
        </w:tc>
        <w:tc>
          <w:tcPr>
            <w:tcW w:w="0" w:type="auto"/>
            <w:noWrap/>
            <w:hideMark/>
          </w:tcPr>
          <w:p w14:paraId="123DA6FA"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623B8D80"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21B048AF"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2E12B9C"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3529E78"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63962E2C"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37630E5" w14:textId="77777777" w:rsidR="00982FC8" w:rsidRPr="00982FC8" w:rsidRDefault="00982FC8" w:rsidP="00400C17">
            <w:pPr>
              <w:jc w:val="right"/>
              <w:rPr>
                <w:sz w:val="22"/>
                <w:szCs w:val="20"/>
              </w:rPr>
            </w:pPr>
            <w:r w:rsidRPr="00982FC8">
              <w:rPr>
                <w:sz w:val="22"/>
                <w:szCs w:val="20"/>
              </w:rPr>
              <w:t>£0</w:t>
            </w:r>
          </w:p>
        </w:tc>
        <w:tc>
          <w:tcPr>
            <w:tcW w:w="1831" w:type="dxa"/>
            <w:noWrap/>
            <w:hideMark/>
          </w:tcPr>
          <w:p w14:paraId="383E6BAD" w14:textId="77777777" w:rsidR="00982FC8" w:rsidRPr="00982FC8" w:rsidRDefault="00982FC8" w:rsidP="00400C17">
            <w:pPr>
              <w:jc w:val="right"/>
              <w:rPr>
                <w:sz w:val="22"/>
                <w:szCs w:val="20"/>
              </w:rPr>
            </w:pPr>
            <w:r w:rsidRPr="00982FC8">
              <w:rPr>
                <w:sz w:val="22"/>
                <w:szCs w:val="20"/>
              </w:rPr>
              <w:t>£38</w:t>
            </w:r>
          </w:p>
        </w:tc>
      </w:tr>
      <w:tr w:rsidR="00AB120F" w:rsidRPr="00982FC8" w14:paraId="65B321BB" w14:textId="77777777" w:rsidTr="003C13A3">
        <w:trPr>
          <w:trHeight w:val="285"/>
        </w:trPr>
        <w:tc>
          <w:tcPr>
            <w:tcW w:w="3201" w:type="dxa"/>
            <w:noWrap/>
            <w:hideMark/>
          </w:tcPr>
          <w:p w14:paraId="4C93C341" w14:textId="77777777" w:rsidR="00982FC8" w:rsidRPr="00982FC8" w:rsidRDefault="00982FC8" w:rsidP="00982FC8">
            <w:pPr>
              <w:rPr>
                <w:sz w:val="22"/>
                <w:szCs w:val="20"/>
              </w:rPr>
            </w:pPr>
            <w:r w:rsidRPr="00982FC8">
              <w:rPr>
                <w:sz w:val="22"/>
                <w:szCs w:val="20"/>
              </w:rPr>
              <w:t>SEMS</w:t>
            </w:r>
          </w:p>
        </w:tc>
        <w:tc>
          <w:tcPr>
            <w:tcW w:w="0" w:type="auto"/>
            <w:noWrap/>
            <w:hideMark/>
          </w:tcPr>
          <w:p w14:paraId="5BB6829B" w14:textId="77777777" w:rsidR="00982FC8" w:rsidRPr="00982FC8" w:rsidRDefault="00982FC8" w:rsidP="00400C17">
            <w:pPr>
              <w:jc w:val="right"/>
              <w:rPr>
                <w:sz w:val="22"/>
                <w:szCs w:val="20"/>
              </w:rPr>
            </w:pPr>
            <w:r w:rsidRPr="00982FC8">
              <w:rPr>
                <w:sz w:val="22"/>
                <w:szCs w:val="20"/>
              </w:rPr>
              <w:t>£13</w:t>
            </w:r>
          </w:p>
        </w:tc>
        <w:tc>
          <w:tcPr>
            <w:tcW w:w="0" w:type="auto"/>
            <w:noWrap/>
            <w:hideMark/>
          </w:tcPr>
          <w:p w14:paraId="03BD6707"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4262E8B"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7D44A6A"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463775A9"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8A9B43A"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0173FB20"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975BD3C"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14E992FF" w14:textId="77777777" w:rsidR="00982FC8" w:rsidRPr="00982FC8" w:rsidRDefault="00982FC8" w:rsidP="00400C17">
            <w:pPr>
              <w:jc w:val="right"/>
              <w:rPr>
                <w:sz w:val="22"/>
                <w:szCs w:val="20"/>
              </w:rPr>
            </w:pPr>
            <w:r w:rsidRPr="00982FC8">
              <w:rPr>
                <w:sz w:val="22"/>
                <w:szCs w:val="20"/>
              </w:rPr>
              <w:t>£0</w:t>
            </w:r>
          </w:p>
        </w:tc>
        <w:tc>
          <w:tcPr>
            <w:tcW w:w="0" w:type="auto"/>
            <w:noWrap/>
            <w:hideMark/>
          </w:tcPr>
          <w:p w14:paraId="5FB90AAA" w14:textId="77777777" w:rsidR="00982FC8" w:rsidRPr="00982FC8" w:rsidRDefault="00982FC8" w:rsidP="00400C17">
            <w:pPr>
              <w:jc w:val="right"/>
              <w:rPr>
                <w:sz w:val="22"/>
                <w:szCs w:val="20"/>
              </w:rPr>
            </w:pPr>
            <w:r w:rsidRPr="00982FC8">
              <w:rPr>
                <w:sz w:val="22"/>
                <w:szCs w:val="20"/>
              </w:rPr>
              <w:t>£0</w:t>
            </w:r>
          </w:p>
        </w:tc>
        <w:tc>
          <w:tcPr>
            <w:tcW w:w="1831" w:type="dxa"/>
            <w:noWrap/>
            <w:hideMark/>
          </w:tcPr>
          <w:p w14:paraId="58DB0747" w14:textId="77777777" w:rsidR="00982FC8" w:rsidRPr="00982FC8" w:rsidRDefault="00982FC8" w:rsidP="00400C17">
            <w:pPr>
              <w:jc w:val="right"/>
              <w:rPr>
                <w:sz w:val="22"/>
                <w:szCs w:val="20"/>
              </w:rPr>
            </w:pPr>
            <w:r w:rsidRPr="00982FC8">
              <w:rPr>
                <w:sz w:val="22"/>
                <w:szCs w:val="20"/>
              </w:rPr>
              <w:t>£13</w:t>
            </w:r>
          </w:p>
        </w:tc>
      </w:tr>
      <w:tr w:rsidR="00075FC4" w:rsidRPr="00982FC8" w14:paraId="7D6A3F53" w14:textId="77777777" w:rsidTr="003C13A3">
        <w:trPr>
          <w:trHeight w:val="285"/>
        </w:trPr>
        <w:tc>
          <w:tcPr>
            <w:tcW w:w="3201" w:type="dxa"/>
            <w:noWrap/>
            <w:hideMark/>
          </w:tcPr>
          <w:p w14:paraId="2421F534" w14:textId="77777777" w:rsidR="00982FC8" w:rsidRPr="00982FC8" w:rsidRDefault="00982FC8" w:rsidP="00982FC8">
            <w:pPr>
              <w:rPr>
                <w:b/>
                <w:bCs/>
                <w:sz w:val="22"/>
                <w:szCs w:val="20"/>
              </w:rPr>
            </w:pPr>
            <w:r w:rsidRPr="00982FC8">
              <w:rPr>
                <w:b/>
                <w:bCs/>
                <w:sz w:val="22"/>
                <w:szCs w:val="20"/>
              </w:rPr>
              <w:t>Total</w:t>
            </w:r>
          </w:p>
        </w:tc>
        <w:tc>
          <w:tcPr>
            <w:tcW w:w="0" w:type="auto"/>
            <w:noWrap/>
            <w:hideMark/>
          </w:tcPr>
          <w:p w14:paraId="45C87F71" w14:textId="2C0946E2" w:rsidR="00982FC8" w:rsidRPr="00982FC8" w:rsidRDefault="00982FC8" w:rsidP="00400C17">
            <w:pPr>
              <w:jc w:val="right"/>
              <w:rPr>
                <w:b/>
                <w:bCs/>
                <w:sz w:val="22"/>
                <w:szCs w:val="20"/>
              </w:rPr>
            </w:pPr>
            <w:r w:rsidRPr="00982FC8">
              <w:rPr>
                <w:b/>
                <w:bCs/>
                <w:sz w:val="22"/>
                <w:szCs w:val="20"/>
              </w:rPr>
              <w:t>£4,</w:t>
            </w:r>
            <w:r w:rsidR="00ED234E" w:rsidRPr="00595B74">
              <w:rPr>
                <w:b/>
                <w:bCs/>
                <w:sz w:val="22"/>
                <w:szCs w:val="20"/>
              </w:rPr>
              <w:t>4</w:t>
            </w:r>
            <w:r w:rsidRPr="00982FC8">
              <w:rPr>
                <w:b/>
                <w:bCs/>
                <w:sz w:val="22"/>
                <w:szCs w:val="20"/>
              </w:rPr>
              <w:t>00</w:t>
            </w:r>
          </w:p>
        </w:tc>
        <w:tc>
          <w:tcPr>
            <w:tcW w:w="0" w:type="auto"/>
            <w:noWrap/>
            <w:hideMark/>
          </w:tcPr>
          <w:p w14:paraId="37CDEAB1" w14:textId="77777777" w:rsidR="00982FC8" w:rsidRPr="00982FC8" w:rsidRDefault="00982FC8" w:rsidP="00400C17">
            <w:pPr>
              <w:jc w:val="right"/>
              <w:rPr>
                <w:b/>
                <w:bCs/>
                <w:sz w:val="22"/>
                <w:szCs w:val="20"/>
              </w:rPr>
            </w:pPr>
            <w:r w:rsidRPr="00982FC8">
              <w:rPr>
                <w:b/>
                <w:bCs/>
                <w:sz w:val="22"/>
                <w:szCs w:val="20"/>
              </w:rPr>
              <w:t>£1,200</w:t>
            </w:r>
          </w:p>
        </w:tc>
        <w:tc>
          <w:tcPr>
            <w:tcW w:w="0" w:type="auto"/>
            <w:noWrap/>
            <w:hideMark/>
          </w:tcPr>
          <w:p w14:paraId="71B15D91" w14:textId="77777777" w:rsidR="00982FC8" w:rsidRPr="00982FC8" w:rsidRDefault="00982FC8" w:rsidP="00400C17">
            <w:pPr>
              <w:jc w:val="right"/>
              <w:rPr>
                <w:b/>
                <w:bCs/>
                <w:sz w:val="22"/>
                <w:szCs w:val="20"/>
              </w:rPr>
            </w:pPr>
            <w:r w:rsidRPr="00982FC8">
              <w:rPr>
                <w:b/>
                <w:bCs/>
                <w:sz w:val="22"/>
                <w:szCs w:val="20"/>
              </w:rPr>
              <w:t>£1,200</w:t>
            </w:r>
          </w:p>
        </w:tc>
        <w:tc>
          <w:tcPr>
            <w:tcW w:w="0" w:type="auto"/>
            <w:noWrap/>
            <w:hideMark/>
          </w:tcPr>
          <w:p w14:paraId="3C5F78A4" w14:textId="77777777" w:rsidR="00982FC8" w:rsidRPr="00982FC8" w:rsidRDefault="00982FC8" w:rsidP="00400C17">
            <w:pPr>
              <w:jc w:val="right"/>
              <w:rPr>
                <w:b/>
                <w:bCs/>
                <w:sz w:val="22"/>
                <w:szCs w:val="20"/>
              </w:rPr>
            </w:pPr>
            <w:r w:rsidRPr="00982FC8">
              <w:rPr>
                <w:b/>
                <w:bCs/>
                <w:sz w:val="22"/>
                <w:szCs w:val="20"/>
              </w:rPr>
              <w:t>£1,300</w:t>
            </w:r>
          </w:p>
        </w:tc>
        <w:tc>
          <w:tcPr>
            <w:tcW w:w="0" w:type="auto"/>
            <w:noWrap/>
            <w:hideMark/>
          </w:tcPr>
          <w:p w14:paraId="35A3F3E3" w14:textId="77777777" w:rsidR="00982FC8" w:rsidRPr="00982FC8" w:rsidRDefault="00982FC8" w:rsidP="00400C17">
            <w:pPr>
              <w:jc w:val="right"/>
              <w:rPr>
                <w:b/>
                <w:bCs/>
                <w:sz w:val="22"/>
                <w:szCs w:val="20"/>
              </w:rPr>
            </w:pPr>
            <w:r w:rsidRPr="00982FC8">
              <w:rPr>
                <w:b/>
                <w:bCs/>
                <w:sz w:val="22"/>
                <w:szCs w:val="20"/>
              </w:rPr>
              <w:t>£1,200</w:t>
            </w:r>
          </w:p>
        </w:tc>
        <w:tc>
          <w:tcPr>
            <w:tcW w:w="0" w:type="auto"/>
            <w:noWrap/>
            <w:hideMark/>
          </w:tcPr>
          <w:p w14:paraId="6DD009CD" w14:textId="77777777" w:rsidR="00982FC8" w:rsidRPr="00982FC8" w:rsidRDefault="00982FC8" w:rsidP="00400C17">
            <w:pPr>
              <w:jc w:val="right"/>
              <w:rPr>
                <w:b/>
                <w:bCs/>
                <w:sz w:val="22"/>
                <w:szCs w:val="20"/>
              </w:rPr>
            </w:pPr>
            <w:r w:rsidRPr="00982FC8">
              <w:rPr>
                <w:b/>
                <w:bCs/>
                <w:sz w:val="22"/>
                <w:szCs w:val="20"/>
              </w:rPr>
              <w:t>£1,400</w:t>
            </w:r>
          </w:p>
        </w:tc>
        <w:tc>
          <w:tcPr>
            <w:tcW w:w="0" w:type="auto"/>
            <w:noWrap/>
            <w:hideMark/>
          </w:tcPr>
          <w:p w14:paraId="61150278" w14:textId="77777777" w:rsidR="00982FC8" w:rsidRPr="00982FC8" w:rsidRDefault="00982FC8" w:rsidP="00400C17">
            <w:pPr>
              <w:jc w:val="right"/>
              <w:rPr>
                <w:b/>
                <w:bCs/>
                <w:sz w:val="22"/>
                <w:szCs w:val="20"/>
              </w:rPr>
            </w:pPr>
            <w:r w:rsidRPr="00982FC8">
              <w:rPr>
                <w:b/>
                <w:bCs/>
                <w:sz w:val="22"/>
                <w:szCs w:val="20"/>
              </w:rPr>
              <w:t>£1,300</w:t>
            </w:r>
          </w:p>
        </w:tc>
        <w:tc>
          <w:tcPr>
            <w:tcW w:w="0" w:type="auto"/>
            <w:noWrap/>
            <w:hideMark/>
          </w:tcPr>
          <w:p w14:paraId="7E0C9F50" w14:textId="77777777" w:rsidR="00982FC8" w:rsidRPr="00982FC8" w:rsidRDefault="00982FC8" w:rsidP="00400C17">
            <w:pPr>
              <w:jc w:val="right"/>
              <w:rPr>
                <w:b/>
                <w:bCs/>
                <w:sz w:val="22"/>
                <w:szCs w:val="20"/>
              </w:rPr>
            </w:pPr>
            <w:r w:rsidRPr="00982FC8">
              <w:rPr>
                <w:b/>
                <w:bCs/>
                <w:sz w:val="22"/>
                <w:szCs w:val="20"/>
              </w:rPr>
              <w:t>£1,200</w:t>
            </w:r>
          </w:p>
        </w:tc>
        <w:tc>
          <w:tcPr>
            <w:tcW w:w="0" w:type="auto"/>
            <w:noWrap/>
            <w:hideMark/>
          </w:tcPr>
          <w:p w14:paraId="4548CB94" w14:textId="77777777" w:rsidR="00982FC8" w:rsidRPr="00982FC8" w:rsidRDefault="00982FC8" w:rsidP="00400C17">
            <w:pPr>
              <w:jc w:val="right"/>
              <w:rPr>
                <w:b/>
                <w:bCs/>
                <w:sz w:val="22"/>
                <w:szCs w:val="20"/>
              </w:rPr>
            </w:pPr>
            <w:r w:rsidRPr="00982FC8">
              <w:rPr>
                <w:b/>
                <w:bCs/>
                <w:sz w:val="22"/>
                <w:szCs w:val="20"/>
              </w:rPr>
              <w:t>£1,200</w:t>
            </w:r>
          </w:p>
        </w:tc>
        <w:tc>
          <w:tcPr>
            <w:tcW w:w="0" w:type="auto"/>
            <w:noWrap/>
            <w:hideMark/>
          </w:tcPr>
          <w:p w14:paraId="14B6CF00" w14:textId="77777777" w:rsidR="00982FC8" w:rsidRPr="00982FC8" w:rsidRDefault="00982FC8" w:rsidP="00400C17">
            <w:pPr>
              <w:jc w:val="right"/>
              <w:rPr>
                <w:b/>
                <w:bCs/>
                <w:sz w:val="22"/>
                <w:szCs w:val="20"/>
              </w:rPr>
            </w:pPr>
            <w:r w:rsidRPr="00982FC8">
              <w:rPr>
                <w:b/>
                <w:bCs/>
                <w:sz w:val="22"/>
                <w:szCs w:val="20"/>
              </w:rPr>
              <w:t>£1,300</w:t>
            </w:r>
          </w:p>
        </w:tc>
        <w:tc>
          <w:tcPr>
            <w:tcW w:w="1831" w:type="dxa"/>
            <w:noWrap/>
            <w:hideMark/>
          </w:tcPr>
          <w:p w14:paraId="442FEB7F" w14:textId="77777777" w:rsidR="00982FC8" w:rsidRPr="00982FC8" w:rsidRDefault="00982FC8" w:rsidP="00400C17">
            <w:pPr>
              <w:jc w:val="right"/>
              <w:rPr>
                <w:b/>
                <w:bCs/>
                <w:sz w:val="22"/>
                <w:szCs w:val="20"/>
              </w:rPr>
            </w:pPr>
            <w:r w:rsidRPr="00982FC8">
              <w:rPr>
                <w:b/>
                <w:bCs/>
                <w:sz w:val="22"/>
                <w:szCs w:val="20"/>
              </w:rPr>
              <w:t xml:space="preserve"> £14,000 </w:t>
            </w:r>
          </w:p>
        </w:tc>
      </w:tr>
    </w:tbl>
    <w:p w14:paraId="611F287F" w14:textId="60164FAC" w:rsidR="006A2074" w:rsidRDefault="00E51354" w:rsidP="00471F85">
      <w:pPr>
        <w:rPr>
          <w:rFonts w:eastAsia="Arial" w:cs="Arial"/>
          <w:szCs w:val="20"/>
        </w:rPr>
        <w:sectPr w:rsidR="006A2074" w:rsidSect="007C47D0">
          <w:pgSz w:w="16838" w:h="11906" w:orient="landscape"/>
          <w:pgMar w:top="1077" w:right="1134" w:bottom="1077" w:left="1134" w:header="227" w:footer="454" w:gutter="0"/>
          <w:cols w:space="720"/>
          <w:docGrid w:linePitch="326"/>
        </w:sectPr>
      </w:pPr>
      <w:r w:rsidRPr="0028154A">
        <w:rPr>
          <w:bCs/>
          <w:i/>
          <w:iCs/>
          <w:szCs w:val="24"/>
        </w:rPr>
        <w:t>*Costs in £’000s. Rounded to 2s.f.s</w:t>
      </w:r>
      <w:r w:rsidR="00471F85">
        <w:rPr>
          <w:bCs/>
          <w:i/>
          <w:iCs/>
          <w:szCs w:val="24"/>
        </w:rPr>
        <w:t xml:space="preserve"> **Costs that would not apply to hydrogen installations</w:t>
      </w:r>
    </w:p>
    <w:p w14:paraId="29370DED" w14:textId="1EAD74D5" w:rsidR="00257005" w:rsidRPr="007C47D0" w:rsidRDefault="00257005" w:rsidP="007C47D0">
      <w:pPr>
        <w:pStyle w:val="Caption"/>
        <w:keepNext/>
        <w:rPr>
          <w:b/>
          <w:bCs/>
          <w:szCs w:val="24"/>
        </w:rPr>
      </w:pPr>
      <w:bookmarkStart w:id="24" w:name="_Ref178944192"/>
      <w:r w:rsidRPr="007C47D0">
        <w:rPr>
          <w:b/>
          <w:bCs/>
          <w:color w:val="auto"/>
          <w:sz w:val="24"/>
          <w:szCs w:val="24"/>
        </w:rPr>
        <w:lastRenderedPageBreak/>
        <w:t xml:space="preserve">Figure </w:t>
      </w:r>
      <w:r w:rsidRPr="007C47D0">
        <w:rPr>
          <w:b/>
          <w:bCs/>
          <w:color w:val="auto"/>
          <w:sz w:val="24"/>
          <w:szCs w:val="24"/>
        </w:rPr>
        <w:fldChar w:fldCharType="begin"/>
      </w:r>
      <w:r w:rsidRPr="007C47D0">
        <w:rPr>
          <w:b/>
          <w:bCs/>
          <w:color w:val="auto"/>
          <w:sz w:val="24"/>
          <w:szCs w:val="24"/>
        </w:rPr>
        <w:instrText xml:space="preserve"> SEQ Figure \* ARABIC </w:instrText>
      </w:r>
      <w:r w:rsidRPr="007C47D0">
        <w:rPr>
          <w:b/>
          <w:bCs/>
          <w:color w:val="auto"/>
          <w:sz w:val="24"/>
          <w:szCs w:val="24"/>
        </w:rPr>
        <w:fldChar w:fldCharType="separate"/>
      </w:r>
      <w:r w:rsidR="0086161D">
        <w:rPr>
          <w:b/>
          <w:bCs/>
          <w:noProof/>
          <w:color w:val="auto"/>
          <w:sz w:val="24"/>
          <w:szCs w:val="24"/>
        </w:rPr>
        <w:t>2</w:t>
      </w:r>
      <w:r w:rsidRPr="007C47D0">
        <w:rPr>
          <w:b/>
          <w:bCs/>
          <w:color w:val="auto"/>
          <w:sz w:val="24"/>
          <w:szCs w:val="24"/>
        </w:rPr>
        <w:fldChar w:fldCharType="end"/>
      </w:r>
      <w:bookmarkEnd w:id="24"/>
      <w:r w:rsidRPr="007C47D0">
        <w:rPr>
          <w:b/>
          <w:bCs/>
          <w:color w:val="auto"/>
          <w:sz w:val="24"/>
          <w:szCs w:val="24"/>
        </w:rPr>
        <w:t xml:space="preserve">. </w:t>
      </w:r>
      <w:r w:rsidR="00E51354">
        <w:rPr>
          <w:b/>
          <w:bCs/>
          <w:color w:val="auto"/>
          <w:sz w:val="24"/>
          <w:szCs w:val="24"/>
        </w:rPr>
        <w:t>Best estimate of c</w:t>
      </w:r>
      <w:r w:rsidRPr="007C47D0">
        <w:rPr>
          <w:b/>
          <w:bCs/>
          <w:color w:val="auto"/>
          <w:sz w:val="24"/>
          <w:szCs w:val="24"/>
        </w:rPr>
        <w:t>osts aggregated across CCUS sector</w:t>
      </w:r>
    </w:p>
    <w:tbl>
      <w:tblPr>
        <w:tblStyle w:val="TableGrid3"/>
        <w:tblpPr w:leftFromText="180" w:rightFromText="180" w:horzAnchor="margin" w:tblpXSpec="center" w:tblpY="1275"/>
        <w:tblW w:w="15359" w:type="dxa"/>
        <w:tblLook w:val="04A0" w:firstRow="1" w:lastRow="0" w:firstColumn="1" w:lastColumn="0" w:noHBand="0" w:noVBand="1"/>
      </w:tblPr>
      <w:tblGrid>
        <w:gridCol w:w="1701"/>
        <w:gridCol w:w="1084"/>
        <w:gridCol w:w="1246"/>
        <w:gridCol w:w="1246"/>
        <w:gridCol w:w="1246"/>
        <w:gridCol w:w="1246"/>
        <w:gridCol w:w="1246"/>
        <w:gridCol w:w="1246"/>
        <w:gridCol w:w="1246"/>
        <w:gridCol w:w="1246"/>
        <w:gridCol w:w="1246"/>
        <w:gridCol w:w="1360"/>
      </w:tblGrid>
      <w:tr w:rsidR="00EF4188" w:rsidRPr="00EC772D" w14:paraId="51E81497" w14:textId="77777777" w:rsidTr="00982A50">
        <w:trPr>
          <w:trHeight w:val="285"/>
        </w:trPr>
        <w:tc>
          <w:tcPr>
            <w:tcW w:w="1701" w:type="dxa"/>
            <w:shd w:val="clear" w:color="auto" w:fill="000000"/>
            <w:noWrap/>
            <w:hideMark/>
          </w:tcPr>
          <w:p w14:paraId="28A6E81E" w14:textId="7025F3DF" w:rsidR="00EC772D" w:rsidRPr="00EC772D" w:rsidRDefault="00EC772D" w:rsidP="00982A50">
            <w:r w:rsidRPr="00EC772D">
              <w:t>New installations per annum</w:t>
            </w:r>
          </w:p>
        </w:tc>
        <w:tc>
          <w:tcPr>
            <w:tcW w:w="1084" w:type="dxa"/>
            <w:shd w:val="clear" w:color="auto" w:fill="000000"/>
            <w:noWrap/>
            <w:hideMark/>
          </w:tcPr>
          <w:p w14:paraId="26237EF2" w14:textId="77777777" w:rsidR="00EC772D" w:rsidRPr="00EC772D" w:rsidRDefault="00EC772D" w:rsidP="00796EBF">
            <w:pPr>
              <w:jc w:val="right"/>
            </w:pPr>
            <w:r w:rsidRPr="00EC772D">
              <w:rPr>
                <w:b/>
                <w:bCs/>
                <w:color w:val="FFFFFF"/>
              </w:rPr>
              <w:t>0</w:t>
            </w:r>
          </w:p>
        </w:tc>
        <w:tc>
          <w:tcPr>
            <w:tcW w:w="1246" w:type="dxa"/>
            <w:shd w:val="clear" w:color="auto" w:fill="000000"/>
            <w:noWrap/>
            <w:hideMark/>
          </w:tcPr>
          <w:p w14:paraId="3AC9DEA9" w14:textId="77777777" w:rsidR="00EC772D" w:rsidRPr="00EC772D" w:rsidRDefault="00EC772D" w:rsidP="00796EBF">
            <w:pPr>
              <w:jc w:val="right"/>
            </w:pPr>
            <w:r w:rsidRPr="00EC772D">
              <w:rPr>
                <w:bCs/>
                <w:color w:val="FFFFFF"/>
              </w:rPr>
              <w:t>1</w:t>
            </w:r>
          </w:p>
        </w:tc>
        <w:tc>
          <w:tcPr>
            <w:tcW w:w="1246" w:type="dxa"/>
            <w:shd w:val="clear" w:color="auto" w:fill="000000"/>
            <w:noWrap/>
            <w:hideMark/>
          </w:tcPr>
          <w:p w14:paraId="6D6FBD94" w14:textId="77777777" w:rsidR="00EC772D" w:rsidRPr="00EC772D" w:rsidRDefault="00EC772D" w:rsidP="00796EBF">
            <w:pPr>
              <w:jc w:val="right"/>
            </w:pPr>
            <w:r w:rsidRPr="00EC772D">
              <w:rPr>
                <w:bCs/>
                <w:color w:val="FFFFFF"/>
              </w:rPr>
              <w:t>2</w:t>
            </w:r>
          </w:p>
        </w:tc>
        <w:tc>
          <w:tcPr>
            <w:tcW w:w="1246" w:type="dxa"/>
            <w:shd w:val="clear" w:color="auto" w:fill="000000"/>
            <w:noWrap/>
            <w:hideMark/>
          </w:tcPr>
          <w:p w14:paraId="72C8BBD7" w14:textId="77777777" w:rsidR="00EC772D" w:rsidRPr="00EC772D" w:rsidRDefault="00EC772D" w:rsidP="00796EBF">
            <w:pPr>
              <w:jc w:val="right"/>
            </w:pPr>
            <w:r w:rsidRPr="00EC772D">
              <w:rPr>
                <w:bCs/>
                <w:color w:val="FFFFFF"/>
              </w:rPr>
              <w:t>3</w:t>
            </w:r>
          </w:p>
        </w:tc>
        <w:tc>
          <w:tcPr>
            <w:tcW w:w="1246" w:type="dxa"/>
            <w:shd w:val="clear" w:color="auto" w:fill="000000"/>
            <w:noWrap/>
            <w:hideMark/>
          </w:tcPr>
          <w:p w14:paraId="19DB28A9" w14:textId="77777777" w:rsidR="00EC772D" w:rsidRPr="00EC772D" w:rsidRDefault="00EC772D" w:rsidP="00796EBF">
            <w:pPr>
              <w:jc w:val="right"/>
            </w:pPr>
            <w:r w:rsidRPr="00EC772D">
              <w:rPr>
                <w:bCs/>
                <w:color w:val="FFFFFF"/>
              </w:rPr>
              <w:t>4</w:t>
            </w:r>
          </w:p>
        </w:tc>
        <w:tc>
          <w:tcPr>
            <w:tcW w:w="1246" w:type="dxa"/>
            <w:shd w:val="clear" w:color="auto" w:fill="000000"/>
            <w:noWrap/>
            <w:hideMark/>
          </w:tcPr>
          <w:p w14:paraId="07B3911F" w14:textId="77777777" w:rsidR="00EC772D" w:rsidRPr="00EC772D" w:rsidRDefault="00EC772D" w:rsidP="00796EBF">
            <w:pPr>
              <w:jc w:val="right"/>
            </w:pPr>
            <w:r w:rsidRPr="00EC772D">
              <w:rPr>
                <w:bCs/>
                <w:color w:val="FFFFFF"/>
              </w:rPr>
              <w:t>5</w:t>
            </w:r>
          </w:p>
        </w:tc>
        <w:tc>
          <w:tcPr>
            <w:tcW w:w="1246" w:type="dxa"/>
            <w:shd w:val="clear" w:color="auto" w:fill="000000"/>
            <w:noWrap/>
            <w:hideMark/>
          </w:tcPr>
          <w:p w14:paraId="0ED30ECF" w14:textId="77777777" w:rsidR="00EC772D" w:rsidRPr="00EC772D" w:rsidRDefault="00EC772D" w:rsidP="00796EBF">
            <w:pPr>
              <w:jc w:val="right"/>
            </w:pPr>
            <w:r w:rsidRPr="00EC772D">
              <w:rPr>
                <w:bCs/>
                <w:color w:val="FFFFFF"/>
              </w:rPr>
              <w:t>6</w:t>
            </w:r>
          </w:p>
        </w:tc>
        <w:tc>
          <w:tcPr>
            <w:tcW w:w="1246" w:type="dxa"/>
            <w:shd w:val="clear" w:color="auto" w:fill="000000"/>
            <w:noWrap/>
            <w:hideMark/>
          </w:tcPr>
          <w:p w14:paraId="51EBC5AF" w14:textId="77777777" w:rsidR="00EC772D" w:rsidRPr="00EC772D" w:rsidRDefault="00EC772D" w:rsidP="00796EBF">
            <w:pPr>
              <w:jc w:val="right"/>
            </w:pPr>
            <w:r w:rsidRPr="00EC772D">
              <w:rPr>
                <w:bCs/>
                <w:color w:val="FFFFFF"/>
              </w:rPr>
              <w:t>7</w:t>
            </w:r>
          </w:p>
        </w:tc>
        <w:tc>
          <w:tcPr>
            <w:tcW w:w="1246" w:type="dxa"/>
            <w:shd w:val="clear" w:color="auto" w:fill="000000"/>
            <w:noWrap/>
            <w:hideMark/>
          </w:tcPr>
          <w:p w14:paraId="5D0BA40A" w14:textId="77777777" w:rsidR="00EC772D" w:rsidRPr="00EC772D" w:rsidRDefault="00EC772D" w:rsidP="00796EBF">
            <w:pPr>
              <w:jc w:val="right"/>
            </w:pPr>
            <w:r w:rsidRPr="00EC772D">
              <w:rPr>
                <w:bCs/>
                <w:color w:val="FFFFFF"/>
              </w:rPr>
              <w:t>8</w:t>
            </w:r>
          </w:p>
        </w:tc>
        <w:tc>
          <w:tcPr>
            <w:tcW w:w="1246" w:type="dxa"/>
            <w:shd w:val="clear" w:color="auto" w:fill="000000"/>
            <w:noWrap/>
            <w:hideMark/>
          </w:tcPr>
          <w:p w14:paraId="22A0E8D4" w14:textId="77777777" w:rsidR="00EC772D" w:rsidRPr="00EC772D" w:rsidRDefault="00EC772D" w:rsidP="00796EBF">
            <w:pPr>
              <w:jc w:val="right"/>
            </w:pPr>
            <w:r w:rsidRPr="00EC772D">
              <w:rPr>
                <w:bCs/>
                <w:color w:val="FFFFFF"/>
              </w:rPr>
              <w:t>9</w:t>
            </w:r>
          </w:p>
        </w:tc>
        <w:tc>
          <w:tcPr>
            <w:tcW w:w="1360" w:type="dxa"/>
            <w:shd w:val="clear" w:color="auto" w:fill="000000"/>
            <w:noWrap/>
            <w:hideMark/>
          </w:tcPr>
          <w:p w14:paraId="1210D4A6" w14:textId="77777777" w:rsidR="00EC772D" w:rsidRPr="00EC772D" w:rsidRDefault="00EC772D" w:rsidP="00796EBF">
            <w:pPr>
              <w:jc w:val="right"/>
            </w:pPr>
            <w:r w:rsidRPr="00EC772D">
              <w:rPr>
                <w:bCs/>
                <w:color w:val="FFFFFF"/>
              </w:rPr>
              <w:t>Present Value</w:t>
            </w:r>
          </w:p>
        </w:tc>
      </w:tr>
      <w:tr w:rsidR="00F63533" w:rsidRPr="00EC772D" w14:paraId="535EDD3B" w14:textId="77777777" w:rsidTr="007C47D0">
        <w:trPr>
          <w:trHeight w:val="285"/>
        </w:trPr>
        <w:tc>
          <w:tcPr>
            <w:tcW w:w="1701" w:type="dxa"/>
            <w:noWrap/>
            <w:hideMark/>
          </w:tcPr>
          <w:p w14:paraId="5717FA64" w14:textId="77777777" w:rsidR="00EC772D" w:rsidRPr="00EC772D" w:rsidRDefault="00EC772D" w:rsidP="00982A50">
            <w:r w:rsidRPr="00EC772D">
              <w:t>2.7</w:t>
            </w:r>
          </w:p>
        </w:tc>
        <w:tc>
          <w:tcPr>
            <w:tcW w:w="1084" w:type="dxa"/>
            <w:noWrap/>
            <w:hideMark/>
          </w:tcPr>
          <w:p w14:paraId="4DEDB49B" w14:textId="3592D5BE" w:rsidR="00EC772D" w:rsidRPr="00EC772D" w:rsidRDefault="00EC772D" w:rsidP="00796EBF">
            <w:pPr>
              <w:jc w:val="right"/>
            </w:pPr>
            <w:r w:rsidRPr="00EC772D">
              <w:t>£1</w:t>
            </w:r>
            <w:r w:rsidR="00ED234E">
              <w:t>2</w:t>
            </w:r>
            <w:r w:rsidRPr="00EC772D">
              <w:t xml:space="preserve">,000 </w:t>
            </w:r>
          </w:p>
        </w:tc>
        <w:tc>
          <w:tcPr>
            <w:tcW w:w="1246" w:type="dxa"/>
            <w:noWrap/>
            <w:hideMark/>
          </w:tcPr>
          <w:p w14:paraId="333675D3" w14:textId="77777777" w:rsidR="00EC772D" w:rsidRPr="00EC772D" w:rsidRDefault="00EC772D" w:rsidP="00796EBF">
            <w:pPr>
              <w:jc w:val="right"/>
            </w:pPr>
            <w:r w:rsidRPr="00EC772D">
              <w:t xml:space="preserve">£3,100 </w:t>
            </w:r>
          </w:p>
        </w:tc>
        <w:tc>
          <w:tcPr>
            <w:tcW w:w="1246" w:type="dxa"/>
            <w:noWrap/>
            <w:hideMark/>
          </w:tcPr>
          <w:p w14:paraId="4B52FF7C" w14:textId="77777777" w:rsidR="00EC772D" w:rsidRPr="00EC772D" w:rsidRDefault="00EC772D" w:rsidP="00796EBF">
            <w:pPr>
              <w:jc w:val="right"/>
            </w:pPr>
            <w:r w:rsidRPr="00EC772D">
              <w:t xml:space="preserve">£3,100 </w:t>
            </w:r>
          </w:p>
        </w:tc>
        <w:tc>
          <w:tcPr>
            <w:tcW w:w="1246" w:type="dxa"/>
            <w:noWrap/>
            <w:hideMark/>
          </w:tcPr>
          <w:p w14:paraId="4A201E19" w14:textId="77777777" w:rsidR="00EC772D" w:rsidRPr="00EC772D" w:rsidRDefault="00EC772D" w:rsidP="00796EBF">
            <w:pPr>
              <w:jc w:val="right"/>
            </w:pPr>
            <w:r w:rsidRPr="00EC772D">
              <w:t xml:space="preserve"> £3,500 </w:t>
            </w:r>
          </w:p>
        </w:tc>
        <w:tc>
          <w:tcPr>
            <w:tcW w:w="1246" w:type="dxa"/>
            <w:noWrap/>
            <w:hideMark/>
          </w:tcPr>
          <w:p w14:paraId="4D2F8E0E" w14:textId="77777777" w:rsidR="00EC772D" w:rsidRPr="00EC772D" w:rsidRDefault="00EC772D" w:rsidP="00796EBF">
            <w:pPr>
              <w:jc w:val="right"/>
            </w:pPr>
            <w:r w:rsidRPr="00EC772D">
              <w:t xml:space="preserve">£3,100 </w:t>
            </w:r>
          </w:p>
        </w:tc>
        <w:tc>
          <w:tcPr>
            <w:tcW w:w="1246" w:type="dxa"/>
            <w:noWrap/>
            <w:hideMark/>
          </w:tcPr>
          <w:p w14:paraId="34699B49" w14:textId="77777777" w:rsidR="00EC772D" w:rsidRPr="00EC772D" w:rsidRDefault="00EC772D" w:rsidP="00796EBF">
            <w:pPr>
              <w:jc w:val="right"/>
            </w:pPr>
            <w:r w:rsidRPr="00EC772D">
              <w:t>£3,800</w:t>
            </w:r>
          </w:p>
        </w:tc>
        <w:tc>
          <w:tcPr>
            <w:tcW w:w="1246" w:type="dxa"/>
            <w:noWrap/>
            <w:hideMark/>
          </w:tcPr>
          <w:p w14:paraId="5276FE15" w14:textId="77777777" w:rsidR="00EC772D" w:rsidRPr="00EC772D" w:rsidRDefault="00EC772D" w:rsidP="00796EBF">
            <w:pPr>
              <w:jc w:val="right"/>
            </w:pPr>
            <w:r w:rsidRPr="00EC772D">
              <w:t xml:space="preserve"> £3,500 </w:t>
            </w:r>
          </w:p>
        </w:tc>
        <w:tc>
          <w:tcPr>
            <w:tcW w:w="1246" w:type="dxa"/>
            <w:noWrap/>
            <w:hideMark/>
          </w:tcPr>
          <w:p w14:paraId="39FE5F2B" w14:textId="77777777" w:rsidR="00EC772D" w:rsidRPr="00EC772D" w:rsidRDefault="00EC772D" w:rsidP="00796EBF">
            <w:pPr>
              <w:jc w:val="right"/>
            </w:pPr>
            <w:r w:rsidRPr="00EC772D">
              <w:t xml:space="preserve">£3,100 </w:t>
            </w:r>
          </w:p>
        </w:tc>
        <w:tc>
          <w:tcPr>
            <w:tcW w:w="1246" w:type="dxa"/>
            <w:noWrap/>
            <w:hideMark/>
          </w:tcPr>
          <w:p w14:paraId="6E95D1E8" w14:textId="77777777" w:rsidR="00EC772D" w:rsidRPr="00EC772D" w:rsidRDefault="00EC772D" w:rsidP="00796EBF">
            <w:pPr>
              <w:jc w:val="right"/>
            </w:pPr>
            <w:r w:rsidRPr="00EC772D">
              <w:t xml:space="preserve">£3,100 </w:t>
            </w:r>
          </w:p>
        </w:tc>
        <w:tc>
          <w:tcPr>
            <w:tcW w:w="1246" w:type="dxa"/>
            <w:noWrap/>
            <w:hideMark/>
          </w:tcPr>
          <w:p w14:paraId="04A29098" w14:textId="77777777" w:rsidR="00EC772D" w:rsidRPr="00EC772D" w:rsidRDefault="00EC772D" w:rsidP="00796EBF">
            <w:pPr>
              <w:jc w:val="right"/>
            </w:pPr>
            <w:r w:rsidRPr="00EC772D">
              <w:t xml:space="preserve"> £3,500 </w:t>
            </w:r>
          </w:p>
        </w:tc>
        <w:tc>
          <w:tcPr>
            <w:tcW w:w="1360" w:type="dxa"/>
            <w:noWrap/>
            <w:hideMark/>
          </w:tcPr>
          <w:p w14:paraId="6B91CC7E" w14:textId="5FF3DCA1" w:rsidR="00EC772D" w:rsidRPr="00EC772D" w:rsidRDefault="00EC772D" w:rsidP="00796EBF">
            <w:pPr>
              <w:jc w:val="right"/>
            </w:pPr>
            <w:r w:rsidRPr="00EC772D">
              <w:t xml:space="preserve"> £3</w:t>
            </w:r>
            <w:r w:rsidR="001D6659">
              <w:t>7</w:t>
            </w:r>
            <w:r w:rsidRPr="00EC772D">
              <w:t xml:space="preserve">,000 </w:t>
            </w:r>
          </w:p>
        </w:tc>
      </w:tr>
      <w:tr w:rsidR="00ED234E" w:rsidRPr="00EC772D" w14:paraId="12AED49A" w14:textId="77777777" w:rsidTr="007C47D0">
        <w:trPr>
          <w:trHeight w:val="285"/>
        </w:trPr>
        <w:tc>
          <w:tcPr>
            <w:tcW w:w="1701" w:type="dxa"/>
            <w:noWrap/>
            <w:hideMark/>
          </w:tcPr>
          <w:p w14:paraId="795A0A27" w14:textId="77777777" w:rsidR="00ED234E" w:rsidRPr="00EC772D" w:rsidRDefault="00ED234E" w:rsidP="00ED234E">
            <w:r w:rsidRPr="00EC772D">
              <w:t>2.7</w:t>
            </w:r>
          </w:p>
        </w:tc>
        <w:tc>
          <w:tcPr>
            <w:tcW w:w="1084" w:type="dxa"/>
            <w:noWrap/>
            <w:hideMark/>
          </w:tcPr>
          <w:p w14:paraId="0E4485B0" w14:textId="77777777" w:rsidR="00ED234E" w:rsidRPr="00EC772D" w:rsidRDefault="00ED234E" w:rsidP="00796EBF">
            <w:pPr>
              <w:jc w:val="right"/>
            </w:pPr>
            <w:r w:rsidRPr="00EC772D">
              <w:t xml:space="preserve">£0   </w:t>
            </w:r>
          </w:p>
        </w:tc>
        <w:tc>
          <w:tcPr>
            <w:tcW w:w="1246" w:type="dxa"/>
            <w:noWrap/>
            <w:hideMark/>
          </w:tcPr>
          <w:p w14:paraId="75C96CCD" w14:textId="1AC074E9" w:rsidR="00ED234E" w:rsidRPr="00EC772D" w:rsidRDefault="00ED234E" w:rsidP="00796EBF">
            <w:pPr>
              <w:jc w:val="right"/>
            </w:pPr>
            <w:r w:rsidRPr="00EC772D">
              <w:t>£1</w:t>
            </w:r>
            <w:r>
              <w:t>2</w:t>
            </w:r>
            <w:r w:rsidRPr="00EC772D">
              <w:t xml:space="preserve">,000 </w:t>
            </w:r>
          </w:p>
        </w:tc>
        <w:tc>
          <w:tcPr>
            <w:tcW w:w="1246" w:type="dxa"/>
            <w:noWrap/>
            <w:hideMark/>
          </w:tcPr>
          <w:p w14:paraId="4B5FF9B2" w14:textId="77777777" w:rsidR="00ED234E" w:rsidRPr="00EC772D" w:rsidRDefault="00ED234E" w:rsidP="00796EBF">
            <w:pPr>
              <w:jc w:val="right"/>
            </w:pPr>
            <w:r w:rsidRPr="00EC772D">
              <w:t xml:space="preserve">£3,100 </w:t>
            </w:r>
          </w:p>
        </w:tc>
        <w:tc>
          <w:tcPr>
            <w:tcW w:w="1246" w:type="dxa"/>
            <w:noWrap/>
            <w:hideMark/>
          </w:tcPr>
          <w:p w14:paraId="3BFAFA01" w14:textId="77777777" w:rsidR="00ED234E" w:rsidRPr="00EC772D" w:rsidRDefault="00ED234E" w:rsidP="00796EBF">
            <w:pPr>
              <w:jc w:val="right"/>
            </w:pPr>
            <w:r w:rsidRPr="00EC772D">
              <w:t xml:space="preserve">£3,100 </w:t>
            </w:r>
          </w:p>
        </w:tc>
        <w:tc>
          <w:tcPr>
            <w:tcW w:w="1246" w:type="dxa"/>
            <w:noWrap/>
            <w:hideMark/>
          </w:tcPr>
          <w:p w14:paraId="2655D820" w14:textId="276B5379" w:rsidR="00ED234E" w:rsidRPr="00EC772D" w:rsidRDefault="00ED234E" w:rsidP="00796EBF">
            <w:pPr>
              <w:jc w:val="right"/>
            </w:pPr>
            <w:r w:rsidRPr="00EC772D">
              <w:t xml:space="preserve">£3,500 </w:t>
            </w:r>
          </w:p>
        </w:tc>
        <w:tc>
          <w:tcPr>
            <w:tcW w:w="1246" w:type="dxa"/>
            <w:noWrap/>
            <w:hideMark/>
          </w:tcPr>
          <w:p w14:paraId="4650FC58" w14:textId="77777777" w:rsidR="00ED234E" w:rsidRPr="00EC772D" w:rsidRDefault="00ED234E" w:rsidP="00796EBF">
            <w:pPr>
              <w:jc w:val="right"/>
            </w:pPr>
            <w:r w:rsidRPr="00EC772D">
              <w:t xml:space="preserve">£3,100 </w:t>
            </w:r>
          </w:p>
        </w:tc>
        <w:tc>
          <w:tcPr>
            <w:tcW w:w="1246" w:type="dxa"/>
            <w:noWrap/>
            <w:hideMark/>
          </w:tcPr>
          <w:p w14:paraId="2BEDA911" w14:textId="77777777" w:rsidR="00ED234E" w:rsidRPr="00EC772D" w:rsidRDefault="00ED234E" w:rsidP="00796EBF">
            <w:pPr>
              <w:jc w:val="right"/>
            </w:pPr>
            <w:r w:rsidRPr="00EC772D">
              <w:t>£3,800</w:t>
            </w:r>
          </w:p>
        </w:tc>
        <w:tc>
          <w:tcPr>
            <w:tcW w:w="1246" w:type="dxa"/>
            <w:noWrap/>
            <w:hideMark/>
          </w:tcPr>
          <w:p w14:paraId="577BB6A2" w14:textId="77777777" w:rsidR="00ED234E" w:rsidRPr="00EC772D" w:rsidRDefault="00ED234E" w:rsidP="00796EBF">
            <w:pPr>
              <w:jc w:val="right"/>
            </w:pPr>
            <w:r w:rsidRPr="00EC772D">
              <w:t xml:space="preserve"> £3,500 </w:t>
            </w:r>
          </w:p>
        </w:tc>
        <w:tc>
          <w:tcPr>
            <w:tcW w:w="1246" w:type="dxa"/>
            <w:noWrap/>
            <w:hideMark/>
          </w:tcPr>
          <w:p w14:paraId="401A4D4D" w14:textId="77777777" w:rsidR="00ED234E" w:rsidRPr="00EC772D" w:rsidRDefault="00ED234E" w:rsidP="00796EBF">
            <w:pPr>
              <w:jc w:val="right"/>
            </w:pPr>
            <w:r w:rsidRPr="00EC772D">
              <w:t xml:space="preserve">£3,100 </w:t>
            </w:r>
          </w:p>
        </w:tc>
        <w:tc>
          <w:tcPr>
            <w:tcW w:w="1246" w:type="dxa"/>
            <w:noWrap/>
            <w:hideMark/>
          </w:tcPr>
          <w:p w14:paraId="4C1464C1" w14:textId="77777777" w:rsidR="00ED234E" w:rsidRPr="00EC772D" w:rsidRDefault="00ED234E" w:rsidP="00796EBF">
            <w:pPr>
              <w:jc w:val="right"/>
            </w:pPr>
            <w:r w:rsidRPr="00EC772D">
              <w:t xml:space="preserve">£3,100 </w:t>
            </w:r>
          </w:p>
        </w:tc>
        <w:tc>
          <w:tcPr>
            <w:tcW w:w="1360" w:type="dxa"/>
            <w:noWrap/>
            <w:hideMark/>
          </w:tcPr>
          <w:p w14:paraId="456A1B87" w14:textId="757ECB30" w:rsidR="00ED234E" w:rsidRPr="00EC772D" w:rsidRDefault="00ED234E" w:rsidP="00796EBF">
            <w:pPr>
              <w:jc w:val="right"/>
            </w:pPr>
            <w:r w:rsidRPr="00EC772D">
              <w:t xml:space="preserve"> £3</w:t>
            </w:r>
            <w:r w:rsidR="001D6659">
              <w:t>3</w:t>
            </w:r>
            <w:r w:rsidRPr="00EC772D">
              <w:t>,000</w:t>
            </w:r>
          </w:p>
        </w:tc>
      </w:tr>
      <w:tr w:rsidR="00ED234E" w:rsidRPr="00EC772D" w14:paraId="4ED2A59F" w14:textId="77777777" w:rsidTr="007C47D0">
        <w:trPr>
          <w:trHeight w:val="285"/>
        </w:trPr>
        <w:tc>
          <w:tcPr>
            <w:tcW w:w="1701" w:type="dxa"/>
            <w:noWrap/>
            <w:hideMark/>
          </w:tcPr>
          <w:p w14:paraId="581EC128" w14:textId="77777777" w:rsidR="00ED234E" w:rsidRPr="00EC772D" w:rsidRDefault="00ED234E" w:rsidP="00ED234E">
            <w:r w:rsidRPr="00EC772D">
              <w:t>2.7</w:t>
            </w:r>
          </w:p>
        </w:tc>
        <w:tc>
          <w:tcPr>
            <w:tcW w:w="1084" w:type="dxa"/>
            <w:noWrap/>
            <w:hideMark/>
          </w:tcPr>
          <w:p w14:paraId="2EE4F1A0" w14:textId="77777777" w:rsidR="00ED234E" w:rsidRPr="00EC772D" w:rsidRDefault="00ED234E" w:rsidP="00796EBF">
            <w:pPr>
              <w:jc w:val="right"/>
            </w:pPr>
            <w:r w:rsidRPr="00EC772D">
              <w:t xml:space="preserve">£0   </w:t>
            </w:r>
          </w:p>
        </w:tc>
        <w:tc>
          <w:tcPr>
            <w:tcW w:w="1246" w:type="dxa"/>
            <w:noWrap/>
            <w:hideMark/>
          </w:tcPr>
          <w:p w14:paraId="201655A7" w14:textId="77777777" w:rsidR="00ED234E" w:rsidRPr="00EC772D" w:rsidRDefault="00ED234E" w:rsidP="00796EBF">
            <w:pPr>
              <w:jc w:val="right"/>
            </w:pPr>
            <w:r w:rsidRPr="00EC772D">
              <w:t xml:space="preserve">£0   </w:t>
            </w:r>
          </w:p>
        </w:tc>
        <w:tc>
          <w:tcPr>
            <w:tcW w:w="1246" w:type="dxa"/>
            <w:noWrap/>
            <w:hideMark/>
          </w:tcPr>
          <w:p w14:paraId="13E0A8EF" w14:textId="3FC7ADD9" w:rsidR="00ED234E" w:rsidRPr="00EC772D" w:rsidRDefault="00ED234E" w:rsidP="00796EBF">
            <w:pPr>
              <w:jc w:val="right"/>
            </w:pPr>
            <w:r w:rsidRPr="00EC772D">
              <w:t>£1</w:t>
            </w:r>
            <w:r>
              <w:t>2</w:t>
            </w:r>
            <w:r w:rsidRPr="00EC772D">
              <w:t xml:space="preserve">,000 </w:t>
            </w:r>
          </w:p>
        </w:tc>
        <w:tc>
          <w:tcPr>
            <w:tcW w:w="1246" w:type="dxa"/>
            <w:noWrap/>
            <w:hideMark/>
          </w:tcPr>
          <w:p w14:paraId="2CBD9452" w14:textId="77777777" w:rsidR="00ED234E" w:rsidRPr="00EC772D" w:rsidRDefault="00ED234E" w:rsidP="00796EBF">
            <w:pPr>
              <w:jc w:val="right"/>
            </w:pPr>
            <w:r w:rsidRPr="00EC772D">
              <w:t xml:space="preserve">£3,100 </w:t>
            </w:r>
          </w:p>
        </w:tc>
        <w:tc>
          <w:tcPr>
            <w:tcW w:w="1246" w:type="dxa"/>
            <w:noWrap/>
            <w:hideMark/>
          </w:tcPr>
          <w:p w14:paraId="7FEFC9CE" w14:textId="77777777" w:rsidR="00ED234E" w:rsidRPr="00EC772D" w:rsidRDefault="00ED234E" w:rsidP="00796EBF">
            <w:pPr>
              <w:jc w:val="right"/>
            </w:pPr>
            <w:r w:rsidRPr="00EC772D">
              <w:t xml:space="preserve">£3,100 </w:t>
            </w:r>
          </w:p>
        </w:tc>
        <w:tc>
          <w:tcPr>
            <w:tcW w:w="1246" w:type="dxa"/>
            <w:noWrap/>
            <w:hideMark/>
          </w:tcPr>
          <w:p w14:paraId="2D1DD0A2" w14:textId="77777777" w:rsidR="00ED234E" w:rsidRPr="00EC772D" w:rsidRDefault="00ED234E" w:rsidP="00796EBF">
            <w:pPr>
              <w:jc w:val="right"/>
            </w:pPr>
            <w:r w:rsidRPr="00EC772D">
              <w:t xml:space="preserve"> £3,500 </w:t>
            </w:r>
          </w:p>
        </w:tc>
        <w:tc>
          <w:tcPr>
            <w:tcW w:w="1246" w:type="dxa"/>
            <w:noWrap/>
            <w:hideMark/>
          </w:tcPr>
          <w:p w14:paraId="6BD9A6CC" w14:textId="77777777" w:rsidR="00ED234E" w:rsidRPr="00EC772D" w:rsidRDefault="00ED234E" w:rsidP="00796EBF">
            <w:pPr>
              <w:jc w:val="right"/>
            </w:pPr>
            <w:r w:rsidRPr="00EC772D">
              <w:t xml:space="preserve">£3,100 </w:t>
            </w:r>
          </w:p>
        </w:tc>
        <w:tc>
          <w:tcPr>
            <w:tcW w:w="1246" w:type="dxa"/>
            <w:noWrap/>
            <w:hideMark/>
          </w:tcPr>
          <w:p w14:paraId="17E0D90C" w14:textId="77777777" w:rsidR="00ED234E" w:rsidRPr="00EC772D" w:rsidRDefault="00ED234E" w:rsidP="00796EBF">
            <w:pPr>
              <w:jc w:val="right"/>
            </w:pPr>
            <w:r w:rsidRPr="00EC772D">
              <w:t>£3,800</w:t>
            </w:r>
          </w:p>
        </w:tc>
        <w:tc>
          <w:tcPr>
            <w:tcW w:w="1246" w:type="dxa"/>
            <w:noWrap/>
            <w:hideMark/>
          </w:tcPr>
          <w:p w14:paraId="27F35B6E" w14:textId="77777777" w:rsidR="00ED234E" w:rsidRPr="00EC772D" w:rsidRDefault="00ED234E" w:rsidP="00796EBF">
            <w:pPr>
              <w:jc w:val="right"/>
            </w:pPr>
            <w:r w:rsidRPr="00EC772D">
              <w:t xml:space="preserve"> £3,500 </w:t>
            </w:r>
          </w:p>
        </w:tc>
        <w:tc>
          <w:tcPr>
            <w:tcW w:w="1246" w:type="dxa"/>
            <w:noWrap/>
            <w:hideMark/>
          </w:tcPr>
          <w:p w14:paraId="3E075C09" w14:textId="77777777" w:rsidR="00ED234E" w:rsidRPr="00EC772D" w:rsidRDefault="00ED234E" w:rsidP="00796EBF">
            <w:pPr>
              <w:jc w:val="right"/>
            </w:pPr>
            <w:r w:rsidRPr="00EC772D">
              <w:t xml:space="preserve">£3,100 </w:t>
            </w:r>
          </w:p>
        </w:tc>
        <w:tc>
          <w:tcPr>
            <w:tcW w:w="1360" w:type="dxa"/>
            <w:noWrap/>
            <w:hideMark/>
          </w:tcPr>
          <w:p w14:paraId="3B628D47" w14:textId="7C9292F3" w:rsidR="00ED234E" w:rsidRPr="00EC772D" w:rsidRDefault="00ED234E" w:rsidP="00796EBF">
            <w:pPr>
              <w:jc w:val="right"/>
            </w:pPr>
            <w:r w:rsidRPr="00EC772D">
              <w:t xml:space="preserve"> £</w:t>
            </w:r>
            <w:r w:rsidR="001D6659">
              <w:t>30</w:t>
            </w:r>
            <w:r w:rsidRPr="00EC772D">
              <w:t xml:space="preserve">,000 </w:t>
            </w:r>
          </w:p>
        </w:tc>
      </w:tr>
      <w:tr w:rsidR="00ED234E" w:rsidRPr="00EC772D" w14:paraId="68316538" w14:textId="77777777" w:rsidTr="007C47D0">
        <w:trPr>
          <w:trHeight w:val="285"/>
        </w:trPr>
        <w:tc>
          <w:tcPr>
            <w:tcW w:w="1701" w:type="dxa"/>
            <w:noWrap/>
            <w:hideMark/>
          </w:tcPr>
          <w:p w14:paraId="0228B3E2" w14:textId="77777777" w:rsidR="00ED234E" w:rsidRPr="00EC772D" w:rsidRDefault="00ED234E" w:rsidP="00ED234E">
            <w:r w:rsidRPr="00EC772D">
              <w:t>2.7</w:t>
            </w:r>
          </w:p>
        </w:tc>
        <w:tc>
          <w:tcPr>
            <w:tcW w:w="1084" w:type="dxa"/>
            <w:noWrap/>
            <w:hideMark/>
          </w:tcPr>
          <w:p w14:paraId="6E89A6E3" w14:textId="77777777" w:rsidR="00ED234E" w:rsidRPr="00EC772D" w:rsidRDefault="00ED234E" w:rsidP="00796EBF">
            <w:pPr>
              <w:jc w:val="right"/>
            </w:pPr>
            <w:r w:rsidRPr="00EC772D">
              <w:t xml:space="preserve">£0   </w:t>
            </w:r>
          </w:p>
        </w:tc>
        <w:tc>
          <w:tcPr>
            <w:tcW w:w="1246" w:type="dxa"/>
            <w:noWrap/>
            <w:hideMark/>
          </w:tcPr>
          <w:p w14:paraId="31D43EBD" w14:textId="77777777" w:rsidR="00ED234E" w:rsidRPr="00EC772D" w:rsidRDefault="00ED234E" w:rsidP="00796EBF">
            <w:pPr>
              <w:jc w:val="right"/>
            </w:pPr>
            <w:r w:rsidRPr="00EC772D">
              <w:t xml:space="preserve">£0   </w:t>
            </w:r>
          </w:p>
        </w:tc>
        <w:tc>
          <w:tcPr>
            <w:tcW w:w="1246" w:type="dxa"/>
            <w:noWrap/>
            <w:hideMark/>
          </w:tcPr>
          <w:p w14:paraId="3677B533" w14:textId="77777777" w:rsidR="00ED234E" w:rsidRPr="00EC772D" w:rsidRDefault="00ED234E" w:rsidP="00796EBF">
            <w:pPr>
              <w:jc w:val="right"/>
            </w:pPr>
            <w:r w:rsidRPr="00EC772D">
              <w:t xml:space="preserve">£0   </w:t>
            </w:r>
          </w:p>
        </w:tc>
        <w:tc>
          <w:tcPr>
            <w:tcW w:w="1246" w:type="dxa"/>
            <w:noWrap/>
            <w:hideMark/>
          </w:tcPr>
          <w:p w14:paraId="296F2585" w14:textId="55921362" w:rsidR="00ED234E" w:rsidRPr="00EC772D" w:rsidRDefault="00ED234E" w:rsidP="00796EBF">
            <w:pPr>
              <w:jc w:val="right"/>
            </w:pPr>
            <w:r w:rsidRPr="00EC772D">
              <w:t>£1</w:t>
            </w:r>
            <w:r>
              <w:t>2</w:t>
            </w:r>
            <w:r w:rsidRPr="00EC772D">
              <w:t xml:space="preserve">,000 </w:t>
            </w:r>
          </w:p>
        </w:tc>
        <w:tc>
          <w:tcPr>
            <w:tcW w:w="1246" w:type="dxa"/>
            <w:noWrap/>
            <w:hideMark/>
          </w:tcPr>
          <w:p w14:paraId="27FF1771" w14:textId="77777777" w:rsidR="00ED234E" w:rsidRPr="00EC772D" w:rsidRDefault="00ED234E" w:rsidP="00796EBF">
            <w:pPr>
              <w:jc w:val="right"/>
            </w:pPr>
            <w:r w:rsidRPr="00EC772D">
              <w:t xml:space="preserve">£3,100 </w:t>
            </w:r>
          </w:p>
        </w:tc>
        <w:tc>
          <w:tcPr>
            <w:tcW w:w="1246" w:type="dxa"/>
            <w:noWrap/>
            <w:hideMark/>
          </w:tcPr>
          <w:p w14:paraId="0032FF67" w14:textId="77777777" w:rsidR="00ED234E" w:rsidRPr="00EC772D" w:rsidRDefault="00ED234E" w:rsidP="00796EBF">
            <w:pPr>
              <w:jc w:val="right"/>
            </w:pPr>
            <w:r w:rsidRPr="00EC772D">
              <w:t xml:space="preserve">£3,100 </w:t>
            </w:r>
          </w:p>
        </w:tc>
        <w:tc>
          <w:tcPr>
            <w:tcW w:w="1246" w:type="dxa"/>
            <w:noWrap/>
            <w:hideMark/>
          </w:tcPr>
          <w:p w14:paraId="3F7CD27B" w14:textId="77777777" w:rsidR="00ED234E" w:rsidRPr="00EC772D" w:rsidRDefault="00ED234E" w:rsidP="00796EBF">
            <w:pPr>
              <w:jc w:val="right"/>
            </w:pPr>
            <w:r w:rsidRPr="00EC772D">
              <w:t xml:space="preserve"> £3,500 </w:t>
            </w:r>
          </w:p>
        </w:tc>
        <w:tc>
          <w:tcPr>
            <w:tcW w:w="1246" w:type="dxa"/>
            <w:noWrap/>
            <w:hideMark/>
          </w:tcPr>
          <w:p w14:paraId="32A39E24" w14:textId="77777777" w:rsidR="00ED234E" w:rsidRPr="00EC772D" w:rsidRDefault="00ED234E" w:rsidP="00796EBF">
            <w:pPr>
              <w:jc w:val="right"/>
            </w:pPr>
            <w:r w:rsidRPr="00EC772D">
              <w:t xml:space="preserve">£3,100 </w:t>
            </w:r>
          </w:p>
        </w:tc>
        <w:tc>
          <w:tcPr>
            <w:tcW w:w="1246" w:type="dxa"/>
            <w:noWrap/>
            <w:hideMark/>
          </w:tcPr>
          <w:p w14:paraId="49F68AB1" w14:textId="77777777" w:rsidR="00ED234E" w:rsidRPr="00EC772D" w:rsidRDefault="00ED234E" w:rsidP="00796EBF">
            <w:pPr>
              <w:jc w:val="right"/>
            </w:pPr>
            <w:r w:rsidRPr="00EC772D">
              <w:t>£3,800</w:t>
            </w:r>
          </w:p>
        </w:tc>
        <w:tc>
          <w:tcPr>
            <w:tcW w:w="1246" w:type="dxa"/>
            <w:noWrap/>
            <w:hideMark/>
          </w:tcPr>
          <w:p w14:paraId="12338A4F" w14:textId="77777777" w:rsidR="00ED234E" w:rsidRPr="00EC772D" w:rsidRDefault="00ED234E" w:rsidP="00796EBF">
            <w:pPr>
              <w:jc w:val="right"/>
            </w:pPr>
            <w:r w:rsidRPr="00EC772D">
              <w:t xml:space="preserve"> £3,500 </w:t>
            </w:r>
          </w:p>
        </w:tc>
        <w:tc>
          <w:tcPr>
            <w:tcW w:w="1360" w:type="dxa"/>
            <w:noWrap/>
            <w:hideMark/>
          </w:tcPr>
          <w:p w14:paraId="5E4DC2A7" w14:textId="77B09FD6" w:rsidR="00ED234E" w:rsidRPr="00EC772D" w:rsidRDefault="00ED234E" w:rsidP="00796EBF">
            <w:pPr>
              <w:jc w:val="right"/>
            </w:pPr>
            <w:r w:rsidRPr="00EC772D">
              <w:t xml:space="preserve"> £2</w:t>
            </w:r>
            <w:r w:rsidR="001D6659">
              <w:t>7</w:t>
            </w:r>
            <w:r w:rsidRPr="00EC772D">
              <w:t xml:space="preserve">,000 </w:t>
            </w:r>
          </w:p>
        </w:tc>
      </w:tr>
      <w:tr w:rsidR="00ED234E" w:rsidRPr="00EC772D" w14:paraId="082127C6" w14:textId="77777777" w:rsidTr="007C47D0">
        <w:trPr>
          <w:trHeight w:val="285"/>
        </w:trPr>
        <w:tc>
          <w:tcPr>
            <w:tcW w:w="1701" w:type="dxa"/>
            <w:noWrap/>
            <w:hideMark/>
          </w:tcPr>
          <w:p w14:paraId="4A050C68" w14:textId="77777777" w:rsidR="00ED234E" w:rsidRPr="00EC772D" w:rsidRDefault="00ED234E" w:rsidP="00ED234E">
            <w:r w:rsidRPr="00EC772D">
              <w:t>2.7</w:t>
            </w:r>
          </w:p>
        </w:tc>
        <w:tc>
          <w:tcPr>
            <w:tcW w:w="1084" w:type="dxa"/>
            <w:noWrap/>
            <w:hideMark/>
          </w:tcPr>
          <w:p w14:paraId="3EB9BD4F" w14:textId="77777777" w:rsidR="00ED234E" w:rsidRPr="00EC772D" w:rsidRDefault="00ED234E" w:rsidP="00796EBF">
            <w:pPr>
              <w:jc w:val="right"/>
            </w:pPr>
            <w:r w:rsidRPr="00EC772D">
              <w:t xml:space="preserve">£0   </w:t>
            </w:r>
          </w:p>
        </w:tc>
        <w:tc>
          <w:tcPr>
            <w:tcW w:w="1246" w:type="dxa"/>
            <w:noWrap/>
            <w:hideMark/>
          </w:tcPr>
          <w:p w14:paraId="76A05D22" w14:textId="77777777" w:rsidR="00ED234E" w:rsidRPr="00EC772D" w:rsidRDefault="00ED234E" w:rsidP="00796EBF">
            <w:pPr>
              <w:jc w:val="right"/>
            </w:pPr>
            <w:r w:rsidRPr="00EC772D">
              <w:t xml:space="preserve">£0   </w:t>
            </w:r>
          </w:p>
        </w:tc>
        <w:tc>
          <w:tcPr>
            <w:tcW w:w="1246" w:type="dxa"/>
            <w:noWrap/>
            <w:hideMark/>
          </w:tcPr>
          <w:p w14:paraId="0121CE9A" w14:textId="77777777" w:rsidR="00ED234E" w:rsidRPr="00EC772D" w:rsidRDefault="00ED234E" w:rsidP="00796EBF">
            <w:pPr>
              <w:jc w:val="right"/>
            </w:pPr>
            <w:r w:rsidRPr="00EC772D">
              <w:t xml:space="preserve">£0   </w:t>
            </w:r>
          </w:p>
        </w:tc>
        <w:tc>
          <w:tcPr>
            <w:tcW w:w="1246" w:type="dxa"/>
            <w:noWrap/>
            <w:hideMark/>
          </w:tcPr>
          <w:p w14:paraId="08FF9721" w14:textId="77777777" w:rsidR="00ED234E" w:rsidRPr="00EC772D" w:rsidRDefault="00ED234E" w:rsidP="00796EBF">
            <w:pPr>
              <w:jc w:val="right"/>
            </w:pPr>
            <w:r w:rsidRPr="00EC772D">
              <w:t xml:space="preserve">£0   </w:t>
            </w:r>
          </w:p>
        </w:tc>
        <w:tc>
          <w:tcPr>
            <w:tcW w:w="1246" w:type="dxa"/>
            <w:noWrap/>
            <w:hideMark/>
          </w:tcPr>
          <w:p w14:paraId="505594C5" w14:textId="43194DCA" w:rsidR="00ED234E" w:rsidRPr="00EC772D" w:rsidRDefault="00ED234E" w:rsidP="00796EBF">
            <w:pPr>
              <w:jc w:val="right"/>
            </w:pPr>
            <w:r w:rsidRPr="00EC772D">
              <w:t>£1</w:t>
            </w:r>
            <w:r>
              <w:t>2</w:t>
            </w:r>
            <w:r w:rsidRPr="00EC772D">
              <w:t xml:space="preserve">,000 </w:t>
            </w:r>
          </w:p>
        </w:tc>
        <w:tc>
          <w:tcPr>
            <w:tcW w:w="1246" w:type="dxa"/>
            <w:noWrap/>
            <w:hideMark/>
          </w:tcPr>
          <w:p w14:paraId="7E392F5A" w14:textId="77777777" w:rsidR="00ED234E" w:rsidRPr="00EC772D" w:rsidRDefault="00ED234E" w:rsidP="00796EBF">
            <w:pPr>
              <w:jc w:val="right"/>
            </w:pPr>
            <w:r w:rsidRPr="00EC772D">
              <w:t xml:space="preserve">£3,100 </w:t>
            </w:r>
          </w:p>
        </w:tc>
        <w:tc>
          <w:tcPr>
            <w:tcW w:w="1246" w:type="dxa"/>
            <w:noWrap/>
            <w:hideMark/>
          </w:tcPr>
          <w:p w14:paraId="72DA99DC" w14:textId="77777777" w:rsidR="00ED234E" w:rsidRPr="00EC772D" w:rsidRDefault="00ED234E" w:rsidP="00796EBF">
            <w:pPr>
              <w:jc w:val="right"/>
            </w:pPr>
            <w:r w:rsidRPr="00EC772D">
              <w:t xml:space="preserve">£3,100 </w:t>
            </w:r>
          </w:p>
        </w:tc>
        <w:tc>
          <w:tcPr>
            <w:tcW w:w="1246" w:type="dxa"/>
            <w:noWrap/>
            <w:hideMark/>
          </w:tcPr>
          <w:p w14:paraId="474D8B07" w14:textId="77777777" w:rsidR="00ED234E" w:rsidRPr="00EC772D" w:rsidRDefault="00ED234E" w:rsidP="00796EBF">
            <w:pPr>
              <w:jc w:val="right"/>
            </w:pPr>
            <w:r w:rsidRPr="00EC772D">
              <w:t xml:space="preserve"> £3,500 </w:t>
            </w:r>
          </w:p>
        </w:tc>
        <w:tc>
          <w:tcPr>
            <w:tcW w:w="1246" w:type="dxa"/>
            <w:noWrap/>
            <w:hideMark/>
          </w:tcPr>
          <w:p w14:paraId="04DB59FF" w14:textId="77777777" w:rsidR="00ED234E" w:rsidRPr="00EC772D" w:rsidRDefault="00ED234E" w:rsidP="00796EBF">
            <w:pPr>
              <w:jc w:val="right"/>
            </w:pPr>
            <w:r w:rsidRPr="00EC772D">
              <w:t xml:space="preserve">£3,100 </w:t>
            </w:r>
          </w:p>
        </w:tc>
        <w:tc>
          <w:tcPr>
            <w:tcW w:w="1246" w:type="dxa"/>
            <w:noWrap/>
            <w:hideMark/>
          </w:tcPr>
          <w:p w14:paraId="6E1845EE" w14:textId="77777777" w:rsidR="00ED234E" w:rsidRPr="00EC772D" w:rsidRDefault="00ED234E" w:rsidP="00796EBF">
            <w:pPr>
              <w:jc w:val="right"/>
            </w:pPr>
            <w:r w:rsidRPr="00EC772D">
              <w:t>£3,800</w:t>
            </w:r>
          </w:p>
        </w:tc>
        <w:tc>
          <w:tcPr>
            <w:tcW w:w="1360" w:type="dxa"/>
            <w:noWrap/>
            <w:hideMark/>
          </w:tcPr>
          <w:p w14:paraId="343FA170" w14:textId="77777777" w:rsidR="00ED234E" w:rsidRPr="00EC772D" w:rsidRDefault="00ED234E" w:rsidP="00796EBF">
            <w:pPr>
              <w:jc w:val="right"/>
            </w:pPr>
            <w:r w:rsidRPr="00EC772D">
              <w:t xml:space="preserve"> £23,000 </w:t>
            </w:r>
          </w:p>
        </w:tc>
      </w:tr>
      <w:tr w:rsidR="00ED234E" w:rsidRPr="00EC772D" w14:paraId="40154366" w14:textId="77777777" w:rsidTr="007C47D0">
        <w:trPr>
          <w:trHeight w:val="285"/>
        </w:trPr>
        <w:tc>
          <w:tcPr>
            <w:tcW w:w="1701" w:type="dxa"/>
            <w:noWrap/>
            <w:hideMark/>
          </w:tcPr>
          <w:p w14:paraId="7AFF817C" w14:textId="77777777" w:rsidR="00ED234E" w:rsidRPr="00EC772D" w:rsidRDefault="00ED234E" w:rsidP="00ED234E">
            <w:r w:rsidRPr="00EC772D">
              <w:t>2.7</w:t>
            </w:r>
          </w:p>
        </w:tc>
        <w:tc>
          <w:tcPr>
            <w:tcW w:w="1084" w:type="dxa"/>
            <w:noWrap/>
            <w:hideMark/>
          </w:tcPr>
          <w:p w14:paraId="371778D8" w14:textId="77777777" w:rsidR="00ED234E" w:rsidRPr="00EC772D" w:rsidRDefault="00ED234E" w:rsidP="00796EBF">
            <w:pPr>
              <w:jc w:val="right"/>
            </w:pPr>
            <w:r w:rsidRPr="00EC772D">
              <w:t xml:space="preserve">£0   </w:t>
            </w:r>
          </w:p>
        </w:tc>
        <w:tc>
          <w:tcPr>
            <w:tcW w:w="1246" w:type="dxa"/>
            <w:noWrap/>
            <w:hideMark/>
          </w:tcPr>
          <w:p w14:paraId="1A83C79E" w14:textId="77777777" w:rsidR="00ED234E" w:rsidRPr="00EC772D" w:rsidRDefault="00ED234E" w:rsidP="00796EBF">
            <w:pPr>
              <w:jc w:val="right"/>
            </w:pPr>
            <w:r w:rsidRPr="00EC772D">
              <w:t xml:space="preserve">£0   </w:t>
            </w:r>
          </w:p>
        </w:tc>
        <w:tc>
          <w:tcPr>
            <w:tcW w:w="1246" w:type="dxa"/>
            <w:noWrap/>
            <w:hideMark/>
          </w:tcPr>
          <w:p w14:paraId="4C8DC75F" w14:textId="77777777" w:rsidR="00ED234E" w:rsidRPr="00EC772D" w:rsidRDefault="00ED234E" w:rsidP="00796EBF">
            <w:pPr>
              <w:jc w:val="right"/>
            </w:pPr>
            <w:r w:rsidRPr="00EC772D">
              <w:t xml:space="preserve">£0   </w:t>
            </w:r>
          </w:p>
        </w:tc>
        <w:tc>
          <w:tcPr>
            <w:tcW w:w="1246" w:type="dxa"/>
            <w:noWrap/>
            <w:hideMark/>
          </w:tcPr>
          <w:p w14:paraId="76267295" w14:textId="77777777" w:rsidR="00ED234E" w:rsidRPr="00EC772D" w:rsidRDefault="00ED234E" w:rsidP="00796EBF">
            <w:pPr>
              <w:jc w:val="right"/>
            </w:pPr>
            <w:r w:rsidRPr="00EC772D">
              <w:t xml:space="preserve">£0   </w:t>
            </w:r>
          </w:p>
        </w:tc>
        <w:tc>
          <w:tcPr>
            <w:tcW w:w="1246" w:type="dxa"/>
            <w:noWrap/>
            <w:hideMark/>
          </w:tcPr>
          <w:p w14:paraId="3C06AD9F" w14:textId="77777777" w:rsidR="00ED234E" w:rsidRPr="00EC772D" w:rsidRDefault="00ED234E" w:rsidP="00796EBF">
            <w:pPr>
              <w:jc w:val="right"/>
            </w:pPr>
            <w:r w:rsidRPr="00EC772D">
              <w:t xml:space="preserve">£0   </w:t>
            </w:r>
          </w:p>
        </w:tc>
        <w:tc>
          <w:tcPr>
            <w:tcW w:w="1246" w:type="dxa"/>
            <w:noWrap/>
            <w:hideMark/>
          </w:tcPr>
          <w:p w14:paraId="673F9163" w14:textId="49A9E331" w:rsidR="00ED234E" w:rsidRPr="00EC772D" w:rsidRDefault="00ED234E" w:rsidP="00796EBF">
            <w:pPr>
              <w:jc w:val="right"/>
            </w:pPr>
            <w:r w:rsidRPr="00EC772D">
              <w:t>£1</w:t>
            </w:r>
            <w:r>
              <w:t>2</w:t>
            </w:r>
            <w:r w:rsidRPr="00EC772D">
              <w:t xml:space="preserve">,000 </w:t>
            </w:r>
          </w:p>
        </w:tc>
        <w:tc>
          <w:tcPr>
            <w:tcW w:w="1246" w:type="dxa"/>
            <w:noWrap/>
            <w:hideMark/>
          </w:tcPr>
          <w:p w14:paraId="0CB980FF" w14:textId="77777777" w:rsidR="00ED234E" w:rsidRPr="00EC772D" w:rsidRDefault="00ED234E" w:rsidP="00796EBF">
            <w:pPr>
              <w:jc w:val="right"/>
            </w:pPr>
            <w:r w:rsidRPr="00EC772D">
              <w:t xml:space="preserve">£3,100 </w:t>
            </w:r>
          </w:p>
        </w:tc>
        <w:tc>
          <w:tcPr>
            <w:tcW w:w="1246" w:type="dxa"/>
            <w:noWrap/>
            <w:hideMark/>
          </w:tcPr>
          <w:p w14:paraId="43967E0B" w14:textId="77777777" w:rsidR="00ED234E" w:rsidRPr="00EC772D" w:rsidRDefault="00ED234E" w:rsidP="00796EBF">
            <w:pPr>
              <w:jc w:val="right"/>
            </w:pPr>
            <w:r w:rsidRPr="00EC772D">
              <w:t xml:space="preserve">£3,100 </w:t>
            </w:r>
          </w:p>
        </w:tc>
        <w:tc>
          <w:tcPr>
            <w:tcW w:w="1246" w:type="dxa"/>
            <w:noWrap/>
            <w:hideMark/>
          </w:tcPr>
          <w:p w14:paraId="7F6E49CE" w14:textId="77777777" w:rsidR="00ED234E" w:rsidRPr="00EC772D" w:rsidRDefault="00ED234E" w:rsidP="00796EBF">
            <w:pPr>
              <w:jc w:val="right"/>
            </w:pPr>
            <w:r w:rsidRPr="00EC772D">
              <w:t xml:space="preserve"> £3,500 </w:t>
            </w:r>
          </w:p>
        </w:tc>
        <w:tc>
          <w:tcPr>
            <w:tcW w:w="1246" w:type="dxa"/>
            <w:noWrap/>
            <w:hideMark/>
          </w:tcPr>
          <w:p w14:paraId="45124D8F" w14:textId="77777777" w:rsidR="00ED234E" w:rsidRPr="00EC772D" w:rsidRDefault="00ED234E" w:rsidP="00796EBF">
            <w:pPr>
              <w:jc w:val="right"/>
            </w:pPr>
            <w:r w:rsidRPr="00EC772D">
              <w:t xml:space="preserve">£3,100 </w:t>
            </w:r>
          </w:p>
        </w:tc>
        <w:tc>
          <w:tcPr>
            <w:tcW w:w="1360" w:type="dxa"/>
            <w:noWrap/>
            <w:hideMark/>
          </w:tcPr>
          <w:p w14:paraId="6A364C2D" w14:textId="1BAFCCEA" w:rsidR="00ED234E" w:rsidRPr="00EC772D" w:rsidRDefault="00ED234E" w:rsidP="00796EBF">
            <w:pPr>
              <w:jc w:val="right"/>
            </w:pPr>
            <w:r w:rsidRPr="00EC772D">
              <w:t xml:space="preserve"> £</w:t>
            </w:r>
            <w:r w:rsidR="001D6659">
              <w:t>20</w:t>
            </w:r>
            <w:r w:rsidRPr="00EC772D">
              <w:t xml:space="preserve">,000 </w:t>
            </w:r>
          </w:p>
        </w:tc>
      </w:tr>
      <w:tr w:rsidR="00ED234E" w:rsidRPr="00EC772D" w14:paraId="5D20F056" w14:textId="77777777" w:rsidTr="007C47D0">
        <w:trPr>
          <w:trHeight w:val="285"/>
        </w:trPr>
        <w:tc>
          <w:tcPr>
            <w:tcW w:w="1701" w:type="dxa"/>
            <w:noWrap/>
            <w:hideMark/>
          </w:tcPr>
          <w:p w14:paraId="0AC76CDC" w14:textId="77777777" w:rsidR="00ED234E" w:rsidRPr="00EC772D" w:rsidRDefault="00ED234E" w:rsidP="00ED234E">
            <w:r w:rsidRPr="00EC772D">
              <w:t>2.7</w:t>
            </w:r>
          </w:p>
        </w:tc>
        <w:tc>
          <w:tcPr>
            <w:tcW w:w="1084" w:type="dxa"/>
            <w:noWrap/>
            <w:hideMark/>
          </w:tcPr>
          <w:p w14:paraId="1FA7EE5E" w14:textId="77777777" w:rsidR="00ED234E" w:rsidRPr="00EC772D" w:rsidRDefault="00ED234E" w:rsidP="00796EBF">
            <w:pPr>
              <w:jc w:val="right"/>
            </w:pPr>
            <w:r w:rsidRPr="00EC772D">
              <w:t xml:space="preserve">£0   </w:t>
            </w:r>
          </w:p>
        </w:tc>
        <w:tc>
          <w:tcPr>
            <w:tcW w:w="1246" w:type="dxa"/>
            <w:noWrap/>
            <w:hideMark/>
          </w:tcPr>
          <w:p w14:paraId="087059B4" w14:textId="77777777" w:rsidR="00ED234E" w:rsidRPr="00EC772D" w:rsidRDefault="00ED234E" w:rsidP="00796EBF">
            <w:pPr>
              <w:jc w:val="right"/>
            </w:pPr>
            <w:r w:rsidRPr="00EC772D">
              <w:t xml:space="preserve">£0   </w:t>
            </w:r>
          </w:p>
        </w:tc>
        <w:tc>
          <w:tcPr>
            <w:tcW w:w="1246" w:type="dxa"/>
            <w:noWrap/>
            <w:hideMark/>
          </w:tcPr>
          <w:p w14:paraId="592E01CA" w14:textId="77777777" w:rsidR="00ED234E" w:rsidRPr="00EC772D" w:rsidRDefault="00ED234E" w:rsidP="00796EBF">
            <w:pPr>
              <w:jc w:val="right"/>
            </w:pPr>
            <w:r w:rsidRPr="00EC772D">
              <w:t xml:space="preserve">£0   </w:t>
            </w:r>
          </w:p>
        </w:tc>
        <w:tc>
          <w:tcPr>
            <w:tcW w:w="1246" w:type="dxa"/>
            <w:noWrap/>
            <w:hideMark/>
          </w:tcPr>
          <w:p w14:paraId="55079373" w14:textId="77777777" w:rsidR="00ED234E" w:rsidRPr="00EC772D" w:rsidRDefault="00ED234E" w:rsidP="00796EBF">
            <w:pPr>
              <w:jc w:val="right"/>
            </w:pPr>
            <w:r w:rsidRPr="00EC772D">
              <w:t xml:space="preserve">£0   </w:t>
            </w:r>
          </w:p>
        </w:tc>
        <w:tc>
          <w:tcPr>
            <w:tcW w:w="1246" w:type="dxa"/>
            <w:noWrap/>
            <w:hideMark/>
          </w:tcPr>
          <w:p w14:paraId="1EB0804A" w14:textId="77777777" w:rsidR="00ED234E" w:rsidRPr="00EC772D" w:rsidRDefault="00ED234E" w:rsidP="00796EBF">
            <w:pPr>
              <w:jc w:val="right"/>
            </w:pPr>
            <w:r w:rsidRPr="00EC772D">
              <w:t xml:space="preserve">£0   </w:t>
            </w:r>
          </w:p>
        </w:tc>
        <w:tc>
          <w:tcPr>
            <w:tcW w:w="1246" w:type="dxa"/>
            <w:noWrap/>
            <w:hideMark/>
          </w:tcPr>
          <w:p w14:paraId="743664BB" w14:textId="77777777" w:rsidR="00ED234E" w:rsidRPr="00EC772D" w:rsidRDefault="00ED234E" w:rsidP="00796EBF">
            <w:pPr>
              <w:jc w:val="right"/>
            </w:pPr>
            <w:r w:rsidRPr="00EC772D">
              <w:t xml:space="preserve">£0   </w:t>
            </w:r>
          </w:p>
        </w:tc>
        <w:tc>
          <w:tcPr>
            <w:tcW w:w="1246" w:type="dxa"/>
            <w:noWrap/>
            <w:hideMark/>
          </w:tcPr>
          <w:p w14:paraId="65C34F92" w14:textId="15E5AF7D" w:rsidR="00ED234E" w:rsidRPr="00EC772D" w:rsidRDefault="00ED234E" w:rsidP="00796EBF">
            <w:pPr>
              <w:jc w:val="right"/>
            </w:pPr>
            <w:r w:rsidRPr="00EC772D">
              <w:t>£1</w:t>
            </w:r>
            <w:r>
              <w:t>2</w:t>
            </w:r>
            <w:r w:rsidRPr="00EC772D">
              <w:t xml:space="preserve">,000 </w:t>
            </w:r>
          </w:p>
        </w:tc>
        <w:tc>
          <w:tcPr>
            <w:tcW w:w="1246" w:type="dxa"/>
            <w:noWrap/>
            <w:hideMark/>
          </w:tcPr>
          <w:p w14:paraId="10D074C6" w14:textId="77777777" w:rsidR="00ED234E" w:rsidRPr="00EC772D" w:rsidRDefault="00ED234E" w:rsidP="00796EBF">
            <w:pPr>
              <w:jc w:val="right"/>
            </w:pPr>
            <w:r w:rsidRPr="00EC772D">
              <w:t xml:space="preserve">£3,100 </w:t>
            </w:r>
          </w:p>
        </w:tc>
        <w:tc>
          <w:tcPr>
            <w:tcW w:w="1246" w:type="dxa"/>
            <w:noWrap/>
            <w:hideMark/>
          </w:tcPr>
          <w:p w14:paraId="281C9684" w14:textId="77777777" w:rsidR="00ED234E" w:rsidRPr="00EC772D" w:rsidRDefault="00ED234E" w:rsidP="00796EBF">
            <w:pPr>
              <w:jc w:val="right"/>
            </w:pPr>
            <w:r w:rsidRPr="00EC772D">
              <w:t xml:space="preserve">£3,100 </w:t>
            </w:r>
          </w:p>
        </w:tc>
        <w:tc>
          <w:tcPr>
            <w:tcW w:w="1246" w:type="dxa"/>
            <w:noWrap/>
            <w:hideMark/>
          </w:tcPr>
          <w:p w14:paraId="6BC6FD79" w14:textId="77777777" w:rsidR="00ED234E" w:rsidRPr="00EC772D" w:rsidRDefault="00ED234E" w:rsidP="00796EBF">
            <w:pPr>
              <w:jc w:val="right"/>
            </w:pPr>
            <w:r w:rsidRPr="00EC772D">
              <w:t>£3,500</w:t>
            </w:r>
          </w:p>
        </w:tc>
        <w:tc>
          <w:tcPr>
            <w:tcW w:w="1360" w:type="dxa"/>
            <w:noWrap/>
            <w:hideMark/>
          </w:tcPr>
          <w:p w14:paraId="4BF6FBA6" w14:textId="0FEBB9FD" w:rsidR="00ED234E" w:rsidRPr="00EC772D" w:rsidRDefault="00ED234E" w:rsidP="00796EBF">
            <w:pPr>
              <w:jc w:val="right"/>
            </w:pPr>
            <w:r w:rsidRPr="00EC772D">
              <w:t xml:space="preserve"> £1</w:t>
            </w:r>
            <w:r w:rsidR="001D6659">
              <w:t>7</w:t>
            </w:r>
            <w:r w:rsidRPr="00EC772D">
              <w:t>,000</w:t>
            </w:r>
          </w:p>
        </w:tc>
      </w:tr>
      <w:tr w:rsidR="00ED234E" w:rsidRPr="00EC772D" w14:paraId="7C834F2B" w14:textId="77777777" w:rsidTr="007C47D0">
        <w:trPr>
          <w:trHeight w:val="285"/>
        </w:trPr>
        <w:tc>
          <w:tcPr>
            <w:tcW w:w="1701" w:type="dxa"/>
            <w:noWrap/>
            <w:hideMark/>
          </w:tcPr>
          <w:p w14:paraId="53B0F5B2" w14:textId="77777777" w:rsidR="00ED234E" w:rsidRPr="00EC772D" w:rsidRDefault="00ED234E" w:rsidP="00ED234E">
            <w:r w:rsidRPr="00EC772D">
              <w:t>2.7</w:t>
            </w:r>
          </w:p>
        </w:tc>
        <w:tc>
          <w:tcPr>
            <w:tcW w:w="1084" w:type="dxa"/>
            <w:noWrap/>
            <w:hideMark/>
          </w:tcPr>
          <w:p w14:paraId="46CEA16E" w14:textId="77777777" w:rsidR="00ED234E" w:rsidRPr="00EC772D" w:rsidRDefault="00ED234E" w:rsidP="00796EBF">
            <w:pPr>
              <w:jc w:val="right"/>
            </w:pPr>
            <w:r w:rsidRPr="00EC772D">
              <w:t xml:space="preserve">£0   </w:t>
            </w:r>
          </w:p>
        </w:tc>
        <w:tc>
          <w:tcPr>
            <w:tcW w:w="1246" w:type="dxa"/>
            <w:noWrap/>
            <w:hideMark/>
          </w:tcPr>
          <w:p w14:paraId="0013C4CB" w14:textId="77777777" w:rsidR="00ED234E" w:rsidRPr="00EC772D" w:rsidRDefault="00ED234E" w:rsidP="00796EBF">
            <w:pPr>
              <w:jc w:val="right"/>
            </w:pPr>
            <w:r w:rsidRPr="00EC772D">
              <w:t xml:space="preserve">£0   </w:t>
            </w:r>
          </w:p>
        </w:tc>
        <w:tc>
          <w:tcPr>
            <w:tcW w:w="1246" w:type="dxa"/>
            <w:noWrap/>
            <w:hideMark/>
          </w:tcPr>
          <w:p w14:paraId="11714C55" w14:textId="77777777" w:rsidR="00ED234E" w:rsidRPr="00EC772D" w:rsidRDefault="00ED234E" w:rsidP="00796EBF">
            <w:pPr>
              <w:jc w:val="right"/>
            </w:pPr>
            <w:r w:rsidRPr="00EC772D">
              <w:t xml:space="preserve">£0   </w:t>
            </w:r>
          </w:p>
        </w:tc>
        <w:tc>
          <w:tcPr>
            <w:tcW w:w="1246" w:type="dxa"/>
            <w:noWrap/>
            <w:hideMark/>
          </w:tcPr>
          <w:p w14:paraId="428A0F47" w14:textId="77777777" w:rsidR="00ED234E" w:rsidRPr="00EC772D" w:rsidRDefault="00ED234E" w:rsidP="00796EBF">
            <w:pPr>
              <w:jc w:val="right"/>
            </w:pPr>
            <w:r w:rsidRPr="00EC772D">
              <w:t xml:space="preserve">£0   </w:t>
            </w:r>
          </w:p>
        </w:tc>
        <w:tc>
          <w:tcPr>
            <w:tcW w:w="1246" w:type="dxa"/>
            <w:noWrap/>
            <w:hideMark/>
          </w:tcPr>
          <w:p w14:paraId="4578F958" w14:textId="77777777" w:rsidR="00ED234E" w:rsidRPr="00EC772D" w:rsidRDefault="00ED234E" w:rsidP="00796EBF">
            <w:pPr>
              <w:jc w:val="right"/>
            </w:pPr>
            <w:r w:rsidRPr="00EC772D">
              <w:t xml:space="preserve">£0   </w:t>
            </w:r>
          </w:p>
        </w:tc>
        <w:tc>
          <w:tcPr>
            <w:tcW w:w="1246" w:type="dxa"/>
            <w:noWrap/>
            <w:hideMark/>
          </w:tcPr>
          <w:p w14:paraId="4D027178" w14:textId="77777777" w:rsidR="00ED234E" w:rsidRPr="00EC772D" w:rsidRDefault="00ED234E" w:rsidP="00796EBF">
            <w:pPr>
              <w:jc w:val="right"/>
            </w:pPr>
            <w:r w:rsidRPr="00EC772D">
              <w:t xml:space="preserve">£0   </w:t>
            </w:r>
          </w:p>
        </w:tc>
        <w:tc>
          <w:tcPr>
            <w:tcW w:w="1246" w:type="dxa"/>
            <w:noWrap/>
            <w:hideMark/>
          </w:tcPr>
          <w:p w14:paraId="71C7F3E3" w14:textId="77777777" w:rsidR="00ED234E" w:rsidRPr="00EC772D" w:rsidRDefault="00ED234E" w:rsidP="00796EBF">
            <w:pPr>
              <w:jc w:val="right"/>
            </w:pPr>
            <w:r w:rsidRPr="00EC772D">
              <w:t xml:space="preserve">£0   </w:t>
            </w:r>
          </w:p>
        </w:tc>
        <w:tc>
          <w:tcPr>
            <w:tcW w:w="1246" w:type="dxa"/>
            <w:noWrap/>
            <w:hideMark/>
          </w:tcPr>
          <w:p w14:paraId="1EE44FDE" w14:textId="6571940F" w:rsidR="00ED234E" w:rsidRPr="00EC772D" w:rsidRDefault="00ED234E" w:rsidP="00796EBF">
            <w:pPr>
              <w:jc w:val="right"/>
            </w:pPr>
            <w:r w:rsidRPr="00EC772D">
              <w:t>£1</w:t>
            </w:r>
            <w:r>
              <w:t>2</w:t>
            </w:r>
            <w:r w:rsidRPr="00EC772D">
              <w:t xml:space="preserve">,000 </w:t>
            </w:r>
          </w:p>
        </w:tc>
        <w:tc>
          <w:tcPr>
            <w:tcW w:w="1246" w:type="dxa"/>
            <w:noWrap/>
            <w:hideMark/>
          </w:tcPr>
          <w:p w14:paraId="37D8A9A0" w14:textId="77777777" w:rsidR="00ED234E" w:rsidRPr="00EC772D" w:rsidRDefault="00ED234E" w:rsidP="00796EBF">
            <w:pPr>
              <w:jc w:val="right"/>
            </w:pPr>
            <w:r w:rsidRPr="00EC772D">
              <w:t xml:space="preserve">£3,100 </w:t>
            </w:r>
          </w:p>
        </w:tc>
        <w:tc>
          <w:tcPr>
            <w:tcW w:w="1246" w:type="dxa"/>
            <w:noWrap/>
            <w:hideMark/>
          </w:tcPr>
          <w:p w14:paraId="0DF03EE3" w14:textId="77777777" w:rsidR="00ED234E" w:rsidRPr="00EC772D" w:rsidRDefault="00ED234E" w:rsidP="00796EBF">
            <w:pPr>
              <w:jc w:val="right"/>
            </w:pPr>
            <w:r w:rsidRPr="00EC772D">
              <w:t xml:space="preserve">£3,100 </w:t>
            </w:r>
          </w:p>
        </w:tc>
        <w:tc>
          <w:tcPr>
            <w:tcW w:w="1360" w:type="dxa"/>
            <w:noWrap/>
            <w:hideMark/>
          </w:tcPr>
          <w:p w14:paraId="54A9432F" w14:textId="60973B97" w:rsidR="00ED234E" w:rsidRPr="00EC772D" w:rsidRDefault="00ED234E" w:rsidP="00796EBF">
            <w:pPr>
              <w:jc w:val="right"/>
            </w:pPr>
            <w:r w:rsidRPr="00EC772D">
              <w:t xml:space="preserve"> £1</w:t>
            </w:r>
            <w:r w:rsidR="001D6659">
              <w:t>4</w:t>
            </w:r>
            <w:r w:rsidRPr="00EC772D">
              <w:t xml:space="preserve">,000 </w:t>
            </w:r>
          </w:p>
        </w:tc>
      </w:tr>
      <w:tr w:rsidR="00ED234E" w:rsidRPr="00EC772D" w14:paraId="1FC94783" w14:textId="77777777" w:rsidTr="007C47D0">
        <w:trPr>
          <w:trHeight w:val="285"/>
        </w:trPr>
        <w:tc>
          <w:tcPr>
            <w:tcW w:w="1701" w:type="dxa"/>
            <w:noWrap/>
            <w:hideMark/>
          </w:tcPr>
          <w:p w14:paraId="54811071" w14:textId="77777777" w:rsidR="00ED234E" w:rsidRPr="00EC772D" w:rsidRDefault="00ED234E" w:rsidP="00ED234E">
            <w:r w:rsidRPr="00EC772D">
              <w:t>2.7</w:t>
            </w:r>
          </w:p>
        </w:tc>
        <w:tc>
          <w:tcPr>
            <w:tcW w:w="1084" w:type="dxa"/>
            <w:noWrap/>
            <w:hideMark/>
          </w:tcPr>
          <w:p w14:paraId="7660A793" w14:textId="77777777" w:rsidR="00ED234E" w:rsidRPr="00EC772D" w:rsidRDefault="00ED234E" w:rsidP="00796EBF">
            <w:pPr>
              <w:jc w:val="right"/>
            </w:pPr>
            <w:r w:rsidRPr="00EC772D">
              <w:t xml:space="preserve">£0   </w:t>
            </w:r>
          </w:p>
        </w:tc>
        <w:tc>
          <w:tcPr>
            <w:tcW w:w="1246" w:type="dxa"/>
            <w:noWrap/>
            <w:hideMark/>
          </w:tcPr>
          <w:p w14:paraId="75099B26" w14:textId="77777777" w:rsidR="00ED234E" w:rsidRPr="00EC772D" w:rsidRDefault="00ED234E" w:rsidP="00796EBF">
            <w:pPr>
              <w:jc w:val="right"/>
            </w:pPr>
            <w:r w:rsidRPr="00EC772D">
              <w:t xml:space="preserve">£0   </w:t>
            </w:r>
          </w:p>
        </w:tc>
        <w:tc>
          <w:tcPr>
            <w:tcW w:w="1246" w:type="dxa"/>
            <w:noWrap/>
            <w:hideMark/>
          </w:tcPr>
          <w:p w14:paraId="0C91FE9D" w14:textId="77777777" w:rsidR="00ED234E" w:rsidRPr="00EC772D" w:rsidRDefault="00ED234E" w:rsidP="00796EBF">
            <w:pPr>
              <w:jc w:val="right"/>
            </w:pPr>
            <w:r w:rsidRPr="00EC772D">
              <w:t xml:space="preserve">£0   </w:t>
            </w:r>
          </w:p>
        </w:tc>
        <w:tc>
          <w:tcPr>
            <w:tcW w:w="1246" w:type="dxa"/>
            <w:noWrap/>
            <w:hideMark/>
          </w:tcPr>
          <w:p w14:paraId="57E17F9C" w14:textId="77777777" w:rsidR="00ED234E" w:rsidRPr="00EC772D" w:rsidRDefault="00ED234E" w:rsidP="00796EBF">
            <w:pPr>
              <w:jc w:val="right"/>
            </w:pPr>
            <w:r w:rsidRPr="00EC772D">
              <w:t xml:space="preserve">£0   </w:t>
            </w:r>
          </w:p>
        </w:tc>
        <w:tc>
          <w:tcPr>
            <w:tcW w:w="1246" w:type="dxa"/>
            <w:noWrap/>
            <w:hideMark/>
          </w:tcPr>
          <w:p w14:paraId="00E974D1" w14:textId="77777777" w:rsidR="00ED234E" w:rsidRPr="00EC772D" w:rsidRDefault="00ED234E" w:rsidP="00796EBF">
            <w:pPr>
              <w:jc w:val="right"/>
            </w:pPr>
            <w:r w:rsidRPr="00EC772D">
              <w:t xml:space="preserve">£0   </w:t>
            </w:r>
          </w:p>
        </w:tc>
        <w:tc>
          <w:tcPr>
            <w:tcW w:w="1246" w:type="dxa"/>
            <w:noWrap/>
            <w:hideMark/>
          </w:tcPr>
          <w:p w14:paraId="1733340B" w14:textId="77777777" w:rsidR="00ED234E" w:rsidRPr="00EC772D" w:rsidRDefault="00ED234E" w:rsidP="00796EBF">
            <w:pPr>
              <w:jc w:val="right"/>
            </w:pPr>
            <w:r w:rsidRPr="00EC772D">
              <w:t xml:space="preserve">£0   </w:t>
            </w:r>
          </w:p>
        </w:tc>
        <w:tc>
          <w:tcPr>
            <w:tcW w:w="1246" w:type="dxa"/>
            <w:noWrap/>
            <w:hideMark/>
          </w:tcPr>
          <w:p w14:paraId="226053BB" w14:textId="77777777" w:rsidR="00ED234E" w:rsidRPr="00EC772D" w:rsidRDefault="00ED234E" w:rsidP="00796EBF">
            <w:pPr>
              <w:jc w:val="right"/>
            </w:pPr>
            <w:r w:rsidRPr="00EC772D">
              <w:t xml:space="preserve">£0   </w:t>
            </w:r>
          </w:p>
        </w:tc>
        <w:tc>
          <w:tcPr>
            <w:tcW w:w="1246" w:type="dxa"/>
            <w:noWrap/>
            <w:hideMark/>
          </w:tcPr>
          <w:p w14:paraId="6478E1B8" w14:textId="77777777" w:rsidR="00ED234E" w:rsidRPr="00EC772D" w:rsidRDefault="00ED234E" w:rsidP="00796EBF">
            <w:pPr>
              <w:jc w:val="right"/>
            </w:pPr>
            <w:r w:rsidRPr="00EC772D">
              <w:t xml:space="preserve">£0   </w:t>
            </w:r>
          </w:p>
        </w:tc>
        <w:tc>
          <w:tcPr>
            <w:tcW w:w="1246" w:type="dxa"/>
            <w:noWrap/>
            <w:hideMark/>
          </w:tcPr>
          <w:p w14:paraId="0C783B8E" w14:textId="1EED651C" w:rsidR="00ED234E" w:rsidRPr="00EC772D" w:rsidRDefault="00ED234E" w:rsidP="00796EBF">
            <w:pPr>
              <w:jc w:val="right"/>
            </w:pPr>
            <w:r w:rsidRPr="00EC772D">
              <w:t>£1</w:t>
            </w:r>
            <w:r>
              <w:t>2</w:t>
            </w:r>
            <w:r w:rsidRPr="00EC772D">
              <w:t xml:space="preserve">,000 </w:t>
            </w:r>
          </w:p>
        </w:tc>
        <w:tc>
          <w:tcPr>
            <w:tcW w:w="1246" w:type="dxa"/>
            <w:noWrap/>
            <w:hideMark/>
          </w:tcPr>
          <w:p w14:paraId="7B91815C" w14:textId="77777777" w:rsidR="00ED234E" w:rsidRPr="00EC772D" w:rsidRDefault="00ED234E" w:rsidP="00796EBF">
            <w:pPr>
              <w:jc w:val="right"/>
            </w:pPr>
            <w:r w:rsidRPr="00EC772D">
              <w:t xml:space="preserve">£3,100 </w:t>
            </w:r>
          </w:p>
        </w:tc>
        <w:tc>
          <w:tcPr>
            <w:tcW w:w="1360" w:type="dxa"/>
            <w:noWrap/>
            <w:hideMark/>
          </w:tcPr>
          <w:p w14:paraId="181CB144" w14:textId="77777777" w:rsidR="00ED234E" w:rsidRPr="00EC772D" w:rsidRDefault="00ED234E" w:rsidP="00796EBF">
            <w:pPr>
              <w:jc w:val="right"/>
            </w:pPr>
            <w:r w:rsidRPr="00EC772D">
              <w:t xml:space="preserve"> £11,000 </w:t>
            </w:r>
          </w:p>
        </w:tc>
      </w:tr>
      <w:tr w:rsidR="00ED234E" w:rsidRPr="00EC772D" w14:paraId="21CA301E" w14:textId="77777777" w:rsidTr="007C47D0">
        <w:trPr>
          <w:trHeight w:val="285"/>
        </w:trPr>
        <w:tc>
          <w:tcPr>
            <w:tcW w:w="1701" w:type="dxa"/>
            <w:noWrap/>
            <w:hideMark/>
          </w:tcPr>
          <w:p w14:paraId="07C91CD9" w14:textId="77777777" w:rsidR="00ED234E" w:rsidRPr="00EC772D" w:rsidRDefault="00ED234E" w:rsidP="00ED234E">
            <w:r w:rsidRPr="00EC772D">
              <w:t>2.7</w:t>
            </w:r>
          </w:p>
        </w:tc>
        <w:tc>
          <w:tcPr>
            <w:tcW w:w="1084" w:type="dxa"/>
            <w:noWrap/>
            <w:hideMark/>
          </w:tcPr>
          <w:p w14:paraId="49646369" w14:textId="77777777" w:rsidR="00ED234E" w:rsidRPr="00EC772D" w:rsidRDefault="00ED234E" w:rsidP="00796EBF">
            <w:pPr>
              <w:jc w:val="right"/>
            </w:pPr>
            <w:r w:rsidRPr="00EC772D">
              <w:t xml:space="preserve">£0   </w:t>
            </w:r>
          </w:p>
        </w:tc>
        <w:tc>
          <w:tcPr>
            <w:tcW w:w="1246" w:type="dxa"/>
            <w:noWrap/>
            <w:hideMark/>
          </w:tcPr>
          <w:p w14:paraId="2B467DED" w14:textId="77777777" w:rsidR="00ED234E" w:rsidRPr="00EC772D" w:rsidRDefault="00ED234E" w:rsidP="00796EBF">
            <w:pPr>
              <w:jc w:val="right"/>
            </w:pPr>
            <w:r w:rsidRPr="00EC772D">
              <w:t xml:space="preserve">£0   </w:t>
            </w:r>
          </w:p>
        </w:tc>
        <w:tc>
          <w:tcPr>
            <w:tcW w:w="1246" w:type="dxa"/>
            <w:noWrap/>
            <w:hideMark/>
          </w:tcPr>
          <w:p w14:paraId="4A59AB37" w14:textId="77777777" w:rsidR="00ED234E" w:rsidRPr="00EC772D" w:rsidRDefault="00ED234E" w:rsidP="00796EBF">
            <w:pPr>
              <w:jc w:val="right"/>
            </w:pPr>
            <w:r w:rsidRPr="00EC772D">
              <w:t xml:space="preserve">£0   </w:t>
            </w:r>
          </w:p>
        </w:tc>
        <w:tc>
          <w:tcPr>
            <w:tcW w:w="1246" w:type="dxa"/>
            <w:noWrap/>
            <w:hideMark/>
          </w:tcPr>
          <w:p w14:paraId="6D0A26B5" w14:textId="77777777" w:rsidR="00ED234E" w:rsidRPr="00EC772D" w:rsidRDefault="00ED234E" w:rsidP="00796EBF">
            <w:pPr>
              <w:jc w:val="right"/>
            </w:pPr>
            <w:r w:rsidRPr="00EC772D">
              <w:t xml:space="preserve">£0   </w:t>
            </w:r>
          </w:p>
        </w:tc>
        <w:tc>
          <w:tcPr>
            <w:tcW w:w="1246" w:type="dxa"/>
            <w:noWrap/>
            <w:hideMark/>
          </w:tcPr>
          <w:p w14:paraId="397BE3C4" w14:textId="77777777" w:rsidR="00ED234E" w:rsidRPr="00EC772D" w:rsidRDefault="00ED234E" w:rsidP="00796EBF">
            <w:pPr>
              <w:jc w:val="right"/>
            </w:pPr>
            <w:r w:rsidRPr="00EC772D">
              <w:t xml:space="preserve">£0   </w:t>
            </w:r>
          </w:p>
        </w:tc>
        <w:tc>
          <w:tcPr>
            <w:tcW w:w="1246" w:type="dxa"/>
            <w:noWrap/>
            <w:hideMark/>
          </w:tcPr>
          <w:p w14:paraId="60DDB356" w14:textId="77777777" w:rsidR="00ED234E" w:rsidRPr="00EC772D" w:rsidRDefault="00ED234E" w:rsidP="00796EBF">
            <w:pPr>
              <w:jc w:val="right"/>
            </w:pPr>
            <w:r w:rsidRPr="00EC772D">
              <w:t xml:space="preserve">£0   </w:t>
            </w:r>
          </w:p>
        </w:tc>
        <w:tc>
          <w:tcPr>
            <w:tcW w:w="1246" w:type="dxa"/>
            <w:noWrap/>
            <w:hideMark/>
          </w:tcPr>
          <w:p w14:paraId="3435E1FB" w14:textId="77777777" w:rsidR="00ED234E" w:rsidRPr="00EC772D" w:rsidRDefault="00ED234E" w:rsidP="00796EBF">
            <w:pPr>
              <w:jc w:val="right"/>
            </w:pPr>
            <w:r w:rsidRPr="00EC772D">
              <w:t xml:space="preserve">£0   </w:t>
            </w:r>
          </w:p>
        </w:tc>
        <w:tc>
          <w:tcPr>
            <w:tcW w:w="1246" w:type="dxa"/>
            <w:noWrap/>
            <w:hideMark/>
          </w:tcPr>
          <w:p w14:paraId="122B17B4" w14:textId="77777777" w:rsidR="00ED234E" w:rsidRPr="00EC772D" w:rsidRDefault="00ED234E" w:rsidP="00796EBF">
            <w:pPr>
              <w:jc w:val="right"/>
            </w:pPr>
            <w:r w:rsidRPr="00EC772D">
              <w:t xml:space="preserve">£0   </w:t>
            </w:r>
          </w:p>
        </w:tc>
        <w:tc>
          <w:tcPr>
            <w:tcW w:w="1246" w:type="dxa"/>
            <w:noWrap/>
            <w:hideMark/>
          </w:tcPr>
          <w:p w14:paraId="1A390CBD" w14:textId="77777777" w:rsidR="00ED234E" w:rsidRPr="00EC772D" w:rsidRDefault="00ED234E" w:rsidP="00796EBF">
            <w:pPr>
              <w:jc w:val="right"/>
            </w:pPr>
            <w:r w:rsidRPr="00EC772D">
              <w:t xml:space="preserve">£0   </w:t>
            </w:r>
          </w:p>
        </w:tc>
        <w:tc>
          <w:tcPr>
            <w:tcW w:w="1246" w:type="dxa"/>
            <w:noWrap/>
            <w:hideMark/>
          </w:tcPr>
          <w:p w14:paraId="19AA78EB" w14:textId="6500FE1A" w:rsidR="00ED234E" w:rsidRPr="00EC772D" w:rsidRDefault="00ED234E" w:rsidP="00796EBF">
            <w:pPr>
              <w:jc w:val="right"/>
            </w:pPr>
            <w:r w:rsidRPr="00EC772D">
              <w:t>£1</w:t>
            </w:r>
            <w:r>
              <w:t>2</w:t>
            </w:r>
            <w:r w:rsidRPr="00EC772D">
              <w:t xml:space="preserve">,000 </w:t>
            </w:r>
          </w:p>
        </w:tc>
        <w:tc>
          <w:tcPr>
            <w:tcW w:w="1360" w:type="dxa"/>
            <w:noWrap/>
            <w:hideMark/>
          </w:tcPr>
          <w:p w14:paraId="3BED8312" w14:textId="3C5D574E" w:rsidR="00ED234E" w:rsidRPr="00EC772D" w:rsidRDefault="00ED234E" w:rsidP="00796EBF">
            <w:pPr>
              <w:jc w:val="right"/>
            </w:pPr>
            <w:r w:rsidRPr="00EC772D">
              <w:t xml:space="preserve"> £8,</w:t>
            </w:r>
            <w:r w:rsidR="001D6659">
              <w:t>8</w:t>
            </w:r>
            <w:r w:rsidRPr="00EC772D">
              <w:t xml:space="preserve">00 </w:t>
            </w:r>
          </w:p>
        </w:tc>
      </w:tr>
      <w:tr w:rsidR="006269F5" w:rsidRPr="00EC772D" w14:paraId="2759095D" w14:textId="77777777" w:rsidTr="007C47D0">
        <w:trPr>
          <w:trHeight w:val="285"/>
        </w:trPr>
        <w:tc>
          <w:tcPr>
            <w:tcW w:w="1701" w:type="dxa"/>
            <w:noWrap/>
            <w:hideMark/>
          </w:tcPr>
          <w:p w14:paraId="64A4BBEC" w14:textId="77777777" w:rsidR="006269F5" w:rsidRPr="00EC772D" w:rsidRDefault="006269F5" w:rsidP="006269F5">
            <w:pPr>
              <w:rPr>
                <w:b/>
                <w:bCs/>
              </w:rPr>
            </w:pPr>
            <w:r w:rsidRPr="00EC772D">
              <w:rPr>
                <w:b/>
                <w:bCs/>
              </w:rPr>
              <w:t>Total</w:t>
            </w:r>
          </w:p>
        </w:tc>
        <w:tc>
          <w:tcPr>
            <w:tcW w:w="1084" w:type="dxa"/>
            <w:noWrap/>
            <w:hideMark/>
          </w:tcPr>
          <w:p w14:paraId="1ECA4273" w14:textId="2BF69B23" w:rsidR="006269F5" w:rsidRPr="00EC772D" w:rsidRDefault="006269F5" w:rsidP="006269F5">
            <w:pPr>
              <w:rPr>
                <w:b/>
                <w:bCs/>
              </w:rPr>
            </w:pPr>
            <w:r w:rsidRPr="00EC772D">
              <w:rPr>
                <w:b/>
                <w:bCs/>
              </w:rPr>
              <w:t>£1</w:t>
            </w:r>
            <w:r w:rsidR="001D6659" w:rsidRPr="00C377DF">
              <w:rPr>
                <w:b/>
                <w:bCs/>
              </w:rPr>
              <w:t>2</w:t>
            </w:r>
            <w:r w:rsidRPr="00EC772D">
              <w:rPr>
                <w:b/>
                <w:bCs/>
              </w:rPr>
              <w:t>,000</w:t>
            </w:r>
          </w:p>
        </w:tc>
        <w:tc>
          <w:tcPr>
            <w:tcW w:w="1246" w:type="dxa"/>
            <w:noWrap/>
            <w:hideMark/>
          </w:tcPr>
          <w:p w14:paraId="5063F6F7" w14:textId="588A7A1D" w:rsidR="006269F5" w:rsidRPr="00EC772D" w:rsidRDefault="006269F5" w:rsidP="006269F5">
            <w:pPr>
              <w:rPr>
                <w:b/>
                <w:bCs/>
              </w:rPr>
            </w:pPr>
            <w:r w:rsidRPr="00EC772D">
              <w:rPr>
                <w:b/>
                <w:bCs/>
              </w:rPr>
              <w:t xml:space="preserve"> £1</w:t>
            </w:r>
            <w:r w:rsidR="001D6659" w:rsidRPr="00C377DF">
              <w:rPr>
                <w:b/>
                <w:bCs/>
              </w:rPr>
              <w:t>5</w:t>
            </w:r>
            <w:r w:rsidRPr="00EC772D">
              <w:rPr>
                <w:b/>
                <w:bCs/>
              </w:rPr>
              <w:t>,000</w:t>
            </w:r>
          </w:p>
        </w:tc>
        <w:tc>
          <w:tcPr>
            <w:tcW w:w="1246" w:type="dxa"/>
            <w:noWrap/>
            <w:hideMark/>
          </w:tcPr>
          <w:p w14:paraId="26063C9F" w14:textId="01E43772" w:rsidR="006269F5" w:rsidRPr="00EC772D" w:rsidRDefault="006269F5" w:rsidP="006269F5">
            <w:pPr>
              <w:rPr>
                <w:b/>
                <w:bCs/>
              </w:rPr>
            </w:pPr>
            <w:r w:rsidRPr="00EC772D">
              <w:rPr>
                <w:b/>
                <w:bCs/>
              </w:rPr>
              <w:t xml:space="preserve"> £1</w:t>
            </w:r>
            <w:r w:rsidR="001D6659" w:rsidRPr="00C377DF">
              <w:rPr>
                <w:b/>
                <w:bCs/>
              </w:rPr>
              <w:t>8</w:t>
            </w:r>
            <w:r w:rsidRPr="00EC772D">
              <w:rPr>
                <w:b/>
                <w:bCs/>
              </w:rPr>
              <w:t xml:space="preserve">,000 </w:t>
            </w:r>
          </w:p>
        </w:tc>
        <w:tc>
          <w:tcPr>
            <w:tcW w:w="1246" w:type="dxa"/>
            <w:noWrap/>
            <w:hideMark/>
          </w:tcPr>
          <w:p w14:paraId="58505FE6" w14:textId="31E8F28A" w:rsidR="006269F5" w:rsidRPr="00EC772D" w:rsidRDefault="006269F5" w:rsidP="006269F5">
            <w:pPr>
              <w:rPr>
                <w:b/>
                <w:bCs/>
              </w:rPr>
            </w:pPr>
            <w:r w:rsidRPr="00EC772D">
              <w:rPr>
                <w:b/>
                <w:bCs/>
              </w:rPr>
              <w:t xml:space="preserve"> £2</w:t>
            </w:r>
            <w:r w:rsidR="001D6659" w:rsidRPr="00C377DF">
              <w:rPr>
                <w:b/>
                <w:bCs/>
              </w:rPr>
              <w:t>2</w:t>
            </w:r>
            <w:r w:rsidRPr="00EC772D">
              <w:rPr>
                <w:b/>
                <w:bCs/>
              </w:rPr>
              <w:t xml:space="preserve">,000 </w:t>
            </w:r>
          </w:p>
        </w:tc>
        <w:tc>
          <w:tcPr>
            <w:tcW w:w="1246" w:type="dxa"/>
            <w:noWrap/>
            <w:hideMark/>
          </w:tcPr>
          <w:p w14:paraId="1E7BE6FA" w14:textId="5984096C" w:rsidR="006269F5" w:rsidRPr="00EC772D" w:rsidRDefault="006269F5" w:rsidP="006269F5">
            <w:pPr>
              <w:rPr>
                <w:b/>
                <w:bCs/>
              </w:rPr>
            </w:pPr>
            <w:r w:rsidRPr="00EC772D">
              <w:rPr>
                <w:b/>
                <w:bCs/>
              </w:rPr>
              <w:t xml:space="preserve"> £2</w:t>
            </w:r>
            <w:r w:rsidR="001D6659" w:rsidRPr="00C377DF">
              <w:rPr>
                <w:b/>
                <w:bCs/>
              </w:rPr>
              <w:t>5</w:t>
            </w:r>
            <w:r w:rsidRPr="00EC772D">
              <w:rPr>
                <w:b/>
                <w:bCs/>
              </w:rPr>
              <w:t xml:space="preserve">,000 </w:t>
            </w:r>
          </w:p>
        </w:tc>
        <w:tc>
          <w:tcPr>
            <w:tcW w:w="1246" w:type="dxa"/>
            <w:noWrap/>
            <w:hideMark/>
          </w:tcPr>
          <w:p w14:paraId="1258D84B" w14:textId="1B659544" w:rsidR="006269F5" w:rsidRPr="00EC772D" w:rsidRDefault="006269F5" w:rsidP="006269F5">
            <w:pPr>
              <w:rPr>
                <w:b/>
                <w:bCs/>
              </w:rPr>
            </w:pPr>
            <w:r w:rsidRPr="00EC772D">
              <w:rPr>
                <w:b/>
                <w:bCs/>
              </w:rPr>
              <w:t xml:space="preserve"> £2</w:t>
            </w:r>
            <w:r w:rsidR="001D6659" w:rsidRPr="00C377DF">
              <w:rPr>
                <w:b/>
                <w:bCs/>
              </w:rPr>
              <w:t>9</w:t>
            </w:r>
            <w:r w:rsidRPr="00EC772D">
              <w:rPr>
                <w:b/>
                <w:bCs/>
              </w:rPr>
              <w:t xml:space="preserve">,000 </w:t>
            </w:r>
          </w:p>
        </w:tc>
        <w:tc>
          <w:tcPr>
            <w:tcW w:w="1246" w:type="dxa"/>
            <w:noWrap/>
            <w:hideMark/>
          </w:tcPr>
          <w:p w14:paraId="756E760E" w14:textId="0B95BAA2" w:rsidR="006269F5" w:rsidRPr="00EC772D" w:rsidRDefault="006269F5" w:rsidP="006269F5">
            <w:pPr>
              <w:rPr>
                <w:b/>
                <w:bCs/>
              </w:rPr>
            </w:pPr>
            <w:r w:rsidRPr="00EC772D">
              <w:rPr>
                <w:b/>
                <w:bCs/>
              </w:rPr>
              <w:t xml:space="preserve"> £3</w:t>
            </w:r>
            <w:r w:rsidR="001D6659" w:rsidRPr="00C377DF">
              <w:rPr>
                <w:b/>
                <w:bCs/>
              </w:rPr>
              <w:t>2</w:t>
            </w:r>
            <w:r w:rsidRPr="00EC772D">
              <w:rPr>
                <w:b/>
                <w:bCs/>
              </w:rPr>
              <w:t xml:space="preserve">,000 </w:t>
            </w:r>
          </w:p>
        </w:tc>
        <w:tc>
          <w:tcPr>
            <w:tcW w:w="1246" w:type="dxa"/>
            <w:noWrap/>
            <w:hideMark/>
          </w:tcPr>
          <w:p w14:paraId="29B3FBDC" w14:textId="09C79B07" w:rsidR="006269F5" w:rsidRPr="00EC772D" w:rsidRDefault="006269F5" w:rsidP="006269F5">
            <w:pPr>
              <w:rPr>
                <w:b/>
                <w:bCs/>
              </w:rPr>
            </w:pPr>
            <w:r w:rsidRPr="00EC772D">
              <w:rPr>
                <w:b/>
                <w:bCs/>
              </w:rPr>
              <w:t xml:space="preserve"> £3</w:t>
            </w:r>
            <w:r w:rsidR="001D6659" w:rsidRPr="00C377DF">
              <w:rPr>
                <w:b/>
                <w:bCs/>
              </w:rPr>
              <w:t>5</w:t>
            </w:r>
            <w:r w:rsidRPr="00EC772D">
              <w:rPr>
                <w:b/>
                <w:bCs/>
              </w:rPr>
              <w:t xml:space="preserve">,000 </w:t>
            </w:r>
          </w:p>
        </w:tc>
        <w:tc>
          <w:tcPr>
            <w:tcW w:w="1246" w:type="dxa"/>
            <w:noWrap/>
            <w:hideMark/>
          </w:tcPr>
          <w:p w14:paraId="78D1FBAA" w14:textId="6936E7A6" w:rsidR="006269F5" w:rsidRPr="00EC772D" w:rsidRDefault="006269F5" w:rsidP="006269F5">
            <w:pPr>
              <w:rPr>
                <w:b/>
                <w:bCs/>
              </w:rPr>
            </w:pPr>
            <w:r w:rsidRPr="00EC772D">
              <w:rPr>
                <w:b/>
                <w:bCs/>
              </w:rPr>
              <w:t xml:space="preserve"> £3</w:t>
            </w:r>
            <w:r w:rsidR="001D6659" w:rsidRPr="00C377DF">
              <w:rPr>
                <w:b/>
                <w:bCs/>
              </w:rPr>
              <w:t>8</w:t>
            </w:r>
            <w:r w:rsidRPr="00EC772D">
              <w:rPr>
                <w:b/>
                <w:bCs/>
              </w:rPr>
              <w:t xml:space="preserve">,000 </w:t>
            </w:r>
          </w:p>
        </w:tc>
        <w:tc>
          <w:tcPr>
            <w:tcW w:w="1246" w:type="dxa"/>
            <w:noWrap/>
            <w:hideMark/>
          </w:tcPr>
          <w:p w14:paraId="2AB0934F" w14:textId="7628A206" w:rsidR="006269F5" w:rsidRPr="00EC772D" w:rsidRDefault="006269F5" w:rsidP="006269F5">
            <w:pPr>
              <w:rPr>
                <w:b/>
                <w:bCs/>
              </w:rPr>
            </w:pPr>
            <w:r w:rsidRPr="00EC772D">
              <w:rPr>
                <w:b/>
                <w:bCs/>
              </w:rPr>
              <w:t xml:space="preserve"> £4</w:t>
            </w:r>
            <w:r w:rsidR="001D6659" w:rsidRPr="00C377DF">
              <w:rPr>
                <w:b/>
                <w:bCs/>
              </w:rPr>
              <w:t>2</w:t>
            </w:r>
            <w:r w:rsidRPr="00EC772D">
              <w:rPr>
                <w:b/>
                <w:bCs/>
              </w:rPr>
              <w:t xml:space="preserve">,000 </w:t>
            </w:r>
          </w:p>
        </w:tc>
        <w:tc>
          <w:tcPr>
            <w:tcW w:w="1360" w:type="dxa"/>
            <w:noWrap/>
            <w:hideMark/>
          </w:tcPr>
          <w:p w14:paraId="530FFC90" w14:textId="70A3BACD" w:rsidR="006269F5" w:rsidRPr="007C47D0" w:rsidRDefault="006269F5" w:rsidP="006269F5">
            <w:pPr>
              <w:rPr>
                <w:b/>
                <w:bCs/>
              </w:rPr>
            </w:pPr>
            <w:r w:rsidRPr="00EC772D">
              <w:t xml:space="preserve"> </w:t>
            </w:r>
            <w:r w:rsidRPr="007C47D0">
              <w:rPr>
                <w:b/>
                <w:bCs/>
              </w:rPr>
              <w:t>£</w:t>
            </w:r>
            <w:r w:rsidR="001D6659">
              <w:rPr>
                <w:b/>
                <w:bCs/>
              </w:rPr>
              <w:t>22</w:t>
            </w:r>
            <w:r w:rsidRPr="007C47D0">
              <w:rPr>
                <w:b/>
                <w:bCs/>
              </w:rPr>
              <w:t xml:space="preserve">0,000 </w:t>
            </w:r>
          </w:p>
        </w:tc>
      </w:tr>
    </w:tbl>
    <w:p w14:paraId="343546DB" w14:textId="77777777" w:rsidR="00F63533" w:rsidRDefault="00F63533" w:rsidP="0036259D">
      <w:pPr>
        <w:rPr>
          <w:rFonts w:eastAsia="Arial" w:cs="Arial"/>
          <w:szCs w:val="20"/>
        </w:rPr>
      </w:pPr>
    </w:p>
    <w:p w14:paraId="59F5F6C7" w14:textId="77777777" w:rsidR="00982A50" w:rsidRDefault="00982A50" w:rsidP="00982A50">
      <w:pPr>
        <w:rPr>
          <w:rFonts w:eastAsia="Arial" w:cs="Arial"/>
          <w:szCs w:val="20"/>
        </w:rPr>
      </w:pPr>
    </w:p>
    <w:p w14:paraId="3A1E72B6" w14:textId="627C5FA1" w:rsidR="006A2074" w:rsidRPr="006A2074" w:rsidRDefault="00E51354" w:rsidP="007C47D0">
      <w:pPr>
        <w:rPr>
          <w:rFonts w:eastAsia="Arial" w:cs="Arial"/>
          <w:szCs w:val="20"/>
        </w:rPr>
      </w:pPr>
      <w:r w:rsidRPr="0028154A">
        <w:rPr>
          <w:bCs/>
          <w:i/>
          <w:iCs/>
          <w:szCs w:val="24"/>
        </w:rPr>
        <w:t>*Costs in £’000s. Rounded to 2s.f.s</w:t>
      </w:r>
    </w:p>
    <w:sectPr w:rsidR="006A2074" w:rsidRPr="006A2074" w:rsidSect="006B49A4">
      <w:pgSz w:w="16838" w:h="11906" w:orient="landscape"/>
      <w:pgMar w:top="1077" w:right="1134" w:bottom="1077" w:left="1134" w:header="227" w:footer="45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lly Lloyd Davies" w:date="2024-10-15T11:05:00Z" w:initials="SL">
    <w:p w14:paraId="3896CC1F" w14:textId="3DC3A714" w:rsidR="00911C0C" w:rsidRDefault="00911C0C" w:rsidP="00911C0C">
      <w:pPr>
        <w:pStyle w:val="CommentText"/>
      </w:pPr>
      <w:r>
        <w:rPr>
          <w:rStyle w:val="CommentReference"/>
        </w:rPr>
        <w:annotationRef/>
      </w:r>
      <w:r>
        <w:t>Are we committing to an ongoing 5 yearly review, or a one off review after 5 years?  Think the preference would be for 1 review, but happy to be guided by Jeremy/ Dee’s advice</w:t>
      </w:r>
    </w:p>
  </w:comment>
  <w:comment w:id="4" w:author="Dipti Kerai" w:date="2024-10-15T12:10:00Z" w:initials="DK">
    <w:p w14:paraId="3746A247" w14:textId="07A17A38" w:rsidR="00463137" w:rsidRDefault="00463137" w:rsidP="00463137">
      <w:pPr>
        <w:pStyle w:val="CommentText"/>
      </w:pPr>
      <w:r>
        <w:rPr>
          <w:rStyle w:val="CommentReference"/>
        </w:rPr>
        <w:annotationRef/>
      </w:r>
      <w:r>
        <w:fldChar w:fldCharType="begin"/>
      </w:r>
      <w:r>
        <w:instrText>HYPERLINK "mailto:Sally.LloydDavies@hse.gov.uk"</w:instrText>
      </w:r>
      <w:bookmarkStart w:id="6" w:name="_@_39016397A42043A2908244844766A7E9Z"/>
      <w:r>
        <w:fldChar w:fldCharType="separate"/>
      </w:r>
      <w:bookmarkEnd w:id="6"/>
      <w:r w:rsidRPr="00463137">
        <w:rPr>
          <w:rStyle w:val="Mention"/>
          <w:noProof/>
        </w:rPr>
        <w:t>@Sally Lloyd Davies</w:t>
      </w:r>
      <w:r>
        <w:fldChar w:fldCharType="end"/>
      </w:r>
      <w:r>
        <w:t xml:space="preserve"> how about we go with this wording, and not commit to statutory review fully at this stage? </w:t>
      </w:r>
      <w:r>
        <w:fldChar w:fldCharType="begin"/>
      </w:r>
      <w:r>
        <w:instrText>HYPERLINK "mailto:Ed.Woolley@hse.gov.uk"</w:instrText>
      </w:r>
      <w:bookmarkStart w:id="7" w:name="_@_2E0AC8F578834D4FB2F3EE40139D596FZ"/>
      <w:r>
        <w:fldChar w:fldCharType="separate"/>
      </w:r>
      <w:bookmarkEnd w:id="7"/>
      <w:r w:rsidRPr="00463137">
        <w:rPr>
          <w:rStyle w:val="Mention"/>
          <w:noProof/>
        </w:rPr>
        <w:t>@Ed Woolley</w:t>
      </w:r>
      <w:r>
        <w:fldChar w:fldCharType="end"/>
      </w:r>
      <w:r>
        <w:t xml:space="preserve"> </w:t>
      </w:r>
    </w:p>
  </w:comment>
  <w:comment w:id="5" w:author="Sally Lloyd Davies [2]" w:date="2024-10-15T12:12:00Z" w:initials="SD">
    <w:p w14:paraId="07C36C67" w14:textId="20E9B2D9" w:rsidR="007A1AA0" w:rsidRDefault="007A1AA0">
      <w:pPr>
        <w:pStyle w:val="CommentText"/>
      </w:pPr>
      <w:r>
        <w:rPr>
          <w:rStyle w:val="CommentReference"/>
        </w:rPr>
        <w:annotationRef/>
      </w:r>
      <w:r w:rsidRPr="19A7E391">
        <w:t xml:space="preserve">Happy with this proposed wording as provides flexibility at this stage for us to consider as this work progresses.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6CC1F" w15:done="1"/>
  <w15:commentEx w15:paraId="3746A247" w15:paraIdParent="3896CC1F" w15:done="1"/>
  <w15:commentEx w15:paraId="07C36C67" w15:paraIdParent="3896CC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8CAFB" w16cex:dateUtc="2024-10-15T10:05:00Z"/>
  <w16cex:commentExtensible w16cex:durableId="2AB8DA4E" w16cex:dateUtc="2024-10-15T11:10:00Z"/>
  <w16cex:commentExtensible w16cex:durableId="5634F490" w16cex:dateUtc="2024-10-1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6CC1F" w16cid:durableId="2AB8CAFB"/>
  <w16cid:commentId w16cid:paraId="3746A247" w16cid:durableId="2AB8DA4E"/>
  <w16cid:commentId w16cid:paraId="07C36C67" w16cid:durableId="5634F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C1DA" w14:textId="77777777" w:rsidR="004C62DB" w:rsidRDefault="004C62DB">
      <w:pPr>
        <w:spacing w:after="0" w:line="240" w:lineRule="auto"/>
      </w:pPr>
      <w:r>
        <w:separator/>
      </w:r>
    </w:p>
  </w:endnote>
  <w:endnote w:type="continuationSeparator" w:id="0">
    <w:p w14:paraId="277C5095" w14:textId="77777777" w:rsidR="004C62DB" w:rsidRDefault="004C62DB">
      <w:pPr>
        <w:spacing w:after="0" w:line="240" w:lineRule="auto"/>
      </w:pPr>
      <w:r>
        <w:continuationSeparator/>
      </w:r>
    </w:p>
  </w:endnote>
  <w:endnote w:type="continuationNotice" w:id="1">
    <w:p w14:paraId="25583B87" w14:textId="77777777" w:rsidR="004C62DB" w:rsidRDefault="004C6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684543"/>
      <w:docPartObj>
        <w:docPartGallery w:val="Page Numbers (Bottom of Page)"/>
        <w:docPartUnique/>
      </w:docPartObj>
    </w:sdtPr>
    <w:sdtEndPr>
      <w:rPr>
        <w:noProof/>
      </w:rPr>
    </w:sdtEndPr>
    <w:sdtContent>
      <w:p w14:paraId="2237665B" w14:textId="77777777" w:rsidR="00B32D32" w:rsidRDefault="00B32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E71B9" w14:textId="77777777" w:rsidR="00B32D32" w:rsidRDefault="00B3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59191"/>
      <w:docPartObj>
        <w:docPartGallery w:val="Page Numbers (Bottom of Page)"/>
        <w:docPartUnique/>
      </w:docPartObj>
    </w:sdtPr>
    <w:sdtEndPr>
      <w:rPr>
        <w:noProof/>
      </w:rPr>
    </w:sdtEndPr>
    <w:sdtContent>
      <w:p w14:paraId="3A984406" w14:textId="12F4E43B" w:rsidR="00D77350" w:rsidRDefault="00D77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B96E0" w14:textId="77777777" w:rsidR="005D199C" w:rsidRDefault="005D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905A" w14:textId="77777777" w:rsidR="004C62DB" w:rsidRDefault="004C62DB">
      <w:pPr>
        <w:spacing w:after="0" w:line="240" w:lineRule="auto"/>
      </w:pPr>
      <w:r>
        <w:separator/>
      </w:r>
    </w:p>
  </w:footnote>
  <w:footnote w:type="continuationSeparator" w:id="0">
    <w:p w14:paraId="4572FD5F" w14:textId="77777777" w:rsidR="004C62DB" w:rsidRDefault="004C62DB">
      <w:pPr>
        <w:spacing w:after="0" w:line="240" w:lineRule="auto"/>
      </w:pPr>
      <w:r>
        <w:continuationSeparator/>
      </w:r>
    </w:p>
  </w:footnote>
  <w:footnote w:type="continuationNotice" w:id="1">
    <w:p w14:paraId="2707DFB9" w14:textId="77777777" w:rsidR="004C62DB" w:rsidRDefault="004C62DB">
      <w:pPr>
        <w:spacing w:after="0" w:line="240" w:lineRule="auto"/>
      </w:pPr>
    </w:p>
  </w:footnote>
  <w:footnote w:id="2">
    <w:p w14:paraId="6C5272A7" w14:textId="77777777" w:rsidR="00176579" w:rsidRPr="003A3736" w:rsidRDefault="00176579" w:rsidP="00176579">
      <w:pPr>
        <w:pStyle w:val="FootnoteText"/>
      </w:pPr>
      <w:r>
        <w:rPr>
          <w:rStyle w:val="FootnoteReference"/>
        </w:rPr>
        <w:footnoteRef/>
      </w:r>
      <w:r>
        <w:t xml:space="preserve"> </w:t>
      </w:r>
      <w:r w:rsidRPr="003A3736">
        <w:t>Government announce funding for the CCUS sector</w:t>
      </w:r>
      <w:hyperlink r:id="rId1" w:history="1">
        <w:r w:rsidRPr="003A3736">
          <w:rPr>
            <w:rStyle w:val="Hyperlink"/>
          </w:rPr>
          <w:t xml:space="preserve"> https://www.gov.uk/government/news/government-reignites-industrial-heartlands-10-days-out-from-the-international-investment-summit)</w:t>
        </w:r>
      </w:hyperlink>
    </w:p>
  </w:footnote>
  <w:footnote w:id="3">
    <w:p w14:paraId="320569FA" w14:textId="77777777" w:rsidR="00176579" w:rsidRPr="003A3736" w:rsidRDefault="00176579" w:rsidP="00176579">
      <w:pPr>
        <w:pStyle w:val="FootnoteText"/>
      </w:pPr>
      <w:r w:rsidRPr="003A3736">
        <w:rPr>
          <w:rStyle w:val="FootnoteReference"/>
        </w:rPr>
        <w:footnoteRef/>
      </w:r>
      <w:r w:rsidRPr="003A3736">
        <w:t xml:space="preserve"> Hydrogen Allocation rounds </w:t>
      </w:r>
      <w:hyperlink r:id="rId2" w:anchor="hydrogen-allocation-round-1-(har1)" w:history="1">
        <w:r w:rsidRPr="003A3736">
          <w:rPr>
            <w:rStyle w:val="Hyperlink"/>
          </w:rPr>
          <w:t>https://www.gov.uk/government/collections/hydrogen-allocation-rounds#hydrogen-allocation-round-1-(har1)</w:t>
        </w:r>
      </w:hyperlink>
      <w:r w:rsidRPr="003A3736">
        <w:t xml:space="preserve">  </w:t>
      </w:r>
    </w:p>
  </w:footnote>
  <w:footnote w:id="4">
    <w:p w14:paraId="5CAE80C0" w14:textId="77777777" w:rsidR="0033537B" w:rsidRDefault="0033537B" w:rsidP="0033537B">
      <w:pPr>
        <w:pStyle w:val="FootnoteText"/>
      </w:pPr>
      <w:r w:rsidRPr="003A3736">
        <w:rPr>
          <w:rStyle w:val="FootnoteReference"/>
        </w:rPr>
        <w:footnoteRef/>
      </w:r>
      <w:r w:rsidRPr="003A3736">
        <w:t xml:space="preserve"> The Health and Safety at Work Act 1974  </w:t>
      </w:r>
      <w:hyperlink r:id="rId3" w:history="1">
        <w:r w:rsidRPr="003A3736">
          <w:rPr>
            <w:rStyle w:val="Hyperlink"/>
          </w:rPr>
          <w:t>https://www.legislation.gov.uk/ukpga/1974/37/contents</w:t>
        </w:r>
      </w:hyperlink>
      <w:r>
        <w:t xml:space="preserve"> </w:t>
      </w:r>
    </w:p>
  </w:footnote>
  <w:footnote w:id="5">
    <w:p w14:paraId="595E36A4" w14:textId="77777777" w:rsidR="0025623A" w:rsidRDefault="0025623A" w:rsidP="0025623A">
      <w:pPr>
        <w:pStyle w:val="FootnoteText"/>
      </w:pPr>
      <w:r>
        <w:rPr>
          <w:rStyle w:val="FootnoteReference"/>
        </w:rPr>
        <w:footnoteRef/>
      </w:r>
      <w:r>
        <w:t xml:space="preserve"> The </w:t>
      </w:r>
      <w:r>
        <w:rPr>
          <w:rFonts w:asciiTheme="minorBidi" w:hAnsiTheme="minorBidi" w:cstheme="minorBidi"/>
          <w:bCs/>
          <w:szCs w:val="24"/>
        </w:rPr>
        <w:t>Climate Change Act 2008</w:t>
      </w:r>
      <w:r>
        <w:t xml:space="preserve"> </w:t>
      </w:r>
      <w:hyperlink r:id="rId4" w:history="1">
        <w:r w:rsidRPr="00E25494">
          <w:rPr>
            <w:rStyle w:val="Hyperlink"/>
          </w:rPr>
          <w:t>https://www.legislation.gov.uk/ukpga/2008/27/contents</w:t>
        </w:r>
      </w:hyperlink>
      <w:r>
        <w:t xml:space="preserve"> </w:t>
      </w:r>
    </w:p>
  </w:footnote>
  <w:footnote w:id="6">
    <w:p w14:paraId="7A8A7EE4" w14:textId="77777777" w:rsidR="00A16597" w:rsidRDefault="00A16597" w:rsidP="00A16597">
      <w:pPr>
        <w:pStyle w:val="FootnoteText"/>
      </w:pPr>
      <w:r>
        <w:rPr>
          <w:rStyle w:val="FootnoteReference"/>
        </w:rPr>
        <w:footnoteRef/>
      </w:r>
      <w:r>
        <w:t xml:space="preserve"> </w:t>
      </w:r>
      <w:r w:rsidRPr="007F0B4E">
        <w:t>Assessment of the major hazard potential of Carbon Dioxide</w:t>
      </w:r>
      <w:r>
        <w:t xml:space="preserve"> </w:t>
      </w:r>
      <w:hyperlink r:id="rId5" w:history="1">
        <w:r w:rsidRPr="00793D5C">
          <w:rPr>
            <w:rStyle w:val="Hyperlink"/>
          </w:rPr>
          <w:t>https://www.hse.gov.uk/carboncapture/major-hazard.htm</w:t>
        </w:r>
      </w:hyperlink>
      <w:r>
        <w:t xml:space="preserve"> </w:t>
      </w:r>
    </w:p>
  </w:footnote>
  <w:footnote w:id="7">
    <w:p w14:paraId="459CE6C2" w14:textId="77777777" w:rsidR="00CF5E4C" w:rsidRDefault="00CF5E4C" w:rsidP="00CF5E4C">
      <w:pPr>
        <w:pStyle w:val="FootnoteText"/>
      </w:pPr>
      <w:r>
        <w:rPr>
          <w:rStyle w:val="FootnoteReference"/>
        </w:rPr>
        <w:footnoteRef/>
      </w:r>
      <w:r>
        <w:t xml:space="preserve"> Failure Investigation Report - Denbury Gulf Coast Pipelines, LLC  </w:t>
      </w:r>
      <w:hyperlink r:id="rId6" w:history="1">
        <w:r w:rsidRPr="0081566D">
          <w:rPr>
            <w:rStyle w:val="Hyperlink"/>
          </w:rPr>
          <w:t>https://www.phmsa.dot.gov/sites/phmsa.dot.gov/files/2022-05/Failure%20Investigation%20Report%20-%20Denbury%20Gulf%20Coast%20Pipeline.pdf</w:t>
        </w:r>
      </w:hyperlink>
      <w:r>
        <w:t xml:space="preserve"> </w:t>
      </w:r>
    </w:p>
  </w:footnote>
  <w:footnote w:id="8">
    <w:p w14:paraId="59C85EEB" w14:textId="77777777" w:rsidR="00CF5E4C" w:rsidRDefault="00CF5E4C" w:rsidP="00CF5E4C">
      <w:pPr>
        <w:pStyle w:val="FootnoteText"/>
      </w:pPr>
      <w:r>
        <w:rPr>
          <w:rStyle w:val="FootnoteReference"/>
        </w:rPr>
        <w:footnoteRef/>
      </w:r>
      <w:r>
        <w:t xml:space="preserve"> </w:t>
      </w:r>
      <w:r w:rsidRPr="0079471C">
        <w:rPr>
          <w:rFonts w:eastAsia="Arial" w:cs="Arial"/>
          <w:szCs w:val="24"/>
        </w:rPr>
        <w:t>Control of Major Hazards Regulations 2015</w:t>
      </w:r>
      <w:r>
        <w:rPr>
          <w:rFonts w:eastAsia="Arial" w:cs="Arial"/>
          <w:szCs w:val="24"/>
        </w:rPr>
        <w:t xml:space="preserve"> </w:t>
      </w:r>
      <w:hyperlink r:id="rId7" w:history="1">
        <w:r w:rsidRPr="00793D5C">
          <w:rPr>
            <w:rStyle w:val="Hyperlink"/>
          </w:rPr>
          <w:t>https://www.legislation.gov.uk/uksi/2015/483/contents</w:t>
        </w:r>
      </w:hyperlink>
      <w:r>
        <w:t xml:space="preserve"> </w:t>
      </w:r>
    </w:p>
  </w:footnote>
  <w:footnote w:id="9">
    <w:p w14:paraId="76EE3DBA" w14:textId="77777777" w:rsidR="00CF5E4C" w:rsidRDefault="00CF5E4C" w:rsidP="00CF5E4C">
      <w:pPr>
        <w:pStyle w:val="FootnoteText"/>
      </w:pPr>
      <w:r>
        <w:rPr>
          <w:rStyle w:val="FootnoteReference"/>
        </w:rPr>
        <w:footnoteRef/>
      </w:r>
      <w:r>
        <w:t xml:space="preserve"> The Pipelines Safety Regulations 1996  </w:t>
      </w:r>
      <w:hyperlink r:id="rId8" w:history="1">
        <w:r w:rsidRPr="00132134">
          <w:rPr>
            <w:rStyle w:val="Hyperlink"/>
          </w:rPr>
          <w:t>https://www.legislation.gov.uk/uksi/1996/825/contents/made</w:t>
        </w:r>
      </w:hyperlink>
      <w:r>
        <w:t xml:space="preserve"> </w:t>
      </w:r>
    </w:p>
  </w:footnote>
  <w:footnote w:id="10">
    <w:p w14:paraId="2CC2F90A" w14:textId="77777777" w:rsidR="00CF5E4C" w:rsidRDefault="00CF5E4C" w:rsidP="00CF5E4C">
      <w:pPr>
        <w:pStyle w:val="FootnoteText"/>
      </w:pPr>
      <w:r>
        <w:rPr>
          <w:rStyle w:val="FootnoteReference"/>
        </w:rPr>
        <w:footnoteRef/>
      </w:r>
      <w:r>
        <w:t xml:space="preserve"> </w:t>
      </w:r>
      <w:r w:rsidRPr="00CD2D30">
        <w:rPr>
          <w:rFonts w:asciiTheme="minorBidi" w:eastAsia="Times New Roman" w:hAnsiTheme="minorBidi" w:cstheme="minorBidi"/>
          <w:szCs w:val="24"/>
        </w:rPr>
        <w:t>The Offshore Installations and Pipeline Works (Management and Administration) Regulations 1995</w:t>
      </w:r>
      <w:r>
        <w:t xml:space="preserve"> </w:t>
      </w:r>
      <w:hyperlink r:id="rId9" w:history="1">
        <w:r w:rsidRPr="00E25494">
          <w:rPr>
            <w:rStyle w:val="Hyperlink"/>
          </w:rPr>
          <w:t>https://www.legislation.gov.uk/uksi/1995/738/contents/made</w:t>
        </w:r>
      </w:hyperlink>
      <w:r>
        <w:t xml:space="preserve"> </w:t>
      </w:r>
    </w:p>
  </w:footnote>
  <w:footnote w:id="11">
    <w:p w14:paraId="4ED8C0D6" w14:textId="77777777" w:rsidR="00CF5E4C" w:rsidRDefault="00CF5E4C" w:rsidP="00CF5E4C">
      <w:pPr>
        <w:pStyle w:val="FootnoteText"/>
      </w:pPr>
      <w:r>
        <w:rPr>
          <w:rStyle w:val="FootnoteReference"/>
        </w:rPr>
        <w:footnoteRef/>
      </w:r>
      <w:r>
        <w:t xml:space="preserve"> </w:t>
      </w:r>
      <w:r w:rsidRPr="00CD2D30">
        <w:rPr>
          <w:rFonts w:asciiTheme="minorBidi" w:eastAsia="Times New Roman" w:hAnsiTheme="minorBidi" w:cstheme="minorBidi"/>
          <w:szCs w:val="24"/>
        </w:rPr>
        <w:t>The Offshore Installations (Offshore Safety Directive) (Safety Case etc) Regulations 2015</w:t>
      </w:r>
      <w:r>
        <w:t xml:space="preserve"> </w:t>
      </w:r>
      <w:hyperlink r:id="rId10" w:history="1">
        <w:r w:rsidRPr="00E25494">
          <w:rPr>
            <w:rStyle w:val="Hyperlink"/>
          </w:rPr>
          <w:t>https://www.legislation.gov.uk/uksi/2015/398/contents/made</w:t>
        </w:r>
      </w:hyperlink>
      <w:r>
        <w:t xml:space="preserve"> </w:t>
      </w:r>
    </w:p>
  </w:footnote>
  <w:footnote w:id="12">
    <w:p w14:paraId="6C6AA12A" w14:textId="77777777" w:rsidR="00CF5E4C" w:rsidRDefault="00CF5E4C" w:rsidP="00CF5E4C">
      <w:pPr>
        <w:pStyle w:val="FootnoteText"/>
      </w:pPr>
      <w:r>
        <w:rPr>
          <w:rStyle w:val="FootnoteReference"/>
        </w:rPr>
        <w:footnoteRef/>
      </w:r>
      <w:r>
        <w:t xml:space="preserve"> </w:t>
      </w:r>
      <w:r w:rsidRPr="00CD2D30">
        <w:rPr>
          <w:rFonts w:asciiTheme="minorBidi" w:eastAsia="Times New Roman" w:hAnsiTheme="minorBidi" w:cstheme="minorBidi"/>
          <w:szCs w:val="24"/>
        </w:rPr>
        <w:t>The Offshore Installations and Wells (Design and Construction, etc.) Regulations 1996</w:t>
      </w:r>
      <w:r>
        <w:t xml:space="preserve"> </w:t>
      </w:r>
      <w:hyperlink r:id="rId11" w:history="1">
        <w:r w:rsidRPr="009D54EE">
          <w:rPr>
            <w:rStyle w:val="Hyperlink"/>
          </w:rPr>
          <w:t>https://www.legislation.gov.uk/uksi/1996/913/contents</w:t>
        </w:r>
      </w:hyperlink>
      <w:r>
        <w:t xml:space="preserve"> </w:t>
      </w:r>
    </w:p>
  </w:footnote>
  <w:footnote w:id="13">
    <w:p w14:paraId="51B5B6C7" w14:textId="77777777" w:rsidR="00CF5E4C" w:rsidRDefault="00CF5E4C" w:rsidP="00CF5E4C">
      <w:pPr>
        <w:pStyle w:val="FootnoteText"/>
      </w:pPr>
      <w:r>
        <w:rPr>
          <w:rStyle w:val="FootnoteReference"/>
        </w:rPr>
        <w:footnoteRef/>
      </w:r>
      <w:r>
        <w:t xml:space="preserve"> </w:t>
      </w:r>
      <w:r w:rsidRPr="00C77E43">
        <w:rPr>
          <w:rFonts w:eastAsia="Arial" w:cs="Arial"/>
          <w:szCs w:val="24"/>
        </w:rPr>
        <w:t>T</w:t>
      </w:r>
      <w:r w:rsidRPr="00C77E43">
        <w:rPr>
          <w:rFonts w:asciiTheme="minorBidi" w:eastAsia="Times New Roman" w:hAnsiTheme="minorBidi" w:cstheme="minorBidi"/>
          <w:szCs w:val="24"/>
        </w:rPr>
        <w:t>he Health and Safety at Work etc. 1974 (Application outside Great Britain) Order 2013</w:t>
      </w:r>
      <w:r>
        <w:rPr>
          <w:rFonts w:asciiTheme="minorBidi" w:eastAsia="Times New Roman" w:hAnsiTheme="minorBidi" w:cstheme="minorBidi"/>
          <w:szCs w:val="24"/>
          <w:u w:val="single"/>
        </w:rPr>
        <w:t xml:space="preserve"> </w:t>
      </w:r>
      <w:hyperlink r:id="rId12" w:history="1">
        <w:r w:rsidRPr="001A77C6">
          <w:rPr>
            <w:rStyle w:val="Hyperlink"/>
          </w:rPr>
          <w:t>https://www.legislation.gov.uk/uksi/2013/240/contents/made</w:t>
        </w:r>
      </w:hyperlink>
      <w:r>
        <w:t xml:space="preserve"> </w:t>
      </w:r>
    </w:p>
  </w:footnote>
  <w:footnote w:id="14">
    <w:p w14:paraId="52C04FE6" w14:textId="77777777" w:rsidR="00752100" w:rsidRDefault="00752100" w:rsidP="00752100">
      <w:pPr>
        <w:pStyle w:val="FootnoteText"/>
      </w:pPr>
      <w:r>
        <w:rPr>
          <w:rStyle w:val="FootnoteReference"/>
        </w:rPr>
        <w:footnoteRef/>
      </w:r>
      <w:r>
        <w:t xml:space="preserve"> The </w:t>
      </w:r>
      <w:r w:rsidRPr="00752100">
        <w:t>Pipelines Safety Regulations 1996</w:t>
      </w:r>
    </w:p>
  </w:footnote>
  <w:footnote w:id="15">
    <w:p w14:paraId="5E943E2D" w14:textId="77777777" w:rsidR="00974DB3" w:rsidRDefault="00974DB3" w:rsidP="00974DB3">
      <w:pPr>
        <w:pStyle w:val="FootnoteText"/>
      </w:pPr>
      <w:r>
        <w:rPr>
          <w:rStyle w:val="FootnoteReference"/>
        </w:rPr>
        <w:footnoteRef/>
      </w:r>
      <w:r>
        <w:t xml:space="preserve"> HSE Strategy - </w:t>
      </w:r>
      <w:r w:rsidRPr="00C77E43">
        <w:rPr>
          <w:rFonts w:asciiTheme="minorBidi" w:hAnsiTheme="minorBidi" w:cstheme="minorBidi"/>
        </w:rPr>
        <w:t>Protecting People and Places</w:t>
      </w:r>
      <w:r>
        <w:t xml:space="preserve"> </w:t>
      </w:r>
      <w:hyperlink r:id="rId13" w:history="1">
        <w:r w:rsidRPr="001A77C6">
          <w:rPr>
            <w:rStyle w:val="Hyperlink"/>
          </w:rPr>
          <w:t>https://www.hse.gov.uk/aboutus/assets/docs/the-hse-strategy.pdf</w:t>
        </w:r>
      </w:hyperlink>
      <w:r>
        <w:t xml:space="preserve"> </w:t>
      </w:r>
    </w:p>
  </w:footnote>
  <w:footnote w:id="16">
    <w:p w14:paraId="494C1E4A" w14:textId="77777777" w:rsidR="00D17F2A" w:rsidRDefault="00D17F2A" w:rsidP="00D17F2A">
      <w:pPr>
        <w:pStyle w:val="FootnoteText"/>
      </w:pPr>
      <w:r>
        <w:rPr>
          <w:rStyle w:val="FootnoteReference"/>
        </w:rPr>
        <w:footnoteRef/>
      </w:r>
      <w:r>
        <w:t xml:space="preserve"> </w:t>
      </w:r>
      <w:r w:rsidRPr="001078B8">
        <w:t>The Management of Health and Safety at Work Regulations 1999 require employers to make a suitable and sufficient assessment of the risks their workers and other people likely to be affected by their work activity are exposed to in the workplace.</w:t>
      </w:r>
    </w:p>
  </w:footnote>
  <w:footnote w:id="17">
    <w:p w14:paraId="128E082E" w14:textId="128E9AFB" w:rsidR="00EF42C8" w:rsidRDefault="00EF42C8" w:rsidP="00EF42C8">
      <w:pPr>
        <w:pStyle w:val="FootnoteText"/>
      </w:pPr>
      <w:r w:rsidRPr="7C4FA1CF">
        <w:rPr>
          <w:rStyle w:val="FootnoteReference"/>
        </w:rPr>
        <w:footnoteRef/>
      </w:r>
      <w:r>
        <w:t xml:space="preserve"> </w:t>
      </w:r>
      <w:r w:rsidRPr="00A3795A">
        <w:t>ONR - How We Regulate</w:t>
      </w:r>
      <w:r w:rsidR="00A3795A">
        <w:rPr>
          <w:rStyle w:val="Hyperlink"/>
        </w:rPr>
        <w:t xml:space="preserve"> </w:t>
      </w:r>
      <w:r w:rsidR="00A3795A" w:rsidRPr="00A3795A">
        <w:rPr>
          <w:rStyle w:val="Hyperlink"/>
        </w:rPr>
        <w:t>https://www.onr.org.uk/our-work/how-we-regulate/</w:t>
      </w:r>
    </w:p>
  </w:footnote>
  <w:footnote w:id="18">
    <w:p w14:paraId="6DDC941E" w14:textId="3E2C98E5" w:rsidR="00EF42C8" w:rsidRDefault="00EF42C8" w:rsidP="00EF42C8">
      <w:pPr>
        <w:pStyle w:val="FootnoteText"/>
      </w:pPr>
      <w:r w:rsidRPr="7C4FA1CF">
        <w:rPr>
          <w:rStyle w:val="FootnoteReference"/>
        </w:rPr>
        <w:footnoteRef/>
      </w:r>
      <w:r>
        <w:t xml:space="preserve"> </w:t>
      </w:r>
      <w:hyperlink r:id="rId14" w:history="1">
        <w:r w:rsidR="003B7207">
          <w:rPr>
            <w:rStyle w:val="Hyperlink"/>
          </w:rPr>
          <w:t>ONR - Licence Condition Handbook</w:t>
        </w:r>
      </w:hyperlink>
    </w:p>
  </w:footnote>
  <w:footnote w:id="19">
    <w:p w14:paraId="0B4F86B2" w14:textId="05CA3C85" w:rsidR="00B511DC" w:rsidRDefault="00B511DC">
      <w:pPr>
        <w:pStyle w:val="FootnoteText"/>
      </w:pPr>
      <w:r>
        <w:rPr>
          <w:rStyle w:val="FootnoteReference"/>
        </w:rPr>
        <w:footnoteRef/>
      </w:r>
      <w:r>
        <w:t xml:space="preserve"> </w:t>
      </w:r>
      <w:hyperlink r:id="rId15" w:anchor="definition-of-an-sme" w:history="1">
        <w:r>
          <w:rPr>
            <w:rStyle w:val="Hyperlink"/>
          </w:rPr>
          <w:t>BEIS small and medium enterprises (SMEs) action plan: 2022 to 2025 (accessible webpage) - GOV.UK</w:t>
        </w:r>
      </w:hyperlink>
    </w:p>
  </w:footnote>
  <w:footnote w:id="20">
    <w:p w14:paraId="489F13FE" w14:textId="77777777" w:rsidR="007D24A3" w:rsidRDefault="007D24A3" w:rsidP="007D24A3">
      <w:pPr>
        <w:pStyle w:val="FootnoteText"/>
      </w:pPr>
      <w:r>
        <w:rPr>
          <w:rStyle w:val="FootnoteReference"/>
        </w:rPr>
        <w:footnoteRef/>
      </w:r>
      <w:r>
        <w:t xml:space="preserve"> </w:t>
      </w:r>
      <w:hyperlink r:id="rId16" w:history="1">
        <w:r>
          <w:rPr>
            <w:rStyle w:val="Hyperlink"/>
          </w:rPr>
          <w:t>Health and safety basics for your business</w:t>
        </w:r>
      </w:hyperlink>
    </w:p>
  </w:footnote>
  <w:footnote w:id="21">
    <w:p w14:paraId="19CECB6C" w14:textId="77777777" w:rsidR="007D24A3" w:rsidRDefault="007D24A3" w:rsidP="007D24A3">
      <w:pPr>
        <w:pStyle w:val="FootnoteText"/>
      </w:pPr>
      <w:r>
        <w:rPr>
          <w:rStyle w:val="FootnoteReference"/>
        </w:rPr>
        <w:footnoteRef/>
      </w:r>
      <w:r>
        <w:t xml:space="preserve"> </w:t>
      </w:r>
      <w:hyperlink r:id="rId17" w:history="1">
        <w:r>
          <w:rPr>
            <w:rStyle w:val="Hyperlink"/>
          </w:rPr>
          <w:t>What do I need to do? - Chemical classification</w:t>
        </w:r>
      </w:hyperlink>
    </w:p>
  </w:footnote>
  <w:footnote w:id="22">
    <w:p w14:paraId="55400B3F" w14:textId="77777777" w:rsidR="00C70306" w:rsidRDefault="00C70306" w:rsidP="00C70306">
      <w:pPr>
        <w:pStyle w:val="FootnoteText"/>
      </w:pPr>
      <w:r>
        <w:rPr>
          <w:rStyle w:val="FootnoteReference"/>
        </w:rPr>
        <w:footnoteRef/>
      </w:r>
      <w:r>
        <w:t xml:space="preserve"> </w:t>
      </w:r>
      <w:hyperlink r:id="rId18" w:history="1">
        <w:r>
          <w:rPr>
            <w:rStyle w:val="Hyperlink"/>
          </w:rPr>
          <w:t>East Coast Cluster</w:t>
        </w:r>
      </w:hyperlink>
    </w:p>
  </w:footnote>
  <w:footnote w:id="23">
    <w:p w14:paraId="14FC6381" w14:textId="77777777" w:rsidR="00C70306" w:rsidRDefault="00C70306" w:rsidP="00C70306">
      <w:pPr>
        <w:pStyle w:val="FootnoteText"/>
      </w:pPr>
      <w:r>
        <w:rPr>
          <w:rStyle w:val="FootnoteReference"/>
        </w:rPr>
        <w:footnoteRef/>
      </w:r>
      <w:r>
        <w:t xml:space="preserve"> </w:t>
      </w:r>
      <w:hyperlink r:id="rId19" w:history="1">
        <w:r>
          <w:rPr>
            <w:rStyle w:val="Hyperlink"/>
          </w:rPr>
          <w:t>Partners &amp; Funding - Hy Net</w:t>
        </w:r>
      </w:hyperlink>
    </w:p>
  </w:footnote>
  <w:footnote w:id="24">
    <w:p w14:paraId="318209C1" w14:textId="77777777" w:rsidR="00C70306" w:rsidRDefault="00C70306" w:rsidP="00C70306">
      <w:pPr>
        <w:pStyle w:val="FootnoteText"/>
      </w:pPr>
      <w:r>
        <w:rPr>
          <w:rStyle w:val="FootnoteReference"/>
        </w:rPr>
        <w:footnoteRef/>
      </w:r>
      <w:r>
        <w:t xml:space="preserve"> </w:t>
      </w:r>
      <w:hyperlink r:id="rId20" w:history="1">
        <w:r>
          <w:rPr>
            <w:rStyle w:val="Hyperlink"/>
          </w:rPr>
          <w:t>Hydrogen Production Business Model / Net Zero Hydrogen Fund: HAR1 successful projects (published December 2023) - GOV.UK</w:t>
        </w:r>
      </w:hyperlink>
    </w:p>
  </w:footnote>
  <w:footnote w:id="25">
    <w:p w14:paraId="61F5E12B" w14:textId="77777777" w:rsidR="00641388" w:rsidRDefault="00641388" w:rsidP="00641388">
      <w:pPr>
        <w:pStyle w:val="FootnoteText"/>
      </w:pPr>
      <w:r>
        <w:rPr>
          <w:rStyle w:val="FootnoteReference"/>
        </w:rPr>
        <w:footnoteRef/>
      </w:r>
      <w:r>
        <w:t xml:space="preserve"> </w:t>
      </w:r>
      <w:r w:rsidRPr="00DB2B0D">
        <w:t>https://assets.publishing.service.gov.uk/media/5d67a8c240f0b607c23ad897/RPC_Small_and_Micro_Business_Assessment__SaMBA___August_2019.pdf</w:t>
      </w:r>
    </w:p>
  </w:footnote>
  <w:footnote w:id="26">
    <w:p w14:paraId="30CC1FB0" w14:textId="77777777" w:rsidR="00641388" w:rsidRDefault="00641388" w:rsidP="00641388">
      <w:pPr>
        <w:pStyle w:val="FootnoteText"/>
      </w:pPr>
      <w:r>
        <w:rPr>
          <w:rStyle w:val="FootnoteReference"/>
        </w:rPr>
        <w:footnoteRef/>
      </w:r>
      <w:r>
        <w:t xml:space="preserve"> </w:t>
      </w:r>
      <w:hyperlink r:id="rId21" w:history="1">
        <w:r w:rsidRPr="004E7024">
          <w:rPr>
            <w:rStyle w:val="Hyperlink"/>
          </w:rPr>
          <w:t>https://www.ons.gov.uk/businessindustryandtrade/business/activitysizeandlocation/datasets/ukbusinessactivitysizeandlocation</w:t>
        </w:r>
      </w:hyperlink>
      <w:r>
        <w:t xml:space="preserve"> </w:t>
      </w:r>
    </w:p>
  </w:footnote>
  <w:footnote w:id="27">
    <w:p w14:paraId="4A9CDF0C" w14:textId="77777777" w:rsidR="00755E05" w:rsidRDefault="00755E05" w:rsidP="00755E05">
      <w:pPr>
        <w:pStyle w:val="FootnoteText"/>
      </w:pPr>
      <w:r>
        <w:rPr>
          <w:rStyle w:val="FootnoteReference"/>
        </w:rPr>
        <w:footnoteRef/>
      </w:r>
      <w:r>
        <w:t xml:space="preserve"> </w:t>
      </w:r>
      <w:r w:rsidRPr="00AA2E25">
        <w:t>https://view.officeapps.live.com/op/view.aspx?src=https%3A%2F%2Fassets.publishing.service.gov.uk%2Fmedia%2F66f554dcc71e42688b65ecd3%2FBPE_2024_detailed_tables.xlsx&amp;wdOrigin=BROWSELINK</w:t>
      </w:r>
    </w:p>
  </w:footnote>
  <w:footnote w:id="28">
    <w:p w14:paraId="7CFC7F50" w14:textId="77777777" w:rsidR="00EC3CEB" w:rsidRDefault="00EC3CEB" w:rsidP="00EC3CEB">
      <w:pPr>
        <w:pStyle w:val="FootnoteText"/>
      </w:pPr>
      <w:r w:rsidRPr="47CED1AC">
        <w:rPr>
          <w:rStyle w:val="FootnoteReference"/>
        </w:rPr>
        <w:footnoteRef/>
      </w:r>
      <w:r>
        <w:t xml:space="preserve"> Business Population Estimates Table 6, ibid</w:t>
      </w:r>
    </w:p>
  </w:footnote>
  <w:footnote w:id="29">
    <w:p w14:paraId="710624A0" w14:textId="6E813678" w:rsidR="00E55F5B" w:rsidRDefault="00E55F5B">
      <w:pPr>
        <w:pStyle w:val="FootnoteText"/>
      </w:pPr>
      <w:r>
        <w:rPr>
          <w:rStyle w:val="FootnoteReference"/>
        </w:rPr>
        <w:footnoteRef/>
      </w:r>
      <w:r>
        <w:t xml:space="preserve"> </w:t>
      </w:r>
      <w:hyperlink r:id="rId22" w:anchor=":~:text=With%20capacity%20to%20safely%20store%20up%20to%2078#:~:text=With%20capacity%20to%20safely%20store%20up%20to%2078" w:history="1">
        <w:r w:rsidR="00FD10ED">
          <w:rPr>
            <w:rStyle w:val="Hyperlink"/>
          </w:rPr>
          <w:t>Carbon Capture, Usage and Storage: a vision to establish a competitive market - GOV.UK (www.gov.uk)</w:t>
        </w:r>
      </w:hyperlink>
    </w:p>
  </w:footnote>
  <w:footnote w:id="30">
    <w:p w14:paraId="14E417C9" w14:textId="77777777" w:rsidR="00B75D83" w:rsidRDefault="00B75D83" w:rsidP="00B75D83">
      <w:pPr>
        <w:pStyle w:val="FootnoteText"/>
      </w:pPr>
      <w:r>
        <w:rPr>
          <w:rStyle w:val="FootnoteReference"/>
        </w:rPr>
        <w:footnoteRef/>
      </w:r>
      <w:r>
        <w:t xml:space="preserve"> </w:t>
      </w:r>
      <w:r w:rsidRPr="005004EA">
        <w:t>https://eur-lex.europa.eu/LexUriServ/LexUriServ.do?uri=OJ:L:2013:178:0066:0106:en:PDF</w:t>
      </w:r>
    </w:p>
  </w:footnote>
  <w:footnote w:id="31">
    <w:p w14:paraId="23EFCD80" w14:textId="0171F441" w:rsidR="00E560A9" w:rsidRDefault="00E560A9">
      <w:pPr>
        <w:pStyle w:val="FootnoteText"/>
      </w:pPr>
      <w:r>
        <w:rPr>
          <w:rStyle w:val="FootnoteReference"/>
        </w:rPr>
        <w:footnoteRef/>
      </w:r>
      <w:r>
        <w:t xml:space="preserve"> </w:t>
      </w:r>
      <w:r w:rsidR="0048553E" w:rsidRPr="00621074">
        <w:t>NSTA Interactive Map</w:t>
      </w:r>
      <w:r w:rsidR="00621074">
        <w:rPr>
          <w:rStyle w:val="Hyperlink"/>
        </w:rPr>
        <w:t xml:space="preserve"> </w:t>
      </w:r>
      <w:r w:rsidR="00621074" w:rsidRPr="00621074">
        <w:rPr>
          <w:rStyle w:val="Hyperlink"/>
        </w:rPr>
        <w:t>https://www.arcgis.com/apps/webappviewer/index.html?id=cb3474a78df24139b1651908ff8c8975</w:t>
      </w:r>
    </w:p>
  </w:footnote>
  <w:footnote w:id="32">
    <w:p w14:paraId="604955BA" w14:textId="27D384EE" w:rsidR="00A87559" w:rsidRPr="00A87559" w:rsidRDefault="00A87559">
      <w:pPr>
        <w:pStyle w:val="FootnoteText"/>
      </w:pPr>
      <w:r>
        <w:rPr>
          <w:rStyle w:val="FootnoteReference"/>
        </w:rPr>
        <w:footnoteRef/>
      </w:r>
      <w:r w:rsidRPr="00A87559">
        <w:t xml:space="preserve"> T</w:t>
      </w:r>
      <w:r w:rsidRPr="00D17F2A">
        <w:t>his means the initial pr</w:t>
      </w:r>
      <w:r>
        <w:t>eparation and submission of the design notification and safety case.</w:t>
      </w:r>
      <w:r w:rsidR="00642421">
        <w:t xml:space="preserve"> This is the point at which the operator begins incurring costs </w:t>
      </w:r>
      <w:r w:rsidR="004267F6">
        <w:t xml:space="preserve">relating to the regulations under consideration. </w:t>
      </w:r>
      <w:r w:rsidR="00D54B12">
        <w:t>The installations would not necessarily become fully operational in this period.</w:t>
      </w:r>
    </w:p>
  </w:footnote>
  <w:footnote w:id="33">
    <w:p w14:paraId="473EED34" w14:textId="4784B5EF" w:rsidR="00B82D38" w:rsidRDefault="00B82D38">
      <w:pPr>
        <w:pStyle w:val="FootnoteText"/>
      </w:pPr>
      <w:r>
        <w:rPr>
          <w:rStyle w:val="FootnoteReference"/>
        </w:rPr>
        <w:footnoteRef/>
      </w:r>
      <w:r>
        <w:t xml:space="preserve"> </w:t>
      </w:r>
      <w:r w:rsidR="00006F31" w:rsidRPr="00787155">
        <w:t>Piper Alpha: Lessons Learnt, 2008. Oil &amp; Gas UK</w:t>
      </w:r>
      <w:r w:rsidR="00787155" w:rsidRPr="00787155">
        <w:t>,</w:t>
      </w:r>
      <w:r w:rsidR="00787155" w:rsidRPr="00787155">
        <w:rPr>
          <w:u w:val="single"/>
        </w:rPr>
        <w:t xml:space="preserve"> </w:t>
      </w:r>
      <w:r w:rsidR="00787155" w:rsidRPr="00787155">
        <w:rPr>
          <w:color w:val="0000FF"/>
          <w:u w:val="single"/>
        </w:rPr>
        <w:t>https://web.archive.org/web/20131004232924/http:/www.oilandgasuk.co.uk/cmsfiles/modules/publications/pdfs/HS048.pdf</w:t>
      </w:r>
    </w:p>
  </w:footnote>
  <w:footnote w:id="34">
    <w:p w14:paraId="7DAA3580" w14:textId="3557AB90" w:rsidR="001D3D83" w:rsidRDefault="001D3D83">
      <w:pPr>
        <w:pStyle w:val="FootnoteText"/>
      </w:pPr>
      <w:r>
        <w:rPr>
          <w:rStyle w:val="FootnoteReference"/>
        </w:rPr>
        <w:footnoteRef/>
      </w:r>
      <w:r>
        <w:t xml:space="preserve"> </w:t>
      </w:r>
      <w:r w:rsidR="00E560A9" w:rsidRPr="00621074">
        <w:t>HSE: Economics of Health and safety - Appraisal values or 'unit costs'</w:t>
      </w:r>
      <w:r w:rsidR="00621074">
        <w:rPr>
          <w:rStyle w:val="Hyperlink"/>
        </w:rPr>
        <w:t xml:space="preserve"> </w:t>
      </w:r>
      <w:r w:rsidR="00621074" w:rsidRPr="00621074">
        <w:rPr>
          <w:rStyle w:val="Hyperlink"/>
        </w:rPr>
        <w:t>https://www.hse.gov.uk/statistics/economics/eauappraisal.htm</w:t>
      </w:r>
    </w:p>
  </w:footnote>
  <w:footnote w:id="35">
    <w:p w14:paraId="2F450436" w14:textId="370E4AEB" w:rsidR="005B0C03" w:rsidRDefault="005B0C03">
      <w:pPr>
        <w:pStyle w:val="FootnoteText"/>
      </w:pPr>
      <w:r>
        <w:rPr>
          <w:rStyle w:val="FootnoteReference"/>
        </w:rPr>
        <w:footnoteRef/>
      </w:r>
      <w:r>
        <w:t xml:space="preserve"> </w:t>
      </w:r>
      <w:r w:rsidRPr="005B0C03">
        <w:t>A ‘well kill’ involves stopping a bore hole with heavy fluids to prevent further release.</w:t>
      </w:r>
    </w:p>
  </w:footnote>
  <w:footnote w:id="36">
    <w:p w14:paraId="616EC121" w14:textId="00147501" w:rsidR="00F25398" w:rsidRDefault="00F25398">
      <w:pPr>
        <w:pStyle w:val="FootnoteText"/>
      </w:pPr>
      <w:r>
        <w:rPr>
          <w:rStyle w:val="FootnoteReference"/>
        </w:rPr>
        <w:footnoteRef/>
      </w:r>
      <w:r>
        <w:t xml:space="preserve"> </w:t>
      </w:r>
      <w:r w:rsidRPr="00621074">
        <w:t>Elgin gas leak in North Sea costing Total $1.5m a day - BBC News</w:t>
      </w:r>
      <w:r w:rsidR="00621074">
        <w:rPr>
          <w:rStyle w:val="Hyperlink"/>
        </w:rPr>
        <w:t xml:space="preserve"> </w:t>
      </w:r>
      <w:r w:rsidR="00621074" w:rsidRPr="00621074">
        <w:rPr>
          <w:rStyle w:val="Hyperlink"/>
        </w:rPr>
        <w:t>https://www.bbc.co.uk/news/uk-scotland-north-east-orkney-shetland-17581994#:~:text=The%20North%20Sea%20gas%20leak%20is%20costing%20oil</w:t>
      </w:r>
    </w:p>
  </w:footnote>
  <w:footnote w:id="37">
    <w:p w14:paraId="3BEFECCD" w14:textId="2E975047" w:rsidR="009F0679" w:rsidRDefault="009F0679">
      <w:pPr>
        <w:pStyle w:val="FootnoteText"/>
      </w:pPr>
      <w:r>
        <w:rPr>
          <w:rStyle w:val="FootnoteReference"/>
        </w:rPr>
        <w:footnoteRef/>
      </w:r>
      <w:r>
        <w:t xml:space="preserve"> </w:t>
      </w:r>
      <w:r w:rsidR="005A5B46">
        <w:t>A material change is likely to be one that changes the basis on which the original safety case was accepted.</w:t>
      </w:r>
      <w:r w:rsidR="002F1108">
        <w:t xml:space="preserve"> Possible material changes could include significant changes to hydrocarbon inventory, additional equipment and structure weight, equipment layout or staffing philosophy.</w:t>
      </w:r>
    </w:p>
  </w:footnote>
  <w:footnote w:id="38">
    <w:p w14:paraId="74C510AA" w14:textId="19485238" w:rsidR="00B2767F" w:rsidRDefault="00B2767F">
      <w:pPr>
        <w:pStyle w:val="FootnoteText"/>
      </w:pPr>
      <w:r>
        <w:rPr>
          <w:rStyle w:val="FootnoteReference"/>
        </w:rPr>
        <w:footnoteRef/>
      </w:r>
      <w:r>
        <w:t xml:space="preserve"> </w:t>
      </w:r>
      <w:r w:rsidR="00532D75">
        <w:t>Material changes are changes to particulars in the original well notification that affect the hazards as described</w:t>
      </w:r>
      <w:r w:rsidR="009F0679">
        <w:t xml:space="preserve"> e.g. changes to the particulars of fluids, plant, equipment, well path, well design, procedures or management arrangements</w:t>
      </w:r>
      <w:r w:rsidR="00532D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8586" w14:textId="1BCB10EF" w:rsidR="00B32D32" w:rsidRPr="00266A33" w:rsidRDefault="00B32D32">
    <w:pPr>
      <w:jc w:val="center"/>
      <w:rPr>
        <w:color w:val="C00000"/>
        <w:szCs w:val="24"/>
      </w:rPr>
    </w:pPr>
  </w:p>
  <w:p w14:paraId="261F34B6" w14:textId="77777777" w:rsidR="00B32D32" w:rsidRDefault="00B32D32" w:rsidP="009F318D">
    <w:pPr>
      <w:tabs>
        <w:tab w:val="left" w:pos="43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9241" w14:textId="30143FF1" w:rsidR="005D199C" w:rsidRPr="005D42F7" w:rsidRDefault="005D199C" w:rsidP="00A110FE">
    <w:pPr>
      <w:jc w:val="center"/>
      <w:rPr>
        <w:color w:val="C00000"/>
      </w:rPr>
    </w:pPr>
  </w:p>
</w:hdr>
</file>

<file path=word/intelligence2.xml><?xml version="1.0" encoding="utf-8"?>
<int2:intelligence xmlns:int2="http://schemas.microsoft.com/office/intelligence/2020/intelligence" xmlns:oel="http://schemas.microsoft.com/office/2019/extlst">
  <int2:observations>
    <int2:textHash int2:hashCode="lFCd34XMP4zDev" int2:id="zANFW6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71"/>
    <w:multiLevelType w:val="hybridMultilevel"/>
    <w:tmpl w:val="434C0D54"/>
    <w:lvl w:ilvl="0" w:tplc="FFFFFFFF">
      <w:start w:val="1"/>
      <w:numFmt w:val="decimal"/>
      <w:lvlText w:val="%1."/>
      <w:lvlJc w:val="left"/>
      <w:pPr>
        <w:ind w:left="360" w:hanging="360"/>
      </w:pPr>
      <w:rPr>
        <w:b w:val="0"/>
        <w:bCs w:val="0"/>
        <w:i w:val="0"/>
        <w:iCs w:val="0"/>
        <w:u w:val="none"/>
      </w:rPr>
    </w:lvl>
    <w:lvl w:ilvl="1" w:tplc="FFFFFFFF">
      <w:start w:val="1"/>
      <w:numFmt w:val="lowerLetter"/>
      <w:lvlText w:val="%2."/>
      <w:lvlJc w:val="left"/>
      <w:pPr>
        <w:ind w:left="1440" w:hanging="360"/>
      </w:pPr>
      <w:rPr>
        <w:b w:val="0"/>
        <w:bCs/>
      </w:r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9734C"/>
    <w:multiLevelType w:val="hybridMultilevel"/>
    <w:tmpl w:val="48A8CB7A"/>
    <w:lvl w:ilvl="0" w:tplc="E144810C">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E94565"/>
    <w:multiLevelType w:val="hybridMultilevel"/>
    <w:tmpl w:val="E70C7E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5120F"/>
    <w:multiLevelType w:val="multilevel"/>
    <w:tmpl w:val="E8A486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497" w:hanging="504"/>
      </w:pPr>
      <w:rPr>
        <w:rFonts w:hint="default"/>
        <w:b w:val="0"/>
        <w:bCs w:val="0"/>
      </w:rPr>
    </w:lvl>
    <w:lvl w:ilvl="3">
      <w:start w:val="1"/>
      <w:numFmt w:val="lowerLetter"/>
      <w:lvlText w:val="%4)"/>
      <w:lvlJc w:val="left"/>
      <w:pPr>
        <w:ind w:left="1440" w:hanging="360"/>
      </w:pPr>
      <w:rPr>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D7279"/>
    <w:multiLevelType w:val="multilevel"/>
    <w:tmpl w:val="C1E851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sz w:val="24"/>
        <w:szCs w:val="24"/>
      </w:rPr>
    </w:lvl>
    <w:lvl w:ilvl="2">
      <w:start w:val="1"/>
      <w:numFmt w:val="decimal"/>
      <w:suff w:val="space"/>
      <w:lvlText w:val="%1.%2.%3."/>
      <w:lvlJc w:val="left"/>
      <w:pPr>
        <w:ind w:left="1497" w:hanging="504"/>
      </w:pPr>
      <w:rPr>
        <w:rFonts w:hint="default"/>
        <w:b w:val="0"/>
        <w:bCs w:val="0"/>
      </w:rPr>
    </w:lvl>
    <w:lvl w:ilvl="3">
      <w:start w:val="1"/>
      <w:numFmt w:val="lowerLetter"/>
      <w:lvlText w:val="%4)"/>
      <w:lvlJc w:val="left"/>
      <w:pPr>
        <w:ind w:left="1440" w:hanging="360"/>
      </w:pPr>
      <w:rPr>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70268A"/>
    <w:multiLevelType w:val="hybridMultilevel"/>
    <w:tmpl w:val="7D220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E179F9"/>
    <w:multiLevelType w:val="hybridMultilevel"/>
    <w:tmpl w:val="6FEAD276"/>
    <w:lvl w:ilvl="0" w:tplc="79DC922C">
      <w:start w:val="1"/>
      <w:numFmt w:val="lowerLetter"/>
      <w:lvlText w:val="%1)"/>
      <w:lvlJc w:val="left"/>
      <w:pPr>
        <w:ind w:left="1356" w:hanging="360"/>
      </w:pPr>
      <w:rPr>
        <w:b w:val="0"/>
        <w:bCs w:val="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7" w15:restartNumberingAfterBreak="0">
    <w:nsid w:val="2A64003D"/>
    <w:multiLevelType w:val="hybridMultilevel"/>
    <w:tmpl w:val="93D8693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2B39521C"/>
    <w:multiLevelType w:val="hybridMultilevel"/>
    <w:tmpl w:val="8604A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B0A8D"/>
    <w:multiLevelType w:val="hybridMultilevel"/>
    <w:tmpl w:val="7542F4DC"/>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0D50628"/>
    <w:multiLevelType w:val="multilevel"/>
    <w:tmpl w:val="5AB445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87D97"/>
    <w:multiLevelType w:val="hybridMultilevel"/>
    <w:tmpl w:val="A5CADF16"/>
    <w:lvl w:ilvl="0" w:tplc="87F0AB2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7642F"/>
    <w:multiLevelType w:val="hybridMultilevel"/>
    <w:tmpl w:val="629C7B08"/>
    <w:lvl w:ilvl="0" w:tplc="08090017">
      <w:start w:val="1"/>
      <w:numFmt w:val="lowerLetter"/>
      <w:lvlText w:val="%1)"/>
      <w:lvlJc w:val="left"/>
      <w:pPr>
        <w:ind w:left="1067" w:hanging="360"/>
      </w:pPr>
      <w:rPr>
        <w:b w:val="0"/>
        <w:bCs w:val="0"/>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3" w15:restartNumberingAfterBreak="0">
    <w:nsid w:val="33B90AC0"/>
    <w:multiLevelType w:val="hybridMultilevel"/>
    <w:tmpl w:val="6DC823F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B3BC2"/>
    <w:multiLevelType w:val="hybridMultilevel"/>
    <w:tmpl w:val="736A36FE"/>
    <w:lvl w:ilvl="0" w:tplc="4B6E4E5C">
      <w:start w:val="6"/>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5" w15:restartNumberingAfterBreak="0">
    <w:nsid w:val="34C8158A"/>
    <w:multiLevelType w:val="hybridMultilevel"/>
    <w:tmpl w:val="B0BCB704"/>
    <w:lvl w:ilvl="0" w:tplc="9028EA8A">
      <w:start w:val="1"/>
      <w:numFmt w:val="lowerLetter"/>
      <w:lvlText w:val="%1)"/>
      <w:lvlJc w:val="lef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6BB60DB"/>
    <w:multiLevelType w:val="hybridMultilevel"/>
    <w:tmpl w:val="1E2A7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931F4"/>
    <w:multiLevelType w:val="multilevel"/>
    <w:tmpl w:val="499080EC"/>
    <w:lvl w:ilvl="0">
      <w:start w:val="3"/>
      <w:numFmt w:val="decimal"/>
      <w:lvlText w:val="%1"/>
      <w:lvlJc w:val="left"/>
      <w:pPr>
        <w:ind w:left="0" w:firstLine="0"/>
      </w:pPr>
      <w:rPr>
        <w:rFonts w:hint="default"/>
        <w:b w:val="0"/>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150" w:hanging="150"/>
      </w:pPr>
      <w:rPr>
        <w:rFonts w:hint="default"/>
        <w:b w:val="0"/>
      </w:rPr>
    </w:lvl>
    <w:lvl w:ilvl="8">
      <w:start w:val="1"/>
      <w:numFmt w:val="decimal"/>
      <w:lvlText w:val="%1.%2.%3.%4.%5.%6.%7.%8.%9"/>
      <w:lvlJc w:val="left"/>
      <w:pPr>
        <w:ind w:left="150" w:hanging="150"/>
      </w:pPr>
      <w:rPr>
        <w:rFonts w:hint="default"/>
        <w:b w:val="0"/>
      </w:rPr>
    </w:lvl>
  </w:abstractNum>
  <w:abstractNum w:abstractNumId="18" w15:restartNumberingAfterBreak="0">
    <w:nsid w:val="3BD06923"/>
    <w:multiLevelType w:val="hybridMultilevel"/>
    <w:tmpl w:val="61988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A175E"/>
    <w:multiLevelType w:val="hybridMultilevel"/>
    <w:tmpl w:val="4F1C72DC"/>
    <w:lvl w:ilvl="0" w:tplc="FFFFFFFF">
      <w:start w:val="1"/>
      <w:numFmt w:val="decimal"/>
      <w:lvlText w:val="%1."/>
      <w:lvlJc w:val="left"/>
      <w:pPr>
        <w:ind w:left="644" w:hanging="360"/>
      </w:pPr>
      <w:rPr>
        <w:b w:val="0"/>
        <w:bCs w:val="0"/>
        <w:i w:val="0"/>
        <w:iCs w:val="0"/>
        <w:u w:val="none"/>
      </w:rPr>
    </w:lvl>
    <w:lvl w:ilvl="1" w:tplc="08090017">
      <w:start w:val="1"/>
      <w:numFmt w:val="lowerLetter"/>
      <w:lvlText w:val="%2)"/>
      <w:lvlJc w:val="left"/>
      <w:pPr>
        <w:ind w:left="2340" w:hanging="360"/>
      </w:pPr>
    </w:lvl>
    <w:lvl w:ilvl="2" w:tplc="FFFFFFFF">
      <w:numFmt w:val="bullet"/>
      <w:lvlText w:val="-"/>
      <w:lvlJc w:val="left"/>
      <w:pPr>
        <w:ind w:left="2340" w:hanging="360"/>
      </w:pPr>
      <w:rPr>
        <w:rFonts w:ascii="Arial" w:eastAsia="Calibr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A220AE"/>
    <w:multiLevelType w:val="multilevel"/>
    <w:tmpl w:val="16FC11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32"/>
        <w:szCs w:val="32"/>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2B03E2"/>
    <w:multiLevelType w:val="multilevel"/>
    <w:tmpl w:val="D1EA97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E21ECA"/>
    <w:multiLevelType w:val="hybridMultilevel"/>
    <w:tmpl w:val="C7C2E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EA4F45"/>
    <w:multiLevelType w:val="hybridMultilevel"/>
    <w:tmpl w:val="77602004"/>
    <w:lvl w:ilvl="0" w:tplc="CBD42846">
      <w:start w:val="1"/>
      <w:numFmt w:val="lowerLetter"/>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 w15:restartNumberingAfterBreak="0">
    <w:nsid w:val="578E3B8E"/>
    <w:multiLevelType w:val="hybridMultilevel"/>
    <w:tmpl w:val="578AE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2B4C"/>
    <w:multiLevelType w:val="hybridMultilevel"/>
    <w:tmpl w:val="E4FC321C"/>
    <w:lvl w:ilvl="0" w:tplc="B69882B2">
      <w:start w:val="1"/>
      <w:numFmt w:val="lowerLetter"/>
      <w:lvlText w:val="%1)"/>
      <w:lvlJc w:val="lef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D9F595F"/>
    <w:multiLevelType w:val="hybridMultilevel"/>
    <w:tmpl w:val="9BA23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E2A5B"/>
    <w:multiLevelType w:val="hybridMultilevel"/>
    <w:tmpl w:val="EB0A5CFA"/>
    <w:lvl w:ilvl="0" w:tplc="7854B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145CA1"/>
    <w:multiLevelType w:val="hybridMultilevel"/>
    <w:tmpl w:val="28DA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B11AFE"/>
    <w:multiLevelType w:val="hybridMultilevel"/>
    <w:tmpl w:val="7BCE0D4C"/>
    <w:lvl w:ilvl="0" w:tplc="C94E5C88">
      <w:start w:val="1"/>
      <w:numFmt w:val="lowerRoman"/>
      <w:lvlText w:val="(%1)"/>
      <w:lvlJc w:val="left"/>
      <w:pPr>
        <w:ind w:left="720" w:hanging="360"/>
      </w:pPr>
      <w:rPr>
        <w:rFonts w:ascii="Arial" w:eastAsia="Calibri" w:hAnsi="Arial"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F90B5B"/>
    <w:multiLevelType w:val="hybridMultilevel"/>
    <w:tmpl w:val="0A3AAE2E"/>
    <w:lvl w:ilvl="0" w:tplc="C8003F48">
      <w:start w:val="1"/>
      <w:numFmt w:val="lowerLetter"/>
      <w:lvlText w:val="%1)"/>
      <w:lvlJc w:val="lef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9BB739F"/>
    <w:multiLevelType w:val="hybridMultilevel"/>
    <w:tmpl w:val="D972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530BA"/>
    <w:multiLevelType w:val="multilevel"/>
    <w:tmpl w:val="D40EB7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FE5728"/>
    <w:multiLevelType w:val="hybridMultilevel"/>
    <w:tmpl w:val="7520AF20"/>
    <w:lvl w:ilvl="0" w:tplc="CB2AA69A">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4" w15:restartNumberingAfterBreak="0">
    <w:nsid w:val="76573EEF"/>
    <w:multiLevelType w:val="hybridMultilevel"/>
    <w:tmpl w:val="C7E659E4"/>
    <w:lvl w:ilvl="0" w:tplc="C94E5C88">
      <w:start w:val="1"/>
      <w:numFmt w:val="lowerRoman"/>
      <w:lvlText w:val="(%1)"/>
      <w:lvlJc w:val="left"/>
      <w:pPr>
        <w:ind w:left="1440" w:hanging="360"/>
      </w:pPr>
      <w:rPr>
        <w:rFonts w:ascii="Arial" w:eastAsia="Calibri" w:hAnsi="Arial"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76A663A"/>
    <w:multiLevelType w:val="multilevel"/>
    <w:tmpl w:val="D40EB7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497"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7318BA"/>
    <w:multiLevelType w:val="hybridMultilevel"/>
    <w:tmpl w:val="AB766B74"/>
    <w:lvl w:ilvl="0" w:tplc="ABFED9C2">
      <w:start w:val="1"/>
      <w:numFmt w:val="lowerLetter"/>
      <w:lvlText w:val="%1)"/>
      <w:lvlJc w:val="left"/>
      <w:pPr>
        <w:ind w:left="1356" w:hanging="360"/>
      </w:pPr>
      <w:rPr>
        <w:b w:val="0"/>
        <w:bCs w:val="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num w:numId="1" w16cid:durableId="1443694385">
    <w:abstractNumId w:val="1"/>
  </w:num>
  <w:num w:numId="2" w16cid:durableId="1928465365">
    <w:abstractNumId w:val="5"/>
  </w:num>
  <w:num w:numId="3" w16cid:durableId="1026062584">
    <w:abstractNumId w:val="0"/>
  </w:num>
  <w:num w:numId="4" w16cid:durableId="1373382681">
    <w:abstractNumId w:val="27"/>
  </w:num>
  <w:num w:numId="5" w16cid:durableId="193464641">
    <w:abstractNumId w:val="10"/>
  </w:num>
  <w:num w:numId="6" w16cid:durableId="795637332">
    <w:abstractNumId w:val="4"/>
  </w:num>
  <w:num w:numId="7" w16cid:durableId="1804425049">
    <w:abstractNumId w:val="33"/>
  </w:num>
  <w:num w:numId="8" w16cid:durableId="1330138545">
    <w:abstractNumId w:val="16"/>
  </w:num>
  <w:num w:numId="9" w16cid:durableId="588124215">
    <w:abstractNumId w:val="12"/>
  </w:num>
  <w:num w:numId="10" w16cid:durableId="1572420018">
    <w:abstractNumId w:val="17"/>
  </w:num>
  <w:num w:numId="11" w16cid:durableId="716860385">
    <w:abstractNumId w:val="29"/>
  </w:num>
  <w:num w:numId="12" w16cid:durableId="612176557">
    <w:abstractNumId w:val="19"/>
  </w:num>
  <w:num w:numId="13" w16cid:durableId="1238708996">
    <w:abstractNumId w:val="24"/>
  </w:num>
  <w:num w:numId="14" w16cid:durableId="2066365469">
    <w:abstractNumId w:val="17"/>
    <w:lvlOverride w:ilvl="0">
      <w:lvl w:ilvl="0">
        <w:start w:val="3"/>
        <w:numFmt w:val="decimal"/>
        <w:lvlText w:val="%1"/>
        <w:lvlJc w:val="left"/>
        <w:pPr>
          <w:ind w:left="0" w:firstLine="0"/>
        </w:pPr>
        <w:rPr>
          <w:rFonts w:hint="default"/>
          <w:b w:val="0"/>
        </w:rPr>
      </w:lvl>
    </w:lvlOverride>
    <w:lvlOverride w:ilvl="1">
      <w:lvl w:ilvl="1">
        <w:start w:val="1"/>
        <w:numFmt w:val="decimal"/>
        <w:lvlText w:val="%1.%2"/>
        <w:lvlJc w:val="left"/>
        <w:pPr>
          <w:ind w:left="454" w:hanging="454"/>
        </w:pPr>
        <w:rPr>
          <w:rFonts w:hint="default"/>
          <w:b w:val="0"/>
          <w:bCs w:val="0"/>
        </w:rPr>
      </w:lvl>
    </w:lvlOverride>
    <w:lvlOverride w:ilvl="2">
      <w:lvl w:ilvl="2">
        <w:start w:val="1"/>
        <w:numFmt w:val="decimal"/>
        <w:lvlText w:val="%1.%2.%3"/>
        <w:lvlJc w:val="left"/>
        <w:pPr>
          <w:ind w:left="0" w:firstLine="0"/>
        </w:pPr>
        <w:rPr>
          <w:rFonts w:hint="default"/>
          <w:b w:val="0"/>
        </w:rPr>
      </w:lvl>
    </w:lvlOverride>
    <w:lvlOverride w:ilvl="3">
      <w:lvl w:ilvl="3">
        <w:start w:val="1"/>
        <w:numFmt w:val="decimal"/>
        <w:lvlText w:val="%1.%2.%3.%4"/>
        <w:lvlJc w:val="left"/>
        <w:pPr>
          <w:ind w:left="0" w:firstLine="0"/>
        </w:pPr>
        <w:rPr>
          <w:rFonts w:hint="default"/>
          <w:b w:val="0"/>
        </w:rPr>
      </w:lvl>
    </w:lvlOverride>
    <w:lvlOverride w:ilvl="4">
      <w:lvl w:ilvl="4">
        <w:start w:val="1"/>
        <w:numFmt w:val="decimal"/>
        <w:lvlText w:val="%1.%2.%3.%4.%5"/>
        <w:lvlJc w:val="left"/>
        <w:pPr>
          <w:ind w:left="0" w:firstLine="0"/>
        </w:pPr>
        <w:rPr>
          <w:rFonts w:hint="default"/>
          <w:b w:val="0"/>
        </w:rPr>
      </w:lvl>
    </w:lvlOverride>
    <w:lvlOverride w:ilvl="5">
      <w:lvl w:ilvl="5">
        <w:start w:val="1"/>
        <w:numFmt w:val="decimal"/>
        <w:lvlText w:val="%1.%2.%3.%4.%5.%6"/>
        <w:lvlJc w:val="left"/>
        <w:pPr>
          <w:ind w:left="0" w:firstLine="0"/>
        </w:pPr>
        <w:rPr>
          <w:rFonts w:hint="default"/>
          <w:b w:val="0"/>
        </w:rPr>
      </w:lvl>
    </w:lvlOverride>
    <w:lvlOverride w:ilvl="6">
      <w:lvl w:ilvl="6">
        <w:start w:val="1"/>
        <w:numFmt w:val="decimal"/>
        <w:lvlText w:val="%1.%2.%3.%4.%5.%6.%7"/>
        <w:lvlJc w:val="left"/>
        <w:pPr>
          <w:ind w:left="0" w:firstLine="0"/>
        </w:pPr>
        <w:rPr>
          <w:rFonts w:hint="default"/>
          <w:b w:val="0"/>
        </w:rPr>
      </w:lvl>
    </w:lvlOverride>
    <w:lvlOverride w:ilvl="7">
      <w:lvl w:ilvl="7">
        <w:start w:val="1"/>
        <w:numFmt w:val="decimal"/>
        <w:lvlText w:val="%1.%2.%3.%4.%5.%6.%7.%8"/>
        <w:lvlJc w:val="left"/>
        <w:pPr>
          <w:ind w:left="150" w:hanging="150"/>
        </w:pPr>
        <w:rPr>
          <w:rFonts w:hint="default"/>
          <w:b w:val="0"/>
        </w:rPr>
      </w:lvl>
    </w:lvlOverride>
    <w:lvlOverride w:ilvl="8">
      <w:lvl w:ilvl="8">
        <w:start w:val="1"/>
        <w:numFmt w:val="decimal"/>
        <w:lvlText w:val="%1.%2.%3.%4.%5.%6.%7.%8.%9"/>
        <w:lvlJc w:val="left"/>
        <w:pPr>
          <w:ind w:left="150" w:hanging="150"/>
        </w:pPr>
        <w:rPr>
          <w:rFonts w:hint="default"/>
          <w:b w:val="0"/>
        </w:rPr>
      </w:lvl>
    </w:lvlOverride>
  </w:num>
  <w:num w:numId="15" w16cid:durableId="914969098">
    <w:abstractNumId w:val="2"/>
  </w:num>
  <w:num w:numId="16" w16cid:durableId="1036389479">
    <w:abstractNumId w:val="20"/>
  </w:num>
  <w:num w:numId="17" w16cid:durableId="1962808538">
    <w:abstractNumId w:val="11"/>
  </w:num>
  <w:num w:numId="18" w16cid:durableId="2032560572">
    <w:abstractNumId w:val="8"/>
  </w:num>
  <w:num w:numId="19" w16cid:durableId="1090733766">
    <w:abstractNumId w:val="30"/>
  </w:num>
  <w:num w:numId="20" w16cid:durableId="1248148833">
    <w:abstractNumId w:val="28"/>
  </w:num>
  <w:num w:numId="21" w16cid:durableId="1556619941">
    <w:abstractNumId w:val="22"/>
  </w:num>
  <w:num w:numId="22" w16cid:durableId="1932200857">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720710489">
    <w:abstractNumId w:val="14"/>
  </w:num>
  <w:num w:numId="24" w16cid:durableId="339552494">
    <w:abstractNumId w:val="34"/>
  </w:num>
  <w:num w:numId="25" w16cid:durableId="1605570366">
    <w:abstractNumId w:val="26"/>
  </w:num>
  <w:num w:numId="26" w16cid:durableId="198471182">
    <w:abstractNumId w:val="35"/>
  </w:num>
  <w:num w:numId="27" w16cid:durableId="1653366684">
    <w:abstractNumId w:val="23"/>
  </w:num>
  <w:num w:numId="28" w16cid:durableId="1097823230">
    <w:abstractNumId w:val="7"/>
  </w:num>
  <w:num w:numId="29" w16cid:durableId="2108698488">
    <w:abstractNumId w:val="25"/>
  </w:num>
  <w:num w:numId="30" w16cid:durableId="958875563">
    <w:abstractNumId w:val="6"/>
  </w:num>
  <w:num w:numId="31" w16cid:durableId="343636290">
    <w:abstractNumId w:val="18"/>
  </w:num>
  <w:num w:numId="32" w16cid:durableId="404108427">
    <w:abstractNumId w:val="32"/>
  </w:num>
  <w:num w:numId="33" w16cid:durableId="465633287">
    <w:abstractNumId w:val="15"/>
  </w:num>
  <w:num w:numId="34" w16cid:durableId="2079278841">
    <w:abstractNumId w:val="36"/>
  </w:num>
  <w:num w:numId="35" w16cid:durableId="440803030">
    <w:abstractNumId w:val="13"/>
  </w:num>
  <w:num w:numId="36" w16cid:durableId="438795426">
    <w:abstractNumId w:val="3"/>
  </w:num>
  <w:num w:numId="37" w16cid:durableId="1982076360">
    <w:abstractNumId w:val="21"/>
  </w:num>
  <w:num w:numId="38" w16cid:durableId="1640306928">
    <w:abstractNumId w:val="9"/>
  </w:num>
  <w:num w:numId="39" w16cid:durableId="612591018">
    <w:abstractNumId w:val="3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Lloyd Davies">
    <w15:presenceInfo w15:providerId="AD" w15:userId="S::Sally.LloydDavies@hse.gov.uk::4859f7c9-c49e-4b92-b66a-0f5978b81f8b"/>
  </w15:person>
  <w15:person w15:author="Dipti Kerai">
    <w15:presenceInfo w15:providerId="AD" w15:userId="S::Dipti.Kerai@hse.gov.uk::6eae4f2e-881a-4ccc-a6d0-6f516c97eb13"/>
  </w15:person>
  <w15:person w15:author="Sally Lloyd Davies [2]">
    <w15:presenceInfo w15:providerId="AD" w15:userId="S::sally.lloyddavies@hse.gov.uk::4859f7c9-c49e-4b92-b66a-0f5978b81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1"/>
    <w:rsid w:val="0000004B"/>
    <w:rsid w:val="00000263"/>
    <w:rsid w:val="00000900"/>
    <w:rsid w:val="00000D12"/>
    <w:rsid w:val="00000D1F"/>
    <w:rsid w:val="00001056"/>
    <w:rsid w:val="00001320"/>
    <w:rsid w:val="00001344"/>
    <w:rsid w:val="0000137E"/>
    <w:rsid w:val="00001571"/>
    <w:rsid w:val="00001B24"/>
    <w:rsid w:val="00001B79"/>
    <w:rsid w:val="00001C8D"/>
    <w:rsid w:val="000024ED"/>
    <w:rsid w:val="0000271D"/>
    <w:rsid w:val="00002869"/>
    <w:rsid w:val="000028FD"/>
    <w:rsid w:val="00002CD4"/>
    <w:rsid w:val="000032A1"/>
    <w:rsid w:val="000034B5"/>
    <w:rsid w:val="000038EA"/>
    <w:rsid w:val="00003E8B"/>
    <w:rsid w:val="00003FE4"/>
    <w:rsid w:val="00004030"/>
    <w:rsid w:val="00004482"/>
    <w:rsid w:val="000047A4"/>
    <w:rsid w:val="00004FDE"/>
    <w:rsid w:val="00005253"/>
    <w:rsid w:val="0000559F"/>
    <w:rsid w:val="00005688"/>
    <w:rsid w:val="00005956"/>
    <w:rsid w:val="00005BCA"/>
    <w:rsid w:val="00005D72"/>
    <w:rsid w:val="00005F56"/>
    <w:rsid w:val="00006416"/>
    <w:rsid w:val="00006499"/>
    <w:rsid w:val="00006F31"/>
    <w:rsid w:val="000072DC"/>
    <w:rsid w:val="00007856"/>
    <w:rsid w:val="0000785D"/>
    <w:rsid w:val="00007933"/>
    <w:rsid w:val="00007976"/>
    <w:rsid w:val="000079C2"/>
    <w:rsid w:val="000103DB"/>
    <w:rsid w:val="00010846"/>
    <w:rsid w:val="00011B0B"/>
    <w:rsid w:val="00011B94"/>
    <w:rsid w:val="00011BF5"/>
    <w:rsid w:val="00011D40"/>
    <w:rsid w:val="00011E02"/>
    <w:rsid w:val="00011ECB"/>
    <w:rsid w:val="00012154"/>
    <w:rsid w:val="000126B7"/>
    <w:rsid w:val="00012BD3"/>
    <w:rsid w:val="00012CA8"/>
    <w:rsid w:val="000132FC"/>
    <w:rsid w:val="000133F5"/>
    <w:rsid w:val="000134CF"/>
    <w:rsid w:val="0001361F"/>
    <w:rsid w:val="0001388F"/>
    <w:rsid w:val="000138EE"/>
    <w:rsid w:val="00013A71"/>
    <w:rsid w:val="00013AEE"/>
    <w:rsid w:val="00013B0A"/>
    <w:rsid w:val="00013B6D"/>
    <w:rsid w:val="00013C8E"/>
    <w:rsid w:val="0001465A"/>
    <w:rsid w:val="00014802"/>
    <w:rsid w:val="00014F9E"/>
    <w:rsid w:val="00015048"/>
    <w:rsid w:val="00015136"/>
    <w:rsid w:val="00015664"/>
    <w:rsid w:val="00015AC0"/>
    <w:rsid w:val="00015D57"/>
    <w:rsid w:val="00015E50"/>
    <w:rsid w:val="00015F61"/>
    <w:rsid w:val="000165E1"/>
    <w:rsid w:val="00016624"/>
    <w:rsid w:val="0001663C"/>
    <w:rsid w:val="00016C4E"/>
    <w:rsid w:val="000172F0"/>
    <w:rsid w:val="00017798"/>
    <w:rsid w:val="000177C6"/>
    <w:rsid w:val="00017AB0"/>
    <w:rsid w:val="00017AC8"/>
    <w:rsid w:val="00017D4D"/>
    <w:rsid w:val="00017FEE"/>
    <w:rsid w:val="000204C4"/>
    <w:rsid w:val="00020D2F"/>
    <w:rsid w:val="00020E3F"/>
    <w:rsid w:val="00020F3F"/>
    <w:rsid w:val="00021008"/>
    <w:rsid w:val="000214AD"/>
    <w:rsid w:val="000216EB"/>
    <w:rsid w:val="00021E9E"/>
    <w:rsid w:val="0002232B"/>
    <w:rsid w:val="000223EC"/>
    <w:rsid w:val="00022A18"/>
    <w:rsid w:val="00022A56"/>
    <w:rsid w:val="00022C1A"/>
    <w:rsid w:val="00022C8D"/>
    <w:rsid w:val="00022CEA"/>
    <w:rsid w:val="0002323A"/>
    <w:rsid w:val="000237D0"/>
    <w:rsid w:val="0002388D"/>
    <w:rsid w:val="0002399B"/>
    <w:rsid w:val="00023D70"/>
    <w:rsid w:val="00023DEA"/>
    <w:rsid w:val="0002438E"/>
    <w:rsid w:val="000244CE"/>
    <w:rsid w:val="000245F4"/>
    <w:rsid w:val="00024957"/>
    <w:rsid w:val="000249A5"/>
    <w:rsid w:val="0002503B"/>
    <w:rsid w:val="000252F0"/>
    <w:rsid w:val="00025374"/>
    <w:rsid w:val="00025537"/>
    <w:rsid w:val="000255EA"/>
    <w:rsid w:val="00025777"/>
    <w:rsid w:val="00025822"/>
    <w:rsid w:val="00025856"/>
    <w:rsid w:val="00025A44"/>
    <w:rsid w:val="00025B8B"/>
    <w:rsid w:val="00025E30"/>
    <w:rsid w:val="0002602D"/>
    <w:rsid w:val="000264B7"/>
    <w:rsid w:val="00026B28"/>
    <w:rsid w:val="00026CB8"/>
    <w:rsid w:val="0002707E"/>
    <w:rsid w:val="00027A4E"/>
    <w:rsid w:val="00027B4C"/>
    <w:rsid w:val="00027E64"/>
    <w:rsid w:val="00030014"/>
    <w:rsid w:val="00030B6F"/>
    <w:rsid w:val="00031059"/>
    <w:rsid w:val="00031328"/>
    <w:rsid w:val="000319EC"/>
    <w:rsid w:val="00031A03"/>
    <w:rsid w:val="00031AF5"/>
    <w:rsid w:val="00031CA5"/>
    <w:rsid w:val="00031CE0"/>
    <w:rsid w:val="00031CE6"/>
    <w:rsid w:val="0003207C"/>
    <w:rsid w:val="000320B3"/>
    <w:rsid w:val="000321CF"/>
    <w:rsid w:val="00032331"/>
    <w:rsid w:val="000323E7"/>
    <w:rsid w:val="00032659"/>
    <w:rsid w:val="00032C55"/>
    <w:rsid w:val="00032D82"/>
    <w:rsid w:val="00032D90"/>
    <w:rsid w:val="00032EC5"/>
    <w:rsid w:val="00033134"/>
    <w:rsid w:val="00033422"/>
    <w:rsid w:val="000336D9"/>
    <w:rsid w:val="00033B61"/>
    <w:rsid w:val="000340CF"/>
    <w:rsid w:val="000343D7"/>
    <w:rsid w:val="00034B1B"/>
    <w:rsid w:val="00034EDC"/>
    <w:rsid w:val="00035869"/>
    <w:rsid w:val="00035A97"/>
    <w:rsid w:val="00035AB5"/>
    <w:rsid w:val="00035B52"/>
    <w:rsid w:val="00036179"/>
    <w:rsid w:val="0003622A"/>
    <w:rsid w:val="0003646C"/>
    <w:rsid w:val="000368EA"/>
    <w:rsid w:val="00036B25"/>
    <w:rsid w:val="00036BC4"/>
    <w:rsid w:val="000370DD"/>
    <w:rsid w:val="000372B3"/>
    <w:rsid w:val="00037B8A"/>
    <w:rsid w:val="00040426"/>
    <w:rsid w:val="0004070F"/>
    <w:rsid w:val="0004087D"/>
    <w:rsid w:val="00040DB0"/>
    <w:rsid w:val="00040E83"/>
    <w:rsid w:val="000414F4"/>
    <w:rsid w:val="0004153F"/>
    <w:rsid w:val="00041592"/>
    <w:rsid w:val="000416CC"/>
    <w:rsid w:val="00041A6A"/>
    <w:rsid w:val="00041EC9"/>
    <w:rsid w:val="00042009"/>
    <w:rsid w:val="00042046"/>
    <w:rsid w:val="0004219E"/>
    <w:rsid w:val="00042D69"/>
    <w:rsid w:val="00042DCD"/>
    <w:rsid w:val="0004302C"/>
    <w:rsid w:val="0004314C"/>
    <w:rsid w:val="000431B8"/>
    <w:rsid w:val="000432A3"/>
    <w:rsid w:val="000436FA"/>
    <w:rsid w:val="00043AE5"/>
    <w:rsid w:val="00043DC4"/>
    <w:rsid w:val="000440EE"/>
    <w:rsid w:val="00044566"/>
    <w:rsid w:val="0004470E"/>
    <w:rsid w:val="00044ACE"/>
    <w:rsid w:val="00044C1B"/>
    <w:rsid w:val="00044CFB"/>
    <w:rsid w:val="00045144"/>
    <w:rsid w:val="00045355"/>
    <w:rsid w:val="0004571D"/>
    <w:rsid w:val="00045EC5"/>
    <w:rsid w:val="0004601C"/>
    <w:rsid w:val="00046128"/>
    <w:rsid w:val="00046248"/>
    <w:rsid w:val="000463D6"/>
    <w:rsid w:val="00046780"/>
    <w:rsid w:val="000467E8"/>
    <w:rsid w:val="00046B6C"/>
    <w:rsid w:val="00046C21"/>
    <w:rsid w:val="00046C75"/>
    <w:rsid w:val="00046C90"/>
    <w:rsid w:val="00046D48"/>
    <w:rsid w:val="00047949"/>
    <w:rsid w:val="00047A9A"/>
    <w:rsid w:val="00047B49"/>
    <w:rsid w:val="00047B98"/>
    <w:rsid w:val="00050301"/>
    <w:rsid w:val="0005065B"/>
    <w:rsid w:val="000506D6"/>
    <w:rsid w:val="0005100D"/>
    <w:rsid w:val="0005168C"/>
    <w:rsid w:val="000517FD"/>
    <w:rsid w:val="0005198C"/>
    <w:rsid w:val="00051CB5"/>
    <w:rsid w:val="00051D75"/>
    <w:rsid w:val="000523FA"/>
    <w:rsid w:val="00052A6F"/>
    <w:rsid w:val="0005332E"/>
    <w:rsid w:val="0005344E"/>
    <w:rsid w:val="000534D0"/>
    <w:rsid w:val="000535BB"/>
    <w:rsid w:val="000535E0"/>
    <w:rsid w:val="00053691"/>
    <w:rsid w:val="000538DE"/>
    <w:rsid w:val="000539CD"/>
    <w:rsid w:val="00053B71"/>
    <w:rsid w:val="00054114"/>
    <w:rsid w:val="00054199"/>
    <w:rsid w:val="000542A4"/>
    <w:rsid w:val="00054876"/>
    <w:rsid w:val="000549E7"/>
    <w:rsid w:val="00054B3B"/>
    <w:rsid w:val="00054D8D"/>
    <w:rsid w:val="00054E94"/>
    <w:rsid w:val="00055101"/>
    <w:rsid w:val="000555CE"/>
    <w:rsid w:val="00055746"/>
    <w:rsid w:val="00055B8B"/>
    <w:rsid w:val="00056396"/>
    <w:rsid w:val="0005657B"/>
    <w:rsid w:val="000565D0"/>
    <w:rsid w:val="00056D90"/>
    <w:rsid w:val="000574A7"/>
    <w:rsid w:val="00057524"/>
    <w:rsid w:val="00057E47"/>
    <w:rsid w:val="00060898"/>
    <w:rsid w:val="00060A3C"/>
    <w:rsid w:val="00060A60"/>
    <w:rsid w:val="00061355"/>
    <w:rsid w:val="0006163A"/>
    <w:rsid w:val="000616DD"/>
    <w:rsid w:val="00061B5D"/>
    <w:rsid w:val="00061C52"/>
    <w:rsid w:val="00061D7F"/>
    <w:rsid w:val="000621BE"/>
    <w:rsid w:val="0006223A"/>
    <w:rsid w:val="00062354"/>
    <w:rsid w:val="0006241F"/>
    <w:rsid w:val="000626A8"/>
    <w:rsid w:val="00062C3A"/>
    <w:rsid w:val="00062D7A"/>
    <w:rsid w:val="00062FC6"/>
    <w:rsid w:val="000633B5"/>
    <w:rsid w:val="0006358B"/>
    <w:rsid w:val="00063706"/>
    <w:rsid w:val="00063BC8"/>
    <w:rsid w:val="00063CC2"/>
    <w:rsid w:val="000643F4"/>
    <w:rsid w:val="00064418"/>
    <w:rsid w:val="00064835"/>
    <w:rsid w:val="000648B2"/>
    <w:rsid w:val="000649E4"/>
    <w:rsid w:val="00065791"/>
    <w:rsid w:val="000657B8"/>
    <w:rsid w:val="000659A1"/>
    <w:rsid w:val="000660BE"/>
    <w:rsid w:val="00066117"/>
    <w:rsid w:val="000666B2"/>
    <w:rsid w:val="0006677B"/>
    <w:rsid w:val="000676C3"/>
    <w:rsid w:val="00067B10"/>
    <w:rsid w:val="00067BDF"/>
    <w:rsid w:val="00067D8E"/>
    <w:rsid w:val="00070175"/>
    <w:rsid w:val="00070376"/>
    <w:rsid w:val="00070AC3"/>
    <w:rsid w:val="00070E33"/>
    <w:rsid w:val="00071014"/>
    <w:rsid w:val="000715FD"/>
    <w:rsid w:val="00071B9C"/>
    <w:rsid w:val="00071DED"/>
    <w:rsid w:val="00071E51"/>
    <w:rsid w:val="00072116"/>
    <w:rsid w:val="000721C1"/>
    <w:rsid w:val="000725EF"/>
    <w:rsid w:val="000727F6"/>
    <w:rsid w:val="00072E26"/>
    <w:rsid w:val="0007314F"/>
    <w:rsid w:val="0007359F"/>
    <w:rsid w:val="00073880"/>
    <w:rsid w:val="0007389A"/>
    <w:rsid w:val="00073EB6"/>
    <w:rsid w:val="000741B4"/>
    <w:rsid w:val="00074511"/>
    <w:rsid w:val="000746C1"/>
    <w:rsid w:val="00074BEE"/>
    <w:rsid w:val="00074CDB"/>
    <w:rsid w:val="00074EBE"/>
    <w:rsid w:val="0007514E"/>
    <w:rsid w:val="00075159"/>
    <w:rsid w:val="00075666"/>
    <w:rsid w:val="0007575F"/>
    <w:rsid w:val="00075FC4"/>
    <w:rsid w:val="00076814"/>
    <w:rsid w:val="00076942"/>
    <w:rsid w:val="000769C6"/>
    <w:rsid w:val="00076DFD"/>
    <w:rsid w:val="000771A3"/>
    <w:rsid w:val="000776AB"/>
    <w:rsid w:val="00077BA3"/>
    <w:rsid w:val="00080102"/>
    <w:rsid w:val="0008021E"/>
    <w:rsid w:val="0008038E"/>
    <w:rsid w:val="00080588"/>
    <w:rsid w:val="000806CB"/>
    <w:rsid w:val="00080860"/>
    <w:rsid w:val="000808C1"/>
    <w:rsid w:val="00080D66"/>
    <w:rsid w:val="00081144"/>
    <w:rsid w:val="00081452"/>
    <w:rsid w:val="00081522"/>
    <w:rsid w:val="00081667"/>
    <w:rsid w:val="00081A04"/>
    <w:rsid w:val="000820FA"/>
    <w:rsid w:val="00082207"/>
    <w:rsid w:val="00082A27"/>
    <w:rsid w:val="00082B15"/>
    <w:rsid w:val="00082D25"/>
    <w:rsid w:val="00082E59"/>
    <w:rsid w:val="00082E8C"/>
    <w:rsid w:val="00082FD9"/>
    <w:rsid w:val="000835CB"/>
    <w:rsid w:val="0008377F"/>
    <w:rsid w:val="000837D8"/>
    <w:rsid w:val="000838DC"/>
    <w:rsid w:val="00083C20"/>
    <w:rsid w:val="00083DB6"/>
    <w:rsid w:val="00083E64"/>
    <w:rsid w:val="00084224"/>
    <w:rsid w:val="00084339"/>
    <w:rsid w:val="00084DC2"/>
    <w:rsid w:val="00084FFE"/>
    <w:rsid w:val="00085467"/>
    <w:rsid w:val="00085BFA"/>
    <w:rsid w:val="0008656E"/>
    <w:rsid w:val="000866D1"/>
    <w:rsid w:val="00086C88"/>
    <w:rsid w:val="00086E05"/>
    <w:rsid w:val="0008731F"/>
    <w:rsid w:val="000873E6"/>
    <w:rsid w:val="00087A9D"/>
    <w:rsid w:val="00087D4E"/>
    <w:rsid w:val="000902CC"/>
    <w:rsid w:val="0009053A"/>
    <w:rsid w:val="000905BF"/>
    <w:rsid w:val="00090676"/>
    <w:rsid w:val="000907FB"/>
    <w:rsid w:val="000908F0"/>
    <w:rsid w:val="00090A53"/>
    <w:rsid w:val="000910DF"/>
    <w:rsid w:val="0009172A"/>
    <w:rsid w:val="00091A05"/>
    <w:rsid w:val="00092109"/>
    <w:rsid w:val="0009226D"/>
    <w:rsid w:val="000928CD"/>
    <w:rsid w:val="00092CAB"/>
    <w:rsid w:val="00092DBE"/>
    <w:rsid w:val="00092F93"/>
    <w:rsid w:val="000934BE"/>
    <w:rsid w:val="000940FE"/>
    <w:rsid w:val="0009421C"/>
    <w:rsid w:val="0009428F"/>
    <w:rsid w:val="00094743"/>
    <w:rsid w:val="000948BD"/>
    <w:rsid w:val="000949C7"/>
    <w:rsid w:val="00094EEE"/>
    <w:rsid w:val="00095147"/>
    <w:rsid w:val="000951BB"/>
    <w:rsid w:val="00095379"/>
    <w:rsid w:val="00095A37"/>
    <w:rsid w:val="00095AB4"/>
    <w:rsid w:val="00095ACB"/>
    <w:rsid w:val="00095ADF"/>
    <w:rsid w:val="00095D11"/>
    <w:rsid w:val="00095E1A"/>
    <w:rsid w:val="00095E78"/>
    <w:rsid w:val="00096177"/>
    <w:rsid w:val="000965C5"/>
    <w:rsid w:val="00096A8D"/>
    <w:rsid w:val="00096BFC"/>
    <w:rsid w:val="00097293"/>
    <w:rsid w:val="0009739B"/>
    <w:rsid w:val="0009751E"/>
    <w:rsid w:val="00097C7C"/>
    <w:rsid w:val="00097CFE"/>
    <w:rsid w:val="000A00AB"/>
    <w:rsid w:val="000A04B9"/>
    <w:rsid w:val="000A0725"/>
    <w:rsid w:val="000A0BA4"/>
    <w:rsid w:val="000A0C29"/>
    <w:rsid w:val="000A0DC3"/>
    <w:rsid w:val="000A0E65"/>
    <w:rsid w:val="000A126C"/>
    <w:rsid w:val="000A126F"/>
    <w:rsid w:val="000A1976"/>
    <w:rsid w:val="000A19D3"/>
    <w:rsid w:val="000A1B21"/>
    <w:rsid w:val="000A1EB7"/>
    <w:rsid w:val="000A23A6"/>
    <w:rsid w:val="000A2D36"/>
    <w:rsid w:val="000A2FE4"/>
    <w:rsid w:val="000A3369"/>
    <w:rsid w:val="000A35F1"/>
    <w:rsid w:val="000A396E"/>
    <w:rsid w:val="000A3CE3"/>
    <w:rsid w:val="000A3D03"/>
    <w:rsid w:val="000A417E"/>
    <w:rsid w:val="000A41CF"/>
    <w:rsid w:val="000A4211"/>
    <w:rsid w:val="000A4216"/>
    <w:rsid w:val="000A43DC"/>
    <w:rsid w:val="000A4592"/>
    <w:rsid w:val="000A49C2"/>
    <w:rsid w:val="000A4B59"/>
    <w:rsid w:val="000A4C56"/>
    <w:rsid w:val="000A522A"/>
    <w:rsid w:val="000A53F0"/>
    <w:rsid w:val="000A555A"/>
    <w:rsid w:val="000A5815"/>
    <w:rsid w:val="000A5B67"/>
    <w:rsid w:val="000A5B6D"/>
    <w:rsid w:val="000A5C27"/>
    <w:rsid w:val="000A5D27"/>
    <w:rsid w:val="000A5EBF"/>
    <w:rsid w:val="000A5F1A"/>
    <w:rsid w:val="000A6428"/>
    <w:rsid w:val="000A6772"/>
    <w:rsid w:val="000A6842"/>
    <w:rsid w:val="000A6B90"/>
    <w:rsid w:val="000A6C36"/>
    <w:rsid w:val="000A6F76"/>
    <w:rsid w:val="000A7B03"/>
    <w:rsid w:val="000A7D98"/>
    <w:rsid w:val="000A7DC6"/>
    <w:rsid w:val="000A7FA1"/>
    <w:rsid w:val="000B0316"/>
    <w:rsid w:val="000B06C0"/>
    <w:rsid w:val="000B0BB5"/>
    <w:rsid w:val="000B0C89"/>
    <w:rsid w:val="000B0ED4"/>
    <w:rsid w:val="000B1585"/>
    <w:rsid w:val="000B16CF"/>
    <w:rsid w:val="000B1767"/>
    <w:rsid w:val="000B1AB1"/>
    <w:rsid w:val="000B1C72"/>
    <w:rsid w:val="000B1D7F"/>
    <w:rsid w:val="000B20A9"/>
    <w:rsid w:val="000B217C"/>
    <w:rsid w:val="000B2256"/>
    <w:rsid w:val="000B2C3C"/>
    <w:rsid w:val="000B2E9C"/>
    <w:rsid w:val="000B3101"/>
    <w:rsid w:val="000B375A"/>
    <w:rsid w:val="000B39E6"/>
    <w:rsid w:val="000B3C92"/>
    <w:rsid w:val="000B3F2D"/>
    <w:rsid w:val="000B4244"/>
    <w:rsid w:val="000B4474"/>
    <w:rsid w:val="000B4799"/>
    <w:rsid w:val="000B4807"/>
    <w:rsid w:val="000B4ECC"/>
    <w:rsid w:val="000B5886"/>
    <w:rsid w:val="000B65C8"/>
    <w:rsid w:val="000B682A"/>
    <w:rsid w:val="000B6934"/>
    <w:rsid w:val="000B69B5"/>
    <w:rsid w:val="000B6BE4"/>
    <w:rsid w:val="000B7EE9"/>
    <w:rsid w:val="000C0131"/>
    <w:rsid w:val="000C0303"/>
    <w:rsid w:val="000C0613"/>
    <w:rsid w:val="000C0A1D"/>
    <w:rsid w:val="000C0F79"/>
    <w:rsid w:val="000C105E"/>
    <w:rsid w:val="000C1175"/>
    <w:rsid w:val="000C1917"/>
    <w:rsid w:val="000C1D3B"/>
    <w:rsid w:val="000C23F7"/>
    <w:rsid w:val="000C259C"/>
    <w:rsid w:val="000C2E67"/>
    <w:rsid w:val="000C2FF9"/>
    <w:rsid w:val="000C30AB"/>
    <w:rsid w:val="000C3147"/>
    <w:rsid w:val="000C3665"/>
    <w:rsid w:val="000C374C"/>
    <w:rsid w:val="000C3921"/>
    <w:rsid w:val="000C39B1"/>
    <w:rsid w:val="000C3BDF"/>
    <w:rsid w:val="000C438C"/>
    <w:rsid w:val="000C4600"/>
    <w:rsid w:val="000C4A0F"/>
    <w:rsid w:val="000C4C99"/>
    <w:rsid w:val="000C4E04"/>
    <w:rsid w:val="000C50A9"/>
    <w:rsid w:val="000C5151"/>
    <w:rsid w:val="000C5410"/>
    <w:rsid w:val="000C5537"/>
    <w:rsid w:val="000C563A"/>
    <w:rsid w:val="000C5921"/>
    <w:rsid w:val="000C5A4E"/>
    <w:rsid w:val="000C5FA4"/>
    <w:rsid w:val="000C603C"/>
    <w:rsid w:val="000C6157"/>
    <w:rsid w:val="000C647F"/>
    <w:rsid w:val="000C6803"/>
    <w:rsid w:val="000C68CB"/>
    <w:rsid w:val="000C6A60"/>
    <w:rsid w:val="000C6BB0"/>
    <w:rsid w:val="000C761D"/>
    <w:rsid w:val="000C7853"/>
    <w:rsid w:val="000C7C23"/>
    <w:rsid w:val="000D056D"/>
    <w:rsid w:val="000D05F9"/>
    <w:rsid w:val="000D06EA"/>
    <w:rsid w:val="000D0C28"/>
    <w:rsid w:val="000D1717"/>
    <w:rsid w:val="000D19C7"/>
    <w:rsid w:val="000D1B8C"/>
    <w:rsid w:val="000D22D7"/>
    <w:rsid w:val="000D2405"/>
    <w:rsid w:val="000D27EE"/>
    <w:rsid w:val="000D2BE7"/>
    <w:rsid w:val="000D3033"/>
    <w:rsid w:val="000D3542"/>
    <w:rsid w:val="000D35AA"/>
    <w:rsid w:val="000D3673"/>
    <w:rsid w:val="000D3C5C"/>
    <w:rsid w:val="000D3F4A"/>
    <w:rsid w:val="000D40F6"/>
    <w:rsid w:val="000D4503"/>
    <w:rsid w:val="000D4E3C"/>
    <w:rsid w:val="000D4F93"/>
    <w:rsid w:val="000D5995"/>
    <w:rsid w:val="000D5B44"/>
    <w:rsid w:val="000D5C8F"/>
    <w:rsid w:val="000D5F3E"/>
    <w:rsid w:val="000D6193"/>
    <w:rsid w:val="000D619A"/>
    <w:rsid w:val="000D658A"/>
    <w:rsid w:val="000D6EFA"/>
    <w:rsid w:val="000D6FB4"/>
    <w:rsid w:val="000D704A"/>
    <w:rsid w:val="000D722A"/>
    <w:rsid w:val="000D7CE9"/>
    <w:rsid w:val="000E00E5"/>
    <w:rsid w:val="000E0366"/>
    <w:rsid w:val="000E0832"/>
    <w:rsid w:val="000E0A3F"/>
    <w:rsid w:val="000E0B67"/>
    <w:rsid w:val="000E15AC"/>
    <w:rsid w:val="000E1AF3"/>
    <w:rsid w:val="000E1D25"/>
    <w:rsid w:val="000E211A"/>
    <w:rsid w:val="000E2271"/>
    <w:rsid w:val="000E233F"/>
    <w:rsid w:val="000E27D9"/>
    <w:rsid w:val="000E2A8F"/>
    <w:rsid w:val="000E2BDA"/>
    <w:rsid w:val="000E30CB"/>
    <w:rsid w:val="000E3615"/>
    <w:rsid w:val="000E430E"/>
    <w:rsid w:val="000E444D"/>
    <w:rsid w:val="000E4668"/>
    <w:rsid w:val="000E479B"/>
    <w:rsid w:val="000E484E"/>
    <w:rsid w:val="000E4EC0"/>
    <w:rsid w:val="000E5145"/>
    <w:rsid w:val="000E51A6"/>
    <w:rsid w:val="000E53EE"/>
    <w:rsid w:val="000E5AE4"/>
    <w:rsid w:val="000E5C28"/>
    <w:rsid w:val="000E5C77"/>
    <w:rsid w:val="000E5CAB"/>
    <w:rsid w:val="000E5F07"/>
    <w:rsid w:val="000E6336"/>
    <w:rsid w:val="000E650B"/>
    <w:rsid w:val="000E6695"/>
    <w:rsid w:val="000E681C"/>
    <w:rsid w:val="000E689A"/>
    <w:rsid w:val="000E693F"/>
    <w:rsid w:val="000E6B60"/>
    <w:rsid w:val="000E7101"/>
    <w:rsid w:val="000E7940"/>
    <w:rsid w:val="000E7D22"/>
    <w:rsid w:val="000E7DCE"/>
    <w:rsid w:val="000E7F1B"/>
    <w:rsid w:val="000F0230"/>
    <w:rsid w:val="000F032D"/>
    <w:rsid w:val="000F0500"/>
    <w:rsid w:val="000F0706"/>
    <w:rsid w:val="000F0A94"/>
    <w:rsid w:val="000F0FD2"/>
    <w:rsid w:val="000F1B89"/>
    <w:rsid w:val="000F1D84"/>
    <w:rsid w:val="000F1FB0"/>
    <w:rsid w:val="000F2110"/>
    <w:rsid w:val="000F2264"/>
    <w:rsid w:val="000F2D8A"/>
    <w:rsid w:val="000F30E2"/>
    <w:rsid w:val="000F327B"/>
    <w:rsid w:val="000F340C"/>
    <w:rsid w:val="000F3516"/>
    <w:rsid w:val="000F37F9"/>
    <w:rsid w:val="000F42D2"/>
    <w:rsid w:val="000F4935"/>
    <w:rsid w:val="000F4BCC"/>
    <w:rsid w:val="000F515E"/>
    <w:rsid w:val="000F5375"/>
    <w:rsid w:val="000F5426"/>
    <w:rsid w:val="000F5EBD"/>
    <w:rsid w:val="000F6089"/>
    <w:rsid w:val="000F658A"/>
    <w:rsid w:val="000F661A"/>
    <w:rsid w:val="000F669E"/>
    <w:rsid w:val="000F6A43"/>
    <w:rsid w:val="000F6C06"/>
    <w:rsid w:val="000F7210"/>
    <w:rsid w:val="000F72DD"/>
    <w:rsid w:val="000F7376"/>
    <w:rsid w:val="000F76D3"/>
    <w:rsid w:val="000F7DAF"/>
    <w:rsid w:val="00100315"/>
    <w:rsid w:val="00100319"/>
    <w:rsid w:val="00100488"/>
    <w:rsid w:val="00100D02"/>
    <w:rsid w:val="00100D3B"/>
    <w:rsid w:val="001011A3"/>
    <w:rsid w:val="00101683"/>
    <w:rsid w:val="00101A71"/>
    <w:rsid w:val="00101BCE"/>
    <w:rsid w:val="00101BD7"/>
    <w:rsid w:val="0010208C"/>
    <w:rsid w:val="001020E9"/>
    <w:rsid w:val="00102100"/>
    <w:rsid w:val="001022EC"/>
    <w:rsid w:val="00102508"/>
    <w:rsid w:val="00102C48"/>
    <w:rsid w:val="00102F26"/>
    <w:rsid w:val="00102F7E"/>
    <w:rsid w:val="00103030"/>
    <w:rsid w:val="00103277"/>
    <w:rsid w:val="0010373C"/>
    <w:rsid w:val="00103936"/>
    <w:rsid w:val="00103E90"/>
    <w:rsid w:val="00103F1F"/>
    <w:rsid w:val="00104200"/>
    <w:rsid w:val="0010425D"/>
    <w:rsid w:val="00104478"/>
    <w:rsid w:val="00104678"/>
    <w:rsid w:val="001048A5"/>
    <w:rsid w:val="0010494E"/>
    <w:rsid w:val="00104A89"/>
    <w:rsid w:val="00104CBE"/>
    <w:rsid w:val="0010566C"/>
    <w:rsid w:val="00105A3E"/>
    <w:rsid w:val="00105AC8"/>
    <w:rsid w:val="00105FB7"/>
    <w:rsid w:val="00106187"/>
    <w:rsid w:val="0010630E"/>
    <w:rsid w:val="00106B6C"/>
    <w:rsid w:val="00106E27"/>
    <w:rsid w:val="00106FE9"/>
    <w:rsid w:val="0010717E"/>
    <w:rsid w:val="001072FE"/>
    <w:rsid w:val="00107397"/>
    <w:rsid w:val="001076E3"/>
    <w:rsid w:val="0010784E"/>
    <w:rsid w:val="001078B8"/>
    <w:rsid w:val="001079A9"/>
    <w:rsid w:val="00107EB4"/>
    <w:rsid w:val="0011003F"/>
    <w:rsid w:val="00110399"/>
    <w:rsid w:val="001105B2"/>
    <w:rsid w:val="001116FC"/>
    <w:rsid w:val="00111932"/>
    <w:rsid w:val="00111B2E"/>
    <w:rsid w:val="001121A6"/>
    <w:rsid w:val="00112258"/>
    <w:rsid w:val="0011251A"/>
    <w:rsid w:val="00112795"/>
    <w:rsid w:val="00112799"/>
    <w:rsid w:val="00112BF2"/>
    <w:rsid w:val="00112C53"/>
    <w:rsid w:val="00112E7F"/>
    <w:rsid w:val="0011342E"/>
    <w:rsid w:val="00113AE5"/>
    <w:rsid w:val="00113B92"/>
    <w:rsid w:val="00113C52"/>
    <w:rsid w:val="001142F7"/>
    <w:rsid w:val="001144A6"/>
    <w:rsid w:val="0011485E"/>
    <w:rsid w:val="00114A9A"/>
    <w:rsid w:val="00114BBF"/>
    <w:rsid w:val="00114E95"/>
    <w:rsid w:val="001154B5"/>
    <w:rsid w:val="00115C22"/>
    <w:rsid w:val="00115F31"/>
    <w:rsid w:val="00116304"/>
    <w:rsid w:val="001165B7"/>
    <w:rsid w:val="001166CA"/>
    <w:rsid w:val="00116761"/>
    <w:rsid w:val="001168D9"/>
    <w:rsid w:val="001168EA"/>
    <w:rsid w:val="00116A13"/>
    <w:rsid w:val="00116A6F"/>
    <w:rsid w:val="00116B4F"/>
    <w:rsid w:val="00116BC4"/>
    <w:rsid w:val="00116C9F"/>
    <w:rsid w:val="00116FEB"/>
    <w:rsid w:val="0012050F"/>
    <w:rsid w:val="00120C0E"/>
    <w:rsid w:val="00120C9C"/>
    <w:rsid w:val="0012145A"/>
    <w:rsid w:val="00121608"/>
    <w:rsid w:val="00121BF9"/>
    <w:rsid w:val="00121D1B"/>
    <w:rsid w:val="00121E75"/>
    <w:rsid w:val="00122000"/>
    <w:rsid w:val="00122163"/>
    <w:rsid w:val="001221A0"/>
    <w:rsid w:val="001221C7"/>
    <w:rsid w:val="001222DD"/>
    <w:rsid w:val="00122596"/>
    <w:rsid w:val="00122817"/>
    <w:rsid w:val="0012294C"/>
    <w:rsid w:val="00122BC2"/>
    <w:rsid w:val="00122C19"/>
    <w:rsid w:val="00122C6B"/>
    <w:rsid w:val="00122DFB"/>
    <w:rsid w:val="00122E13"/>
    <w:rsid w:val="00122EC9"/>
    <w:rsid w:val="00123051"/>
    <w:rsid w:val="00123158"/>
    <w:rsid w:val="00123415"/>
    <w:rsid w:val="00123492"/>
    <w:rsid w:val="00123842"/>
    <w:rsid w:val="00123A1C"/>
    <w:rsid w:val="00123AF5"/>
    <w:rsid w:val="00123B12"/>
    <w:rsid w:val="00123C7F"/>
    <w:rsid w:val="00123D92"/>
    <w:rsid w:val="0012451E"/>
    <w:rsid w:val="00124C8B"/>
    <w:rsid w:val="00124DE7"/>
    <w:rsid w:val="00124E95"/>
    <w:rsid w:val="00125272"/>
    <w:rsid w:val="00125CA9"/>
    <w:rsid w:val="00125E9A"/>
    <w:rsid w:val="001261A4"/>
    <w:rsid w:val="001264AE"/>
    <w:rsid w:val="001264C3"/>
    <w:rsid w:val="00126550"/>
    <w:rsid w:val="0012690F"/>
    <w:rsid w:val="00126ACB"/>
    <w:rsid w:val="00126E62"/>
    <w:rsid w:val="00126E98"/>
    <w:rsid w:val="00127011"/>
    <w:rsid w:val="00127298"/>
    <w:rsid w:val="001273E3"/>
    <w:rsid w:val="00127621"/>
    <w:rsid w:val="0012766B"/>
    <w:rsid w:val="0012797B"/>
    <w:rsid w:val="00127C55"/>
    <w:rsid w:val="00130237"/>
    <w:rsid w:val="001302E2"/>
    <w:rsid w:val="001307AC"/>
    <w:rsid w:val="00130CCD"/>
    <w:rsid w:val="00130D91"/>
    <w:rsid w:val="00130FB1"/>
    <w:rsid w:val="001318BC"/>
    <w:rsid w:val="00131BA9"/>
    <w:rsid w:val="00131F93"/>
    <w:rsid w:val="00132020"/>
    <w:rsid w:val="00132134"/>
    <w:rsid w:val="001324E5"/>
    <w:rsid w:val="0013288E"/>
    <w:rsid w:val="00132C4E"/>
    <w:rsid w:val="00132FAA"/>
    <w:rsid w:val="00133016"/>
    <w:rsid w:val="00133536"/>
    <w:rsid w:val="0013394F"/>
    <w:rsid w:val="00134430"/>
    <w:rsid w:val="001347D0"/>
    <w:rsid w:val="00134B36"/>
    <w:rsid w:val="00134CA5"/>
    <w:rsid w:val="00134D79"/>
    <w:rsid w:val="001355C8"/>
    <w:rsid w:val="001357A3"/>
    <w:rsid w:val="0013607E"/>
    <w:rsid w:val="001361EE"/>
    <w:rsid w:val="00136577"/>
    <w:rsid w:val="0013692E"/>
    <w:rsid w:val="00137075"/>
    <w:rsid w:val="00137316"/>
    <w:rsid w:val="0014011E"/>
    <w:rsid w:val="00140491"/>
    <w:rsid w:val="001405F8"/>
    <w:rsid w:val="001406F0"/>
    <w:rsid w:val="00140C40"/>
    <w:rsid w:val="00140D18"/>
    <w:rsid w:val="00140D80"/>
    <w:rsid w:val="00140E51"/>
    <w:rsid w:val="001416F9"/>
    <w:rsid w:val="001417A3"/>
    <w:rsid w:val="00141910"/>
    <w:rsid w:val="00141A1D"/>
    <w:rsid w:val="00141B7F"/>
    <w:rsid w:val="00141B83"/>
    <w:rsid w:val="00141C68"/>
    <w:rsid w:val="00141E26"/>
    <w:rsid w:val="00141E4A"/>
    <w:rsid w:val="00141F95"/>
    <w:rsid w:val="0014241D"/>
    <w:rsid w:val="001424C2"/>
    <w:rsid w:val="001427E0"/>
    <w:rsid w:val="00142888"/>
    <w:rsid w:val="00142AD6"/>
    <w:rsid w:val="00142C5C"/>
    <w:rsid w:val="001431D5"/>
    <w:rsid w:val="001432D9"/>
    <w:rsid w:val="001433C2"/>
    <w:rsid w:val="0014378A"/>
    <w:rsid w:val="00143A9F"/>
    <w:rsid w:val="00143D0A"/>
    <w:rsid w:val="00143D84"/>
    <w:rsid w:val="00143D98"/>
    <w:rsid w:val="00144280"/>
    <w:rsid w:val="00144654"/>
    <w:rsid w:val="0014486D"/>
    <w:rsid w:val="00145003"/>
    <w:rsid w:val="0014536C"/>
    <w:rsid w:val="0014551A"/>
    <w:rsid w:val="00146446"/>
    <w:rsid w:val="00146546"/>
    <w:rsid w:val="001465A9"/>
    <w:rsid w:val="00146761"/>
    <w:rsid w:val="001467E0"/>
    <w:rsid w:val="00146AB7"/>
    <w:rsid w:val="00146BDA"/>
    <w:rsid w:val="00147043"/>
    <w:rsid w:val="00147366"/>
    <w:rsid w:val="001474E5"/>
    <w:rsid w:val="001478D2"/>
    <w:rsid w:val="00147997"/>
    <w:rsid w:val="00147B6D"/>
    <w:rsid w:val="00147D20"/>
    <w:rsid w:val="00147FD5"/>
    <w:rsid w:val="0015001A"/>
    <w:rsid w:val="001503E7"/>
    <w:rsid w:val="0015056B"/>
    <w:rsid w:val="00150682"/>
    <w:rsid w:val="00150786"/>
    <w:rsid w:val="00150868"/>
    <w:rsid w:val="00150CF4"/>
    <w:rsid w:val="001512E4"/>
    <w:rsid w:val="001513DC"/>
    <w:rsid w:val="00151574"/>
    <w:rsid w:val="00151656"/>
    <w:rsid w:val="0015183C"/>
    <w:rsid w:val="001518FD"/>
    <w:rsid w:val="00151D9E"/>
    <w:rsid w:val="00151E49"/>
    <w:rsid w:val="00151E69"/>
    <w:rsid w:val="00151ECF"/>
    <w:rsid w:val="00151FEF"/>
    <w:rsid w:val="0015222C"/>
    <w:rsid w:val="001524A8"/>
    <w:rsid w:val="0015258A"/>
    <w:rsid w:val="00152735"/>
    <w:rsid w:val="001528DF"/>
    <w:rsid w:val="00152B62"/>
    <w:rsid w:val="00152E0D"/>
    <w:rsid w:val="00153171"/>
    <w:rsid w:val="0015327C"/>
    <w:rsid w:val="00153304"/>
    <w:rsid w:val="001534FE"/>
    <w:rsid w:val="00153621"/>
    <w:rsid w:val="0015395F"/>
    <w:rsid w:val="00153995"/>
    <w:rsid w:val="001540EE"/>
    <w:rsid w:val="00154123"/>
    <w:rsid w:val="0015445B"/>
    <w:rsid w:val="001547B9"/>
    <w:rsid w:val="00154AC4"/>
    <w:rsid w:val="00154E37"/>
    <w:rsid w:val="0015515E"/>
    <w:rsid w:val="00155215"/>
    <w:rsid w:val="001553C7"/>
    <w:rsid w:val="001555A6"/>
    <w:rsid w:val="00155845"/>
    <w:rsid w:val="00155B7F"/>
    <w:rsid w:val="00155C5E"/>
    <w:rsid w:val="00155DA4"/>
    <w:rsid w:val="001564E3"/>
    <w:rsid w:val="00156651"/>
    <w:rsid w:val="0015679E"/>
    <w:rsid w:val="00156881"/>
    <w:rsid w:val="001568A3"/>
    <w:rsid w:val="00156CA2"/>
    <w:rsid w:val="00157403"/>
    <w:rsid w:val="0015747B"/>
    <w:rsid w:val="001574CC"/>
    <w:rsid w:val="00157B16"/>
    <w:rsid w:val="00157EFB"/>
    <w:rsid w:val="0016020E"/>
    <w:rsid w:val="001602F6"/>
    <w:rsid w:val="0016030F"/>
    <w:rsid w:val="0016036A"/>
    <w:rsid w:val="0016040C"/>
    <w:rsid w:val="00160BD5"/>
    <w:rsid w:val="00160F1C"/>
    <w:rsid w:val="001612F4"/>
    <w:rsid w:val="0016185C"/>
    <w:rsid w:val="00161BBC"/>
    <w:rsid w:val="00161BCF"/>
    <w:rsid w:val="00161D34"/>
    <w:rsid w:val="001620E2"/>
    <w:rsid w:val="00162216"/>
    <w:rsid w:val="001623B0"/>
    <w:rsid w:val="00162BF3"/>
    <w:rsid w:val="00162CA8"/>
    <w:rsid w:val="00162FF0"/>
    <w:rsid w:val="001630A6"/>
    <w:rsid w:val="0016363D"/>
    <w:rsid w:val="00163BF6"/>
    <w:rsid w:val="00163EBF"/>
    <w:rsid w:val="001642D3"/>
    <w:rsid w:val="00164708"/>
    <w:rsid w:val="001648A3"/>
    <w:rsid w:val="001649E7"/>
    <w:rsid w:val="00164CED"/>
    <w:rsid w:val="00164EB2"/>
    <w:rsid w:val="001652EB"/>
    <w:rsid w:val="001653FC"/>
    <w:rsid w:val="0016587C"/>
    <w:rsid w:val="0016602D"/>
    <w:rsid w:val="00166416"/>
    <w:rsid w:val="00166FBC"/>
    <w:rsid w:val="0016767C"/>
    <w:rsid w:val="0016769E"/>
    <w:rsid w:val="001677A8"/>
    <w:rsid w:val="0016791D"/>
    <w:rsid w:val="00167AAD"/>
    <w:rsid w:val="00167F50"/>
    <w:rsid w:val="001707B0"/>
    <w:rsid w:val="00170D12"/>
    <w:rsid w:val="00170D4E"/>
    <w:rsid w:val="00171263"/>
    <w:rsid w:val="001716B0"/>
    <w:rsid w:val="00171A50"/>
    <w:rsid w:val="00172195"/>
    <w:rsid w:val="00172357"/>
    <w:rsid w:val="001724F4"/>
    <w:rsid w:val="00172575"/>
    <w:rsid w:val="00172B10"/>
    <w:rsid w:val="00172B90"/>
    <w:rsid w:val="00172C3A"/>
    <w:rsid w:val="0017308A"/>
    <w:rsid w:val="00173686"/>
    <w:rsid w:val="00173B24"/>
    <w:rsid w:val="00173BF1"/>
    <w:rsid w:val="00173E61"/>
    <w:rsid w:val="00174E64"/>
    <w:rsid w:val="00175843"/>
    <w:rsid w:val="00175866"/>
    <w:rsid w:val="001758C8"/>
    <w:rsid w:val="00175BF9"/>
    <w:rsid w:val="00175D62"/>
    <w:rsid w:val="0017608B"/>
    <w:rsid w:val="00176579"/>
    <w:rsid w:val="00176630"/>
    <w:rsid w:val="00176995"/>
    <w:rsid w:val="00176CDE"/>
    <w:rsid w:val="00177193"/>
    <w:rsid w:val="00177556"/>
    <w:rsid w:val="0017758A"/>
    <w:rsid w:val="00177899"/>
    <w:rsid w:val="00177F55"/>
    <w:rsid w:val="00180316"/>
    <w:rsid w:val="0018038B"/>
    <w:rsid w:val="00180455"/>
    <w:rsid w:val="00180796"/>
    <w:rsid w:val="00180A81"/>
    <w:rsid w:val="00180EE0"/>
    <w:rsid w:val="00181660"/>
    <w:rsid w:val="00181775"/>
    <w:rsid w:val="001817F9"/>
    <w:rsid w:val="001818DA"/>
    <w:rsid w:val="0018237B"/>
    <w:rsid w:val="00182694"/>
    <w:rsid w:val="00182D6E"/>
    <w:rsid w:val="001833AB"/>
    <w:rsid w:val="001835AE"/>
    <w:rsid w:val="00183754"/>
    <w:rsid w:val="001837D7"/>
    <w:rsid w:val="001841D1"/>
    <w:rsid w:val="00184439"/>
    <w:rsid w:val="0018456C"/>
    <w:rsid w:val="00184843"/>
    <w:rsid w:val="001848CC"/>
    <w:rsid w:val="00184CC0"/>
    <w:rsid w:val="00185116"/>
    <w:rsid w:val="00185D26"/>
    <w:rsid w:val="00185E49"/>
    <w:rsid w:val="00185EEA"/>
    <w:rsid w:val="001866B0"/>
    <w:rsid w:val="00186809"/>
    <w:rsid w:val="00186C4B"/>
    <w:rsid w:val="00186CCC"/>
    <w:rsid w:val="00186DA4"/>
    <w:rsid w:val="0018743A"/>
    <w:rsid w:val="0018758E"/>
    <w:rsid w:val="00190941"/>
    <w:rsid w:val="00190C76"/>
    <w:rsid w:val="0019216A"/>
    <w:rsid w:val="00192197"/>
    <w:rsid w:val="0019224E"/>
    <w:rsid w:val="001923D3"/>
    <w:rsid w:val="001925E3"/>
    <w:rsid w:val="00192B20"/>
    <w:rsid w:val="00192BEC"/>
    <w:rsid w:val="001930B0"/>
    <w:rsid w:val="001930FB"/>
    <w:rsid w:val="00193204"/>
    <w:rsid w:val="00193598"/>
    <w:rsid w:val="0019376A"/>
    <w:rsid w:val="0019393C"/>
    <w:rsid w:val="00193FCB"/>
    <w:rsid w:val="001943A7"/>
    <w:rsid w:val="001945CE"/>
    <w:rsid w:val="0019498F"/>
    <w:rsid w:val="00194CEF"/>
    <w:rsid w:val="00194D89"/>
    <w:rsid w:val="00194D8D"/>
    <w:rsid w:val="00194DC1"/>
    <w:rsid w:val="00195139"/>
    <w:rsid w:val="001953EF"/>
    <w:rsid w:val="00195547"/>
    <w:rsid w:val="00195C37"/>
    <w:rsid w:val="00195D3B"/>
    <w:rsid w:val="00195D47"/>
    <w:rsid w:val="00195E4C"/>
    <w:rsid w:val="00195FCD"/>
    <w:rsid w:val="0019606A"/>
    <w:rsid w:val="00196874"/>
    <w:rsid w:val="00196CC8"/>
    <w:rsid w:val="001970A3"/>
    <w:rsid w:val="0019713C"/>
    <w:rsid w:val="0019757F"/>
    <w:rsid w:val="00197BAA"/>
    <w:rsid w:val="00197F5F"/>
    <w:rsid w:val="001A0593"/>
    <w:rsid w:val="001A08F3"/>
    <w:rsid w:val="001A08F6"/>
    <w:rsid w:val="001A13EC"/>
    <w:rsid w:val="001A179D"/>
    <w:rsid w:val="001A1862"/>
    <w:rsid w:val="001A1AB8"/>
    <w:rsid w:val="001A25FC"/>
    <w:rsid w:val="001A2705"/>
    <w:rsid w:val="001A281D"/>
    <w:rsid w:val="001A2A4B"/>
    <w:rsid w:val="001A2A93"/>
    <w:rsid w:val="001A2B67"/>
    <w:rsid w:val="001A2C8A"/>
    <w:rsid w:val="001A2F49"/>
    <w:rsid w:val="001A2F4B"/>
    <w:rsid w:val="001A2F80"/>
    <w:rsid w:val="001A3035"/>
    <w:rsid w:val="001A3257"/>
    <w:rsid w:val="001A3278"/>
    <w:rsid w:val="001A343E"/>
    <w:rsid w:val="001A36CB"/>
    <w:rsid w:val="001A3D06"/>
    <w:rsid w:val="001A406B"/>
    <w:rsid w:val="001A40B8"/>
    <w:rsid w:val="001A4319"/>
    <w:rsid w:val="001A4441"/>
    <w:rsid w:val="001A448B"/>
    <w:rsid w:val="001A44DB"/>
    <w:rsid w:val="001A4A2F"/>
    <w:rsid w:val="001A4C20"/>
    <w:rsid w:val="001A5159"/>
    <w:rsid w:val="001A5532"/>
    <w:rsid w:val="001A55E4"/>
    <w:rsid w:val="001A573F"/>
    <w:rsid w:val="001A5C66"/>
    <w:rsid w:val="001A5DE9"/>
    <w:rsid w:val="001A60FB"/>
    <w:rsid w:val="001A64E7"/>
    <w:rsid w:val="001A6C00"/>
    <w:rsid w:val="001A6DE2"/>
    <w:rsid w:val="001A6E76"/>
    <w:rsid w:val="001A71CB"/>
    <w:rsid w:val="001A7535"/>
    <w:rsid w:val="001A75F8"/>
    <w:rsid w:val="001A79D6"/>
    <w:rsid w:val="001A7CF9"/>
    <w:rsid w:val="001B026D"/>
    <w:rsid w:val="001B03FD"/>
    <w:rsid w:val="001B04D2"/>
    <w:rsid w:val="001B0550"/>
    <w:rsid w:val="001B070C"/>
    <w:rsid w:val="001B0B6A"/>
    <w:rsid w:val="001B0E84"/>
    <w:rsid w:val="001B0F91"/>
    <w:rsid w:val="001B0FB5"/>
    <w:rsid w:val="001B11C9"/>
    <w:rsid w:val="001B17D9"/>
    <w:rsid w:val="001B1B84"/>
    <w:rsid w:val="001B1BC3"/>
    <w:rsid w:val="001B1D1F"/>
    <w:rsid w:val="001B26DE"/>
    <w:rsid w:val="001B284B"/>
    <w:rsid w:val="001B2881"/>
    <w:rsid w:val="001B2BAB"/>
    <w:rsid w:val="001B3119"/>
    <w:rsid w:val="001B375A"/>
    <w:rsid w:val="001B3D76"/>
    <w:rsid w:val="001B4254"/>
    <w:rsid w:val="001B4713"/>
    <w:rsid w:val="001B481A"/>
    <w:rsid w:val="001B49CB"/>
    <w:rsid w:val="001B4BAA"/>
    <w:rsid w:val="001B4C0C"/>
    <w:rsid w:val="001B4F65"/>
    <w:rsid w:val="001B5802"/>
    <w:rsid w:val="001B62F3"/>
    <w:rsid w:val="001B67C5"/>
    <w:rsid w:val="001B68ED"/>
    <w:rsid w:val="001B6F51"/>
    <w:rsid w:val="001B75C5"/>
    <w:rsid w:val="001B7C04"/>
    <w:rsid w:val="001B7E75"/>
    <w:rsid w:val="001C0339"/>
    <w:rsid w:val="001C0385"/>
    <w:rsid w:val="001C03CD"/>
    <w:rsid w:val="001C0538"/>
    <w:rsid w:val="001C0556"/>
    <w:rsid w:val="001C08A3"/>
    <w:rsid w:val="001C0AE7"/>
    <w:rsid w:val="001C0B6F"/>
    <w:rsid w:val="001C1341"/>
    <w:rsid w:val="001C1366"/>
    <w:rsid w:val="001C1445"/>
    <w:rsid w:val="001C147A"/>
    <w:rsid w:val="001C1732"/>
    <w:rsid w:val="001C1CE5"/>
    <w:rsid w:val="001C1DB4"/>
    <w:rsid w:val="001C20BF"/>
    <w:rsid w:val="001C24E0"/>
    <w:rsid w:val="001C29C2"/>
    <w:rsid w:val="001C2AFA"/>
    <w:rsid w:val="001C2D74"/>
    <w:rsid w:val="001C2FF4"/>
    <w:rsid w:val="001C388C"/>
    <w:rsid w:val="001C3C1C"/>
    <w:rsid w:val="001C3C53"/>
    <w:rsid w:val="001C434D"/>
    <w:rsid w:val="001C43A2"/>
    <w:rsid w:val="001C4741"/>
    <w:rsid w:val="001C4E39"/>
    <w:rsid w:val="001C50C8"/>
    <w:rsid w:val="001C5464"/>
    <w:rsid w:val="001C550E"/>
    <w:rsid w:val="001C55F8"/>
    <w:rsid w:val="001C5776"/>
    <w:rsid w:val="001C59F3"/>
    <w:rsid w:val="001C5F1B"/>
    <w:rsid w:val="001C60BA"/>
    <w:rsid w:val="001C655E"/>
    <w:rsid w:val="001C66F7"/>
    <w:rsid w:val="001C686F"/>
    <w:rsid w:val="001C68E4"/>
    <w:rsid w:val="001C6CB0"/>
    <w:rsid w:val="001C6D6C"/>
    <w:rsid w:val="001C71D2"/>
    <w:rsid w:val="001C7306"/>
    <w:rsid w:val="001C7BEC"/>
    <w:rsid w:val="001C7C6A"/>
    <w:rsid w:val="001C7D4E"/>
    <w:rsid w:val="001C7E53"/>
    <w:rsid w:val="001D011B"/>
    <w:rsid w:val="001D0AEF"/>
    <w:rsid w:val="001D1184"/>
    <w:rsid w:val="001D18A5"/>
    <w:rsid w:val="001D1987"/>
    <w:rsid w:val="001D1D7C"/>
    <w:rsid w:val="001D2131"/>
    <w:rsid w:val="001D2516"/>
    <w:rsid w:val="001D2600"/>
    <w:rsid w:val="001D275A"/>
    <w:rsid w:val="001D3387"/>
    <w:rsid w:val="001D38A5"/>
    <w:rsid w:val="001D3D80"/>
    <w:rsid w:val="001D3D83"/>
    <w:rsid w:val="001D40D8"/>
    <w:rsid w:val="001D434A"/>
    <w:rsid w:val="001D449C"/>
    <w:rsid w:val="001D4608"/>
    <w:rsid w:val="001D4727"/>
    <w:rsid w:val="001D47F5"/>
    <w:rsid w:val="001D4BFC"/>
    <w:rsid w:val="001D507D"/>
    <w:rsid w:val="001D5180"/>
    <w:rsid w:val="001D5387"/>
    <w:rsid w:val="001D5406"/>
    <w:rsid w:val="001D556B"/>
    <w:rsid w:val="001D5AEC"/>
    <w:rsid w:val="001D5C20"/>
    <w:rsid w:val="001D5DBE"/>
    <w:rsid w:val="001D5F84"/>
    <w:rsid w:val="001D601E"/>
    <w:rsid w:val="001D604A"/>
    <w:rsid w:val="001D6094"/>
    <w:rsid w:val="001D62FF"/>
    <w:rsid w:val="001D6659"/>
    <w:rsid w:val="001D6DB5"/>
    <w:rsid w:val="001D793A"/>
    <w:rsid w:val="001E0588"/>
    <w:rsid w:val="001E0672"/>
    <w:rsid w:val="001E0B20"/>
    <w:rsid w:val="001E0B2A"/>
    <w:rsid w:val="001E0E02"/>
    <w:rsid w:val="001E0E08"/>
    <w:rsid w:val="001E101E"/>
    <w:rsid w:val="001E12BD"/>
    <w:rsid w:val="001E14B7"/>
    <w:rsid w:val="001E16AB"/>
    <w:rsid w:val="001E170F"/>
    <w:rsid w:val="001E245C"/>
    <w:rsid w:val="001E2640"/>
    <w:rsid w:val="001E2B06"/>
    <w:rsid w:val="001E2C58"/>
    <w:rsid w:val="001E2D54"/>
    <w:rsid w:val="001E336E"/>
    <w:rsid w:val="001E34A1"/>
    <w:rsid w:val="001E3510"/>
    <w:rsid w:val="001E35EE"/>
    <w:rsid w:val="001E369F"/>
    <w:rsid w:val="001E37BB"/>
    <w:rsid w:val="001E3A00"/>
    <w:rsid w:val="001E3E44"/>
    <w:rsid w:val="001E4623"/>
    <w:rsid w:val="001E46AA"/>
    <w:rsid w:val="001E46C8"/>
    <w:rsid w:val="001E470D"/>
    <w:rsid w:val="001E49EC"/>
    <w:rsid w:val="001E4A7B"/>
    <w:rsid w:val="001E4B34"/>
    <w:rsid w:val="001E4F0C"/>
    <w:rsid w:val="001E5D6F"/>
    <w:rsid w:val="001E5E65"/>
    <w:rsid w:val="001E5FF5"/>
    <w:rsid w:val="001E6479"/>
    <w:rsid w:val="001E681C"/>
    <w:rsid w:val="001E6ABB"/>
    <w:rsid w:val="001E6C1B"/>
    <w:rsid w:val="001E6F5E"/>
    <w:rsid w:val="001E7358"/>
    <w:rsid w:val="001E735B"/>
    <w:rsid w:val="001E76F3"/>
    <w:rsid w:val="001E7CF7"/>
    <w:rsid w:val="001F02D5"/>
    <w:rsid w:val="001F0923"/>
    <w:rsid w:val="001F094B"/>
    <w:rsid w:val="001F0CC4"/>
    <w:rsid w:val="001F0DAE"/>
    <w:rsid w:val="001F0E16"/>
    <w:rsid w:val="001F0F4C"/>
    <w:rsid w:val="001F1230"/>
    <w:rsid w:val="001F191E"/>
    <w:rsid w:val="001F1D0A"/>
    <w:rsid w:val="001F21AB"/>
    <w:rsid w:val="001F24E0"/>
    <w:rsid w:val="001F2B9A"/>
    <w:rsid w:val="001F2D51"/>
    <w:rsid w:val="001F3507"/>
    <w:rsid w:val="001F374F"/>
    <w:rsid w:val="001F3A46"/>
    <w:rsid w:val="001F3DC1"/>
    <w:rsid w:val="001F425E"/>
    <w:rsid w:val="001F4741"/>
    <w:rsid w:val="001F4A80"/>
    <w:rsid w:val="001F4D7D"/>
    <w:rsid w:val="001F5041"/>
    <w:rsid w:val="001F529C"/>
    <w:rsid w:val="001F5C85"/>
    <w:rsid w:val="001F5CD9"/>
    <w:rsid w:val="001F5E29"/>
    <w:rsid w:val="001F6038"/>
    <w:rsid w:val="001F60A4"/>
    <w:rsid w:val="001F643F"/>
    <w:rsid w:val="001F72B6"/>
    <w:rsid w:val="001F7500"/>
    <w:rsid w:val="001F774B"/>
    <w:rsid w:val="001F783F"/>
    <w:rsid w:val="001F78BA"/>
    <w:rsid w:val="001F7B77"/>
    <w:rsid w:val="001F7E71"/>
    <w:rsid w:val="001FBB00"/>
    <w:rsid w:val="002000AB"/>
    <w:rsid w:val="002001BE"/>
    <w:rsid w:val="00200872"/>
    <w:rsid w:val="00200C0E"/>
    <w:rsid w:val="00200F49"/>
    <w:rsid w:val="00200F69"/>
    <w:rsid w:val="00201389"/>
    <w:rsid w:val="00201E58"/>
    <w:rsid w:val="0020214D"/>
    <w:rsid w:val="002029C9"/>
    <w:rsid w:val="00202B9E"/>
    <w:rsid w:val="00202D01"/>
    <w:rsid w:val="00202D8D"/>
    <w:rsid w:val="00202F53"/>
    <w:rsid w:val="002033FC"/>
    <w:rsid w:val="0020349B"/>
    <w:rsid w:val="002034D0"/>
    <w:rsid w:val="0020354D"/>
    <w:rsid w:val="00203907"/>
    <w:rsid w:val="00203DB6"/>
    <w:rsid w:val="00203DFD"/>
    <w:rsid w:val="00203ECE"/>
    <w:rsid w:val="00203F05"/>
    <w:rsid w:val="00204132"/>
    <w:rsid w:val="00204330"/>
    <w:rsid w:val="002043AD"/>
    <w:rsid w:val="00204588"/>
    <w:rsid w:val="002045A0"/>
    <w:rsid w:val="002046CC"/>
    <w:rsid w:val="0020475A"/>
    <w:rsid w:val="0020481E"/>
    <w:rsid w:val="00204B27"/>
    <w:rsid w:val="00204C6D"/>
    <w:rsid w:val="0020513B"/>
    <w:rsid w:val="00205574"/>
    <w:rsid w:val="00205ACE"/>
    <w:rsid w:val="00205B45"/>
    <w:rsid w:val="00205B6A"/>
    <w:rsid w:val="00205C06"/>
    <w:rsid w:val="00205FBA"/>
    <w:rsid w:val="002063D8"/>
    <w:rsid w:val="0020644D"/>
    <w:rsid w:val="00206663"/>
    <w:rsid w:val="00206671"/>
    <w:rsid w:val="00206B22"/>
    <w:rsid w:val="00206EB6"/>
    <w:rsid w:val="00206EE1"/>
    <w:rsid w:val="0020762A"/>
    <w:rsid w:val="00207633"/>
    <w:rsid w:val="00207C5E"/>
    <w:rsid w:val="0021036E"/>
    <w:rsid w:val="002104A6"/>
    <w:rsid w:val="0021159E"/>
    <w:rsid w:val="00211B77"/>
    <w:rsid w:val="00211B78"/>
    <w:rsid w:val="002120C9"/>
    <w:rsid w:val="00212466"/>
    <w:rsid w:val="00212C60"/>
    <w:rsid w:val="00213356"/>
    <w:rsid w:val="002133C8"/>
    <w:rsid w:val="002135DC"/>
    <w:rsid w:val="00213645"/>
    <w:rsid w:val="002138D3"/>
    <w:rsid w:val="00213B94"/>
    <w:rsid w:val="00213D45"/>
    <w:rsid w:val="00214780"/>
    <w:rsid w:val="002148DA"/>
    <w:rsid w:val="00215027"/>
    <w:rsid w:val="002153D2"/>
    <w:rsid w:val="00215564"/>
    <w:rsid w:val="002159B7"/>
    <w:rsid w:val="002159CB"/>
    <w:rsid w:val="002159E4"/>
    <w:rsid w:val="00215A5B"/>
    <w:rsid w:val="00215A8A"/>
    <w:rsid w:val="00215C6F"/>
    <w:rsid w:val="0021604C"/>
    <w:rsid w:val="00216123"/>
    <w:rsid w:val="00216249"/>
    <w:rsid w:val="0021641A"/>
    <w:rsid w:val="002177A9"/>
    <w:rsid w:val="00217C24"/>
    <w:rsid w:val="00220649"/>
    <w:rsid w:val="00220790"/>
    <w:rsid w:val="00220D6C"/>
    <w:rsid w:val="00221636"/>
    <w:rsid w:val="00221851"/>
    <w:rsid w:val="0022188A"/>
    <w:rsid w:val="00221B21"/>
    <w:rsid w:val="002229A8"/>
    <w:rsid w:val="00222CD3"/>
    <w:rsid w:val="00223354"/>
    <w:rsid w:val="002233B1"/>
    <w:rsid w:val="0022369A"/>
    <w:rsid w:val="00223933"/>
    <w:rsid w:val="002239ED"/>
    <w:rsid w:val="00223A9C"/>
    <w:rsid w:val="00223CE0"/>
    <w:rsid w:val="00223DC4"/>
    <w:rsid w:val="00223F1E"/>
    <w:rsid w:val="002240C7"/>
    <w:rsid w:val="002240F5"/>
    <w:rsid w:val="002242FD"/>
    <w:rsid w:val="00224344"/>
    <w:rsid w:val="002245DA"/>
    <w:rsid w:val="002246AC"/>
    <w:rsid w:val="00224815"/>
    <w:rsid w:val="00224F19"/>
    <w:rsid w:val="00224FA8"/>
    <w:rsid w:val="002251B5"/>
    <w:rsid w:val="002253A5"/>
    <w:rsid w:val="00225785"/>
    <w:rsid w:val="0022611F"/>
    <w:rsid w:val="00226246"/>
    <w:rsid w:val="00226253"/>
    <w:rsid w:val="00226AFB"/>
    <w:rsid w:val="00226C57"/>
    <w:rsid w:val="00226CE4"/>
    <w:rsid w:val="00226F2A"/>
    <w:rsid w:val="00226F71"/>
    <w:rsid w:val="002270FB"/>
    <w:rsid w:val="00227351"/>
    <w:rsid w:val="00227387"/>
    <w:rsid w:val="00227390"/>
    <w:rsid w:val="002276C5"/>
    <w:rsid w:val="0022793D"/>
    <w:rsid w:val="00227AB3"/>
    <w:rsid w:val="00230088"/>
    <w:rsid w:val="002301BA"/>
    <w:rsid w:val="0023028A"/>
    <w:rsid w:val="0023028E"/>
    <w:rsid w:val="00230715"/>
    <w:rsid w:val="002309D8"/>
    <w:rsid w:val="00230A0E"/>
    <w:rsid w:val="00230A19"/>
    <w:rsid w:val="00230A3D"/>
    <w:rsid w:val="00230AA1"/>
    <w:rsid w:val="00230AA9"/>
    <w:rsid w:val="00230F1F"/>
    <w:rsid w:val="00230F37"/>
    <w:rsid w:val="00231083"/>
    <w:rsid w:val="002315CD"/>
    <w:rsid w:val="00231653"/>
    <w:rsid w:val="00232366"/>
    <w:rsid w:val="00232ADD"/>
    <w:rsid w:val="00232B99"/>
    <w:rsid w:val="00232CDD"/>
    <w:rsid w:val="00232D04"/>
    <w:rsid w:val="00232D17"/>
    <w:rsid w:val="00232DDA"/>
    <w:rsid w:val="002332DD"/>
    <w:rsid w:val="00233911"/>
    <w:rsid w:val="00234125"/>
    <w:rsid w:val="002347BE"/>
    <w:rsid w:val="00234984"/>
    <w:rsid w:val="00234D84"/>
    <w:rsid w:val="002350D2"/>
    <w:rsid w:val="002353C7"/>
    <w:rsid w:val="0023542D"/>
    <w:rsid w:val="002354DF"/>
    <w:rsid w:val="002357B0"/>
    <w:rsid w:val="00235BAF"/>
    <w:rsid w:val="00235EA4"/>
    <w:rsid w:val="002360EE"/>
    <w:rsid w:val="00236562"/>
    <w:rsid w:val="00236A10"/>
    <w:rsid w:val="00236BD8"/>
    <w:rsid w:val="00236F12"/>
    <w:rsid w:val="00237084"/>
    <w:rsid w:val="002371EF"/>
    <w:rsid w:val="00237340"/>
    <w:rsid w:val="0023790D"/>
    <w:rsid w:val="00237C77"/>
    <w:rsid w:val="00237D81"/>
    <w:rsid w:val="002404B5"/>
    <w:rsid w:val="00241006"/>
    <w:rsid w:val="002413DA"/>
    <w:rsid w:val="0024157C"/>
    <w:rsid w:val="002417EE"/>
    <w:rsid w:val="00241FC2"/>
    <w:rsid w:val="00242191"/>
    <w:rsid w:val="002429F8"/>
    <w:rsid w:val="00242A46"/>
    <w:rsid w:val="00242CD0"/>
    <w:rsid w:val="00242D0A"/>
    <w:rsid w:val="00242E75"/>
    <w:rsid w:val="0024302C"/>
    <w:rsid w:val="002431C3"/>
    <w:rsid w:val="002433D5"/>
    <w:rsid w:val="0024361B"/>
    <w:rsid w:val="0024385B"/>
    <w:rsid w:val="0024393A"/>
    <w:rsid w:val="00243A8F"/>
    <w:rsid w:val="00243DB9"/>
    <w:rsid w:val="00244074"/>
    <w:rsid w:val="00244084"/>
    <w:rsid w:val="002443D4"/>
    <w:rsid w:val="00244464"/>
    <w:rsid w:val="0024479D"/>
    <w:rsid w:val="0024534F"/>
    <w:rsid w:val="00245537"/>
    <w:rsid w:val="0024559F"/>
    <w:rsid w:val="002455CC"/>
    <w:rsid w:val="002455CF"/>
    <w:rsid w:val="0024575E"/>
    <w:rsid w:val="00245FAD"/>
    <w:rsid w:val="00245FB9"/>
    <w:rsid w:val="00246196"/>
    <w:rsid w:val="002465BE"/>
    <w:rsid w:val="002465E5"/>
    <w:rsid w:val="00246686"/>
    <w:rsid w:val="00246853"/>
    <w:rsid w:val="002470B6"/>
    <w:rsid w:val="0024750F"/>
    <w:rsid w:val="002479E5"/>
    <w:rsid w:val="00247BD8"/>
    <w:rsid w:val="00247C64"/>
    <w:rsid w:val="0025009E"/>
    <w:rsid w:val="00250119"/>
    <w:rsid w:val="00250307"/>
    <w:rsid w:val="00250471"/>
    <w:rsid w:val="00250541"/>
    <w:rsid w:val="00250667"/>
    <w:rsid w:val="00250F5C"/>
    <w:rsid w:val="002511D2"/>
    <w:rsid w:val="002518D2"/>
    <w:rsid w:val="00251B8A"/>
    <w:rsid w:val="00251CBC"/>
    <w:rsid w:val="00251F1A"/>
    <w:rsid w:val="00252292"/>
    <w:rsid w:val="002528BC"/>
    <w:rsid w:val="00252A0C"/>
    <w:rsid w:val="00252AEC"/>
    <w:rsid w:val="00252C3E"/>
    <w:rsid w:val="00252D65"/>
    <w:rsid w:val="00252F86"/>
    <w:rsid w:val="00253128"/>
    <w:rsid w:val="002532B9"/>
    <w:rsid w:val="002538B0"/>
    <w:rsid w:val="00253A9B"/>
    <w:rsid w:val="00253C5B"/>
    <w:rsid w:val="00253F41"/>
    <w:rsid w:val="0025490F"/>
    <w:rsid w:val="00254913"/>
    <w:rsid w:val="00254F21"/>
    <w:rsid w:val="002558CD"/>
    <w:rsid w:val="00255A2A"/>
    <w:rsid w:val="00255A4C"/>
    <w:rsid w:val="00255D0E"/>
    <w:rsid w:val="002560AD"/>
    <w:rsid w:val="002560AF"/>
    <w:rsid w:val="002561F9"/>
    <w:rsid w:val="0025623A"/>
    <w:rsid w:val="002565A3"/>
    <w:rsid w:val="00256B37"/>
    <w:rsid w:val="00256C86"/>
    <w:rsid w:val="00257005"/>
    <w:rsid w:val="002574E1"/>
    <w:rsid w:val="002575CB"/>
    <w:rsid w:val="00257DAF"/>
    <w:rsid w:val="00257F94"/>
    <w:rsid w:val="00260084"/>
    <w:rsid w:val="00260220"/>
    <w:rsid w:val="00260438"/>
    <w:rsid w:val="00260648"/>
    <w:rsid w:val="00260A7A"/>
    <w:rsid w:val="00260C89"/>
    <w:rsid w:val="00260F95"/>
    <w:rsid w:val="002611A7"/>
    <w:rsid w:val="002613FC"/>
    <w:rsid w:val="002619AE"/>
    <w:rsid w:val="002619EE"/>
    <w:rsid w:val="00261FF0"/>
    <w:rsid w:val="0026259B"/>
    <w:rsid w:val="0026273D"/>
    <w:rsid w:val="00262846"/>
    <w:rsid w:val="0026357B"/>
    <w:rsid w:val="002643BA"/>
    <w:rsid w:val="0026450D"/>
    <w:rsid w:val="00264A54"/>
    <w:rsid w:val="00264A90"/>
    <w:rsid w:val="00264B39"/>
    <w:rsid w:val="00264CFD"/>
    <w:rsid w:val="00264D23"/>
    <w:rsid w:val="00264F39"/>
    <w:rsid w:val="0026500E"/>
    <w:rsid w:val="00265B90"/>
    <w:rsid w:val="00265EC7"/>
    <w:rsid w:val="00265ED8"/>
    <w:rsid w:val="0026616E"/>
    <w:rsid w:val="002665B1"/>
    <w:rsid w:val="00266A33"/>
    <w:rsid w:val="00266A6A"/>
    <w:rsid w:val="00267415"/>
    <w:rsid w:val="0026775E"/>
    <w:rsid w:val="00267F2D"/>
    <w:rsid w:val="00267F4C"/>
    <w:rsid w:val="002700EB"/>
    <w:rsid w:val="00270278"/>
    <w:rsid w:val="002703D4"/>
    <w:rsid w:val="002704DC"/>
    <w:rsid w:val="002708ED"/>
    <w:rsid w:val="00270C17"/>
    <w:rsid w:val="0027117A"/>
    <w:rsid w:val="002713BA"/>
    <w:rsid w:val="00271438"/>
    <w:rsid w:val="00271439"/>
    <w:rsid w:val="00271613"/>
    <w:rsid w:val="00271ACA"/>
    <w:rsid w:val="00271AD8"/>
    <w:rsid w:val="00271BB0"/>
    <w:rsid w:val="00271DB0"/>
    <w:rsid w:val="002720D2"/>
    <w:rsid w:val="00272138"/>
    <w:rsid w:val="00272164"/>
    <w:rsid w:val="002721B1"/>
    <w:rsid w:val="00272358"/>
    <w:rsid w:val="002728C6"/>
    <w:rsid w:val="00272B43"/>
    <w:rsid w:val="00272D99"/>
    <w:rsid w:val="0027311A"/>
    <w:rsid w:val="00273524"/>
    <w:rsid w:val="00273767"/>
    <w:rsid w:val="0027381F"/>
    <w:rsid w:val="002738A7"/>
    <w:rsid w:val="00273C7D"/>
    <w:rsid w:val="002742E7"/>
    <w:rsid w:val="0027488F"/>
    <w:rsid w:val="00274A83"/>
    <w:rsid w:val="00274BD1"/>
    <w:rsid w:val="00274E39"/>
    <w:rsid w:val="00274E6D"/>
    <w:rsid w:val="00274F88"/>
    <w:rsid w:val="00275495"/>
    <w:rsid w:val="002756DE"/>
    <w:rsid w:val="002757D4"/>
    <w:rsid w:val="00276378"/>
    <w:rsid w:val="0027755A"/>
    <w:rsid w:val="00280377"/>
    <w:rsid w:val="00280415"/>
    <w:rsid w:val="002804A5"/>
    <w:rsid w:val="00280564"/>
    <w:rsid w:val="00280693"/>
    <w:rsid w:val="002807F5"/>
    <w:rsid w:val="002809AE"/>
    <w:rsid w:val="00281084"/>
    <w:rsid w:val="0028126A"/>
    <w:rsid w:val="002814ED"/>
    <w:rsid w:val="0028154A"/>
    <w:rsid w:val="0028154C"/>
    <w:rsid w:val="00281CA6"/>
    <w:rsid w:val="00281F74"/>
    <w:rsid w:val="002820BA"/>
    <w:rsid w:val="002821A0"/>
    <w:rsid w:val="00282482"/>
    <w:rsid w:val="00282483"/>
    <w:rsid w:val="00282C2E"/>
    <w:rsid w:val="0028359D"/>
    <w:rsid w:val="002837CD"/>
    <w:rsid w:val="002837E6"/>
    <w:rsid w:val="002839C4"/>
    <w:rsid w:val="00283CDA"/>
    <w:rsid w:val="00283D66"/>
    <w:rsid w:val="00283DBB"/>
    <w:rsid w:val="00283E2A"/>
    <w:rsid w:val="0028424E"/>
    <w:rsid w:val="0028443E"/>
    <w:rsid w:val="00284474"/>
    <w:rsid w:val="002846BA"/>
    <w:rsid w:val="002848DF"/>
    <w:rsid w:val="0028495A"/>
    <w:rsid w:val="00284EDE"/>
    <w:rsid w:val="00284F4A"/>
    <w:rsid w:val="00284FF9"/>
    <w:rsid w:val="002850CD"/>
    <w:rsid w:val="00285387"/>
    <w:rsid w:val="002859B6"/>
    <w:rsid w:val="00285BDC"/>
    <w:rsid w:val="002863FF"/>
    <w:rsid w:val="002864AE"/>
    <w:rsid w:val="002864D4"/>
    <w:rsid w:val="00286601"/>
    <w:rsid w:val="002866F3"/>
    <w:rsid w:val="00286707"/>
    <w:rsid w:val="00286815"/>
    <w:rsid w:val="00286AB1"/>
    <w:rsid w:val="00286C4B"/>
    <w:rsid w:val="00286D0A"/>
    <w:rsid w:val="00286F5A"/>
    <w:rsid w:val="00287070"/>
    <w:rsid w:val="002870C9"/>
    <w:rsid w:val="002876DF"/>
    <w:rsid w:val="0028785C"/>
    <w:rsid w:val="00287EBE"/>
    <w:rsid w:val="002900A4"/>
    <w:rsid w:val="00290339"/>
    <w:rsid w:val="0029061D"/>
    <w:rsid w:val="00290A4F"/>
    <w:rsid w:val="00290C1A"/>
    <w:rsid w:val="002913C8"/>
    <w:rsid w:val="00291AE9"/>
    <w:rsid w:val="0029217F"/>
    <w:rsid w:val="00292262"/>
    <w:rsid w:val="00292B4C"/>
    <w:rsid w:val="00292B5F"/>
    <w:rsid w:val="00292CB0"/>
    <w:rsid w:val="00292DAD"/>
    <w:rsid w:val="00292F44"/>
    <w:rsid w:val="00293842"/>
    <w:rsid w:val="00293A6F"/>
    <w:rsid w:val="00293EE6"/>
    <w:rsid w:val="00293FE5"/>
    <w:rsid w:val="0029435F"/>
    <w:rsid w:val="00294467"/>
    <w:rsid w:val="00294535"/>
    <w:rsid w:val="00294988"/>
    <w:rsid w:val="00294B52"/>
    <w:rsid w:val="00294C02"/>
    <w:rsid w:val="002951F8"/>
    <w:rsid w:val="00295391"/>
    <w:rsid w:val="00295891"/>
    <w:rsid w:val="00295C07"/>
    <w:rsid w:val="00295CA7"/>
    <w:rsid w:val="00295CE8"/>
    <w:rsid w:val="0029602A"/>
    <w:rsid w:val="00296132"/>
    <w:rsid w:val="002961F8"/>
    <w:rsid w:val="002968D2"/>
    <w:rsid w:val="00296901"/>
    <w:rsid w:val="00296D8C"/>
    <w:rsid w:val="00296DF2"/>
    <w:rsid w:val="00296E59"/>
    <w:rsid w:val="002971ED"/>
    <w:rsid w:val="00297687"/>
    <w:rsid w:val="002977B9"/>
    <w:rsid w:val="00297943"/>
    <w:rsid w:val="00297B86"/>
    <w:rsid w:val="00297CF0"/>
    <w:rsid w:val="00297D10"/>
    <w:rsid w:val="00297D27"/>
    <w:rsid w:val="00297D28"/>
    <w:rsid w:val="00297EBF"/>
    <w:rsid w:val="002A0336"/>
    <w:rsid w:val="002A0406"/>
    <w:rsid w:val="002A055B"/>
    <w:rsid w:val="002A0C5D"/>
    <w:rsid w:val="002A0CD5"/>
    <w:rsid w:val="002A1242"/>
    <w:rsid w:val="002A1383"/>
    <w:rsid w:val="002A16FC"/>
    <w:rsid w:val="002A17A1"/>
    <w:rsid w:val="002A1B27"/>
    <w:rsid w:val="002A20AB"/>
    <w:rsid w:val="002A20E8"/>
    <w:rsid w:val="002A216B"/>
    <w:rsid w:val="002A2283"/>
    <w:rsid w:val="002A2721"/>
    <w:rsid w:val="002A3120"/>
    <w:rsid w:val="002A32BE"/>
    <w:rsid w:val="002A3800"/>
    <w:rsid w:val="002A3961"/>
    <w:rsid w:val="002A3D5E"/>
    <w:rsid w:val="002A3FE3"/>
    <w:rsid w:val="002A4098"/>
    <w:rsid w:val="002A444D"/>
    <w:rsid w:val="002A44DE"/>
    <w:rsid w:val="002A4775"/>
    <w:rsid w:val="002A4932"/>
    <w:rsid w:val="002A4B07"/>
    <w:rsid w:val="002A4B31"/>
    <w:rsid w:val="002A4E84"/>
    <w:rsid w:val="002A4F1B"/>
    <w:rsid w:val="002A55C8"/>
    <w:rsid w:val="002A5650"/>
    <w:rsid w:val="002A573F"/>
    <w:rsid w:val="002A5788"/>
    <w:rsid w:val="002A5833"/>
    <w:rsid w:val="002A5EB0"/>
    <w:rsid w:val="002A6254"/>
    <w:rsid w:val="002A653F"/>
    <w:rsid w:val="002A6775"/>
    <w:rsid w:val="002A6ED1"/>
    <w:rsid w:val="002A721E"/>
    <w:rsid w:val="002A7461"/>
    <w:rsid w:val="002A7535"/>
    <w:rsid w:val="002A75B3"/>
    <w:rsid w:val="002A7991"/>
    <w:rsid w:val="002A7B7B"/>
    <w:rsid w:val="002A7C4A"/>
    <w:rsid w:val="002B06BB"/>
    <w:rsid w:val="002B1243"/>
    <w:rsid w:val="002B12E5"/>
    <w:rsid w:val="002B1620"/>
    <w:rsid w:val="002B1E97"/>
    <w:rsid w:val="002B249E"/>
    <w:rsid w:val="002B25D9"/>
    <w:rsid w:val="002B2715"/>
    <w:rsid w:val="002B2965"/>
    <w:rsid w:val="002B2B12"/>
    <w:rsid w:val="002B2E5E"/>
    <w:rsid w:val="002B360A"/>
    <w:rsid w:val="002B3A5B"/>
    <w:rsid w:val="002B3CEF"/>
    <w:rsid w:val="002B3E73"/>
    <w:rsid w:val="002B3E85"/>
    <w:rsid w:val="002B41BB"/>
    <w:rsid w:val="002B424C"/>
    <w:rsid w:val="002B435F"/>
    <w:rsid w:val="002B4485"/>
    <w:rsid w:val="002B4547"/>
    <w:rsid w:val="002B4773"/>
    <w:rsid w:val="002B4861"/>
    <w:rsid w:val="002B4E3C"/>
    <w:rsid w:val="002B4FC4"/>
    <w:rsid w:val="002B5288"/>
    <w:rsid w:val="002B5336"/>
    <w:rsid w:val="002B54B1"/>
    <w:rsid w:val="002B55E2"/>
    <w:rsid w:val="002B6147"/>
    <w:rsid w:val="002B61EB"/>
    <w:rsid w:val="002B62F0"/>
    <w:rsid w:val="002B6625"/>
    <w:rsid w:val="002B69D7"/>
    <w:rsid w:val="002B79B1"/>
    <w:rsid w:val="002B79E4"/>
    <w:rsid w:val="002C0229"/>
    <w:rsid w:val="002C059D"/>
    <w:rsid w:val="002C05B5"/>
    <w:rsid w:val="002C1773"/>
    <w:rsid w:val="002C1844"/>
    <w:rsid w:val="002C1CD6"/>
    <w:rsid w:val="002C1DF4"/>
    <w:rsid w:val="002C2187"/>
    <w:rsid w:val="002C22F5"/>
    <w:rsid w:val="002C2883"/>
    <w:rsid w:val="002C296C"/>
    <w:rsid w:val="002C2EEB"/>
    <w:rsid w:val="002C2F04"/>
    <w:rsid w:val="002C360E"/>
    <w:rsid w:val="002C39CE"/>
    <w:rsid w:val="002C3A64"/>
    <w:rsid w:val="002C3AA4"/>
    <w:rsid w:val="002C3B4C"/>
    <w:rsid w:val="002C3D07"/>
    <w:rsid w:val="002C3D2F"/>
    <w:rsid w:val="002C3F91"/>
    <w:rsid w:val="002C4001"/>
    <w:rsid w:val="002C4671"/>
    <w:rsid w:val="002C4752"/>
    <w:rsid w:val="002C4A25"/>
    <w:rsid w:val="002C4AA5"/>
    <w:rsid w:val="002C50C5"/>
    <w:rsid w:val="002C53F8"/>
    <w:rsid w:val="002C56BA"/>
    <w:rsid w:val="002C58B8"/>
    <w:rsid w:val="002C5C8E"/>
    <w:rsid w:val="002C5E09"/>
    <w:rsid w:val="002C6165"/>
    <w:rsid w:val="002C634D"/>
    <w:rsid w:val="002C643F"/>
    <w:rsid w:val="002C6781"/>
    <w:rsid w:val="002C6AC4"/>
    <w:rsid w:val="002C6C70"/>
    <w:rsid w:val="002C6CFD"/>
    <w:rsid w:val="002C6D89"/>
    <w:rsid w:val="002C7619"/>
    <w:rsid w:val="002C7B5A"/>
    <w:rsid w:val="002C7CD3"/>
    <w:rsid w:val="002C7CDB"/>
    <w:rsid w:val="002D014B"/>
    <w:rsid w:val="002D0773"/>
    <w:rsid w:val="002D0A4B"/>
    <w:rsid w:val="002D0E01"/>
    <w:rsid w:val="002D1092"/>
    <w:rsid w:val="002D15A5"/>
    <w:rsid w:val="002D1A71"/>
    <w:rsid w:val="002D1C24"/>
    <w:rsid w:val="002D1F41"/>
    <w:rsid w:val="002D2233"/>
    <w:rsid w:val="002D223B"/>
    <w:rsid w:val="002D22DC"/>
    <w:rsid w:val="002D22F0"/>
    <w:rsid w:val="002D25DA"/>
    <w:rsid w:val="002D291E"/>
    <w:rsid w:val="002D2A49"/>
    <w:rsid w:val="002D2B8D"/>
    <w:rsid w:val="002D2C8E"/>
    <w:rsid w:val="002D2D67"/>
    <w:rsid w:val="002D2FC0"/>
    <w:rsid w:val="002D3504"/>
    <w:rsid w:val="002D365D"/>
    <w:rsid w:val="002D3A8A"/>
    <w:rsid w:val="002D3EA0"/>
    <w:rsid w:val="002D3EAE"/>
    <w:rsid w:val="002D3F1A"/>
    <w:rsid w:val="002D409A"/>
    <w:rsid w:val="002D50B6"/>
    <w:rsid w:val="002D5107"/>
    <w:rsid w:val="002D54F6"/>
    <w:rsid w:val="002D58F5"/>
    <w:rsid w:val="002D5BAC"/>
    <w:rsid w:val="002D5C16"/>
    <w:rsid w:val="002D5C1C"/>
    <w:rsid w:val="002D5CDB"/>
    <w:rsid w:val="002D5EB9"/>
    <w:rsid w:val="002D5FCF"/>
    <w:rsid w:val="002D644A"/>
    <w:rsid w:val="002D64B5"/>
    <w:rsid w:val="002D72A9"/>
    <w:rsid w:val="002D745E"/>
    <w:rsid w:val="002D77A3"/>
    <w:rsid w:val="002D7805"/>
    <w:rsid w:val="002D79CA"/>
    <w:rsid w:val="002E0037"/>
    <w:rsid w:val="002E020E"/>
    <w:rsid w:val="002E03B9"/>
    <w:rsid w:val="002E09CA"/>
    <w:rsid w:val="002E0BB2"/>
    <w:rsid w:val="002E0EF0"/>
    <w:rsid w:val="002E102B"/>
    <w:rsid w:val="002E11F7"/>
    <w:rsid w:val="002E1316"/>
    <w:rsid w:val="002E1352"/>
    <w:rsid w:val="002E1622"/>
    <w:rsid w:val="002E218A"/>
    <w:rsid w:val="002E22E3"/>
    <w:rsid w:val="002E247E"/>
    <w:rsid w:val="002E2629"/>
    <w:rsid w:val="002E2716"/>
    <w:rsid w:val="002E281A"/>
    <w:rsid w:val="002E2BA0"/>
    <w:rsid w:val="002E2F7E"/>
    <w:rsid w:val="002E3323"/>
    <w:rsid w:val="002E3D0C"/>
    <w:rsid w:val="002E3F60"/>
    <w:rsid w:val="002E40A1"/>
    <w:rsid w:val="002E440C"/>
    <w:rsid w:val="002E4B56"/>
    <w:rsid w:val="002E50D2"/>
    <w:rsid w:val="002E553F"/>
    <w:rsid w:val="002E564A"/>
    <w:rsid w:val="002E58F0"/>
    <w:rsid w:val="002E5A56"/>
    <w:rsid w:val="002E5A65"/>
    <w:rsid w:val="002E5FFE"/>
    <w:rsid w:val="002E630D"/>
    <w:rsid w:val="002E63F0"/>
    <w:rsid w:val="002E6883"/>
    <w:rsid w:val="002E69D0"/>
    <w:rsid w:val="002E6A69"/>
    <w:rsid w:val="002E6A87"/>
    <w:rsid w:val="002E6C54"/>
    <w:rsid w:val="002E6CCA"/>
    <w:rsid w:val="002E6D8E"/>
    <w:rsid w:val="002E6F39"/>
    <w:rsid w:val="002E6F4F"/>
    <w:rsid w:val="002E6F90"/>
    <w:rsid w:val="002E73F4"/>
    <w:rsid w:val="002E76A8"/>
    <w:rsid w:val="002E7824"/>
    <w:rsid w:val="002E7A7F"/>
    <w:rsid w:val="002E7FB5"/>
    <w:rsid w:val="002F0001"/>
    <w:rsid w:val="002F0249"/>
    <w:rsid w:val="002F025D"/>
    <w:rsid w:val="002F030A"/>
    <w:rsid w:val="002F0ABE"/>
    <w:rsid w:val="002F0B99"/>
    <w:rsid w:val="002F1108"/>
    <w:rsid w:val="002F130A"/>
    <w:rsid w:val="002F18CF"/>
    <w:rsid w:val="002F1E89"/>
    <w:rsid w:val="002F209E"/>
    <w:rsid w:val="002F234F"/>
    <w:rsid w:val="002F255A"/>
    <w:rsid w:val="002F25FB"/>
    <w:rsid w:val="002F27D8"/>
    <w:rsid w:val="002F29DE"/>
    <w:rsid w:val="002F2D35"/>
    <w:rsid w:val="002F2E25"/>
    <w:rsid w:val="002F30FF"/>
    <w:rsid w:val="002F3284"/>
    <w:rsid w:val="002F389A"/>
    <w:rsid w:val="002F3C04"/>
    <w:rsid w:val="002F3CFC"/>
    <w:rsid w:val="002F3EE4"/>
    <w:rsid w:val="002F3FC7"/>
    <w:rsid w:val="002F460C"/>
    <w:rsid w:val="002F4BFB"/>
    <w:rsid w:val="002F4D54"/>
    <w:rsid w:val="002F4DC3"/>
    <w:rsid w:val="002F4F10"/>
    <w:rsid w:val="002F584B"/>
    <w:rsid w:val="002F5861"/>
    <w:rsid w:val="002F5D65"/>
    <w:rsid w:val="002F6056"/>
    <w:rsid w:val="002F62BC"/>
    <w:rsid w:val="002F680F"/>
    <w:rsid w:val="002F6B64"/>
    <w:rsid w:val="002F7326"/>
    <w:rsid w:val="002F7ADC"/>
    <w:rsid w:val="002F7CF7"/>
    <w:rsid w:val="002F7FC8"/>
    <w:rsid w:val="0030014A"/>
    <w:rsid w:val="003003E2"/>
    <w:rsid w:val="00300709"/>
    <w:rsid w:val="00300845"/>
    <w:rsid w:val="00300B6E"/>
    <w:rsid w:val="0030109D"/>
    <w:rsid w:val="00301254"/>
    <w:rsid w:val="00301359"/>
    <w:rsid w:val="003015B0"/>
    <w:rsid w:val="0030194E"/>
    <w:rsid w:val="0030255B"/>
    <w:rsid w:val="003025BB"/>
    <w:rsid w:val="00302DD3"/>
    <w:rsid w:val="003030BD"/>
    <w:rsid w:val="00303207"/>
    <w:rsid w:val="003032D3"/>
    <w:rsid w:val="003034CE"/>
    <w:rsid w:val="0030365A"/>
    <w:rsid w:val="00303CD9"/>
    <w:rsid w:val="00303E7F"/>
    <w:rsid w:val="00303EFC"/>
    <w:rsid w:val="003041D8"/>
    <w:rsid w:val="0030440B"/>
    <w:rsid w:val="00304511"/>
    <w:rsid w:val="00304523"/>
    <w:rsid w:val="00304C48"/>
    <w:rsid w:val="00304C5C"/>
    <w:rsid w:val="00304CD5"/>
    <w:rsid w:val="00304DB1"/>
    <w:rsid w:val="0030504F"/>
    <w:rsid w:val="003054D4"/>
    <w:rsid w:val="00305575"/>
    <w:rsid w:val="003057F2"/>
    <w:rsid w:val="00305EF9"/>
    <w:rsid w:val="00305FE7"/>
    <w:rsid w:val="003060CC"/>
    <w:rsid w:val="0030650E"/>
    <w:rsid w:val="003065D2"/>
    <w:rsid w:val="00306724"/>
    <w:rsid w:val="00306739"/>
    <w:rsid w:val="00306D3C"/>
    <w:rsid w:val="00306EE2"/>
    <w:rsid w:val="00306F9E"/>
    <w:rsid w:val="00307B6F"/>
    <w:rsid w:val="00307C5B"/>
    <w:rsid w:val="00307C75"/>
    <w:rsid w:val="00307D8B"/>
    <w:rsid w:val="0031000A"/>
    <w:rsid w:val="00310072"/>
    <w:rsid w:val="00310349"/>
    <w:rsid w:val="003104EE"/>
    <w:rsid w:val="003107CE"/>
    <w:rsid w:val="00310AE0"/>
    <w:rsid w:val="0031167A"/>
    <w:rsid w:val="003117CA"/>
    <w:rsid w:val="003118ED"/>
    <w:rsid w:val="00311A72"/>
    <w:rsid w:val="00311BC8"/>
    <w:rsid w:val="00311E55"/>
    <w:rsid w:val="003120E3"/>
    <w:rsid w:val="003122EC"/>
    <w:rsid w:val="00312503"/>
    <w:rsid w:val="00312507"/>
    <w:rsid w:val="00313093"/>
    <w:rsid w:val="00313550"/>
    <w:rsid w:val="00313674"/>
    <w:rsid w:val="00313A56"/>
    <w:rsid w:val="00313DCE"/>
    <w:rsid w:val="00313E6B"/>
    <w:rsid w:val="00314049"/>
    <w:rsid w:val="003140CD"/>
    <w:rsid w:val="00314CCC"/>
    <w:rsid w:val="00314E8B"/>
    <w:rsid w:val="0031507D"/>
    <w:rsid w:val="003152C4"/>
    <w:rsid w:val="003154EA"/>
    <w:rsid w:val="003155E4"/>
    <w:rsid w:val="0031561E"/>
    <w:rsid w:val="00315A9C"/>
    <w:rsid w:val="00315ABB"/>
    <w:rsid w:val="00315BB8"/>
    <w:rsid w:val="00315CC6"/>
    <w:rsid w:val="00315E28"/>
    <w:rsid w:val="0031623F"/>
    <w:rsid w:val="00316468"/>
    <w:rsid w:val="003165B5"/>
    <w:rsid w:val="00316C44"/>
    <w:rsid w:val="00316D0B"/>
    <w:rsid w:val="00316E37"/>
    <w:rsid w:val="0031737E"/>
    <w:rsid w:val="003173E3"/>
    <w:rsid w:val="00317920"/>
    <w:rsid w:val="00317A29"/>
    <w:rsid w:val="0032013C"/>
    <w:rsid w:val="0032022D"/>
    <w:rsid w:val="0032026D"/>
    <w:rsid w:val="003202C8"/>
    <w:rsid w:val="003202E4"/>
    <w:rsid w:val="00320998"/>
    <w:rsid w:val="00320A5C"/>
    <w:rsid w:val="00320A8E"/>
    <w:rsid w:val="00320B07"/>
    <w:rsid w:val="00320CC2"/>
    <w:rsid w:val="003216E5"/>
    <w:rsid w:val="0032172E"/>
    <w:rsid w:val="0032177C"/>
    <w:rsid w:val="00321C68"/>
    <w:rsid w:val="00321CD0"/>
    <w:rsid w:val="00321CF2"/>
    <w:rsid w:val="0032201C"/>
    <w:rsid w:val="00322ADF"/>
    <w:rsid w:val="00322B8F"/>
    <w:rsid w:val="00322DC6"/>
    <w:rsid w:val="003231AF"/>
    <w:rsid w:val="003233ED"/>
    <w:rsid w:val="0032386A"/>
    <w:rsid w:val="00323B31"/>
    <w:rsid w:val="00323CE0"/>
    <w:rsid w:val="00323ED7"/>
    <w:rsid w:val="003242BC"/>
    <w:rsid w:val="003243BC"/>
    <w:rsid w:val="00324418"/>
    <w:rsid w:val="00324614"/>
    <w:rsid w:val="00324898"/>
    <w:rsid w:val="00324B62"/>
    <w:rsid w:val="00324FAD"/>
    <w:rsid w:val="00324FEA"/>
    <w:rsid w:val="00325AF2"/>
    <w:rsid w:val="00325E71"/>
    <w:rsid w:val="003260B0"/>
    <w:rsid w:val="003260C3"/>
    <w:rsid w:val="0032615A"/>
    <w:rsid w:val="00326347"/>
    <w:rsid w:val="003264CF"/>
    <w:rsid w:val="0032652A"/>
    <w:rsid w:val="0032684D"/>
    <w:rsid w:val="0032692A"/>
    <w:rsid w:val="00326A85"/>
    <w:rsid w:val="00326D06"/>
    <w:rsid w:val="00326D10"/>
    <w:rsid w:val="00326D78"/>
    <w:rsid w:val="00326EA4"/>
    <w:rsid w:val="00327048"/>
    <w:rsid w:val="003274F5"/>
    <w:rsid w:val="0032750C"/>
    <w:rsid w:val="0032781C"/>
    <w:rsid w:val="00327C0E"/>
    <w:rsid w:val="00327F70"/>
    <w:rsid w:val="0033034A"/>
    <w:rsid w:val="0033080A"/>
    <w:rsid w:val="00330D17"/>
    <w:rsid w:val="00330F1D"/>
    <w:rsid w:val="003310CF"/>
    <w:rsid w:val="00331522"/>
    <w:rsid w:val="0033155D"/>
    <w:rsid w:val="0033180C"/>
    <w:rsid w:val="00331CF9"/>
    <w:rsid w:val="00331CFA"/>
    <w:rsid w:val="00331FE8"/>
    <w:rsid w:val="00332210"/>
    <w:rsid w:val="003323F3"/>
    <w:rsid w:val="00332498"/>
    <w:rsid w:val="00332B7C"/>
    <w:rsid w:val="00332D1F"/>
    <w:rsid w:val="00332E22"/>
    <w:rsid w:val="00333027"/>
    <w:rsid w:val="003332A4"/>
    <w:rsid w:val="00333CF2"/>
    <w:rsid w:val="00333E94"/>
    <w:rsid w:val="003340B9"/>
    <w:rsid w:val="00334409"/>
    <w:rsid w:val="003344B4"/>
    <w:rsid w:val="0033478D"/>
    <w:rsid w:val="003348CB"/>
    <w:rsid w:val="00334B27"/>
    <w:rsid w:val="00334B3F"/>
    <w:rsid w:val="00334BF4"/>
    <w:rsid w:val="00334D4F"/>
    <w:rsid w:val="00335007"/>
    <w:rsid w:val="0033537B"/>
    <w:rsid w:val="003353DB"/>
    <w:rsid w:val="003358DE"/>
    <w:rsid w:val="00335AB6"/>
    <w:rsid w:val="0033642F"/>
    <w:rsid w:val="00336516"/>
    <w:rsid w:val="0033686E"/>
    <w:rsid w:val="0033707E"/>
    <w:rsid w:val="0033748F"/>
    <w:rsid w:val="00337565"/>
    <w:rsid w:val="00337616"/>
    <w:rsid w:val="00337680"/>
    <w:rsid w:val="003379E5"/>
    <w:rsid w:val="003379F2"/>
    <w:rsid w:val="00337A93"/>
    <w:rsid w:val="00337ED9"/>
    <w:rsid w:val="00340193"/>
    <w:rsid w:val="003403A1"/>
    <w:rsid w:val="00340B37"/>
    <w:rsid w:val="00340B4B"/>
    <w:rsid w:val="00340E5A"/>
    <w:rsid w:val="00341C0E"/>
    <w:rsid w:val="00341EEE"/>
    <w:rsid w:val="0034248E"/>
    <w:rsid w:val="003428BE"/>
    <w:rsid w:val="00342910"/>
    <w:rsid w:val="00342B0E"/>
    <w:rsid w:val="00342E60"/>
    <w:rsid w:val="003436E1"/>
    <w:rsid w:val="003441D0"/>
    <w:rsid w:val="00344232"/>
    <w:rsid w:val="00344483"/>
    <w:rsid w:val="00344AC1"/>
    <w:rsid w:val="00344F2E"/>
    <w:rsid w:val="00345104"/>
    <w:rsid w:val="003456A7"/>
    <w:rsid w:val="003458CA"/>
    <w:rsid w:val="00345C6B"/>
    <w:rsid w:val="00345DD0"/>
    <w:rsid w:val="00345E74"/>
    <w:rsid w:val="0034661E"/>
    <w:rsid w:val="00346820"/>
    <w:rsid w:val="003468ED"/>
    <w:rsid w:val="00346957"/>
    <w:rsid w:val="00346A80"/>
    <w:rsid w:val="00346EAB"/>
    <w:rsid w:val="00347614"/>
    <w:rsid w:val="00347650"/>
    <w:rsid w:val="003478C6"/>
    <w:rsid w:val="00347ABB"/>
    <w:rsid w:val="00350094"/>
    <w:rsid w:val="003500DE"/>
    <w:rsid w:val="003502DE"/>
    <w:rsid w:val="0035047B"/>
    <w:rsid w:val="0035056C"/>
    <w:rsid w:val="003505BA"/>
    <w:rsid w:val="00350786"/>
    <w:rsid w:val="00350812"/>
    <w:rsid w:val="00350DDF"/>
    <w:rsid w:val="00350FDD"/>
    <w:rsid w:val="003510C2"/>
    <w:rsid w:val="0035158C"/>
    <w:rsid w:val="0035190F"/>
    <w:rsid w:val="00351D94"/>
    <w:rsid w:val="00351F3D"/>
    <w:rsid w:val="00352049"/>
    <w:rsid w:val="003520C8"/>
    <w:rsid w:val="0035224D"/>
    <w:rsid w:val="00352805"/>
    <w:rsid w:val="00352B8D"/>
    <w:rsid w:val="00352DC8"/>
    <w:rsid w:val="00353168"/>
    <w:rsid w:val="00353324"/>
    <w:rsid w:val="00353783"/>
    <w:rsid w:val="00353932"/>
    <w:rsid w:val="0035393F"/>
    <w:rsid w:val="003539B4"/>
    <w:rsid w:val="00353C15"/>
    <w:rsid w:val="00354123"/>
    <w:rsid w:val="00354453"/>
    <w:rsid w:val="00354991"/>
    <w:rsid w:val="00354AA0"/>
    <w:rsid w:val="00354BEF"/>
    <w:rsid w:val="00354D17"/>
    <w:rsid w:val="00355373"/>
    <w:rsid w:val="003555A4"/>
    <w:rsid w:val="00355918"/>
    <w:rsid w:val="00355F53"/>
    <w:rsid w:val="0035617B"/>
    <w:rsid w:val="00356734"/>
    <w:rsid w:val="00356B2D"/>
    <w:rsid w:val="00357137"/>
    <w:rsid w:val="003572E1"/>
    <w:rsid w:val="00357636"/>
    <w:rsid w:val="003577EE"/>
    <w:rsid w:val="003579A9"/>
    <w:rsid w:val="00357B3C"/>
    <w:rsid w:val="00357C52"/>
    <w:rsid w:val="00357D1A"/>
    <w:rsid w:val="00357E2F"/>
    <w:rsid w:val="00357F8C"/>
    <w:rsid w:val="00357FA1"/>
    <w:rsid w:val="00360290"/>
    <w:rsid w:val="00360A00"/>
    <w:rsid w:val="00361004"/>
    <w:rsid w:val="003613F3"/>
    <w:rsid w:val="00361607"/>
    <w:rsid w:val="00361935"/>
    <w:rsid w:val="00361C6C"/>
    <w:rsid w:val="00361CFD"/>
    <w:rsid w:val="00361D00"/>
    <w:rsid w:val="00361DED"/>
    <w:rsid w:val="00361E0A"/>
    <w:rsid w:val="00361ED1"/>
    <w:rsid w:val="0036259D"/>
    <w:rsid w:val="00363147"/>
    <w:rsid w:val="003631CE"/>
    <w:rsid w:val="0036374D"/>
    <w:rsid w:val="00363CA5"/>
    <w:rsid w:val="00363F44"/>
    <w:rsid w:val="0036412D"/>
    <w:rsid w:val="0036446A"/>
    <w:rsid w:val="0036496E"/>
    <w:rsid w:val="00364A30"/>
    <w:rsid w:val="003651FE"/>
    <w:rsid w:val="00365796"/>
    <w:rsid w:val="003659B6"/>
    <w:rsid w:val="00366872"/>
    <w:rsid w:val="00366A30"/>
    <w:rsid w:val="00367336"/>
    <w:rsid w:val="00367341"/>
    <w:rsid w:val="0036740B"/>
    <w:rsid w:val="003675B1"/>
    <w:rsid w:val="00367886"/>
    <w:rsid w:val="00367B56"/>
    <w:rsid w:val="003700DB"/>
    <w:rsid w:val="0037110F"/>
    <w:rsid w:val="0037121E"/>
    <w:rsid w:val="003712E0"/>
    <w:rsid w:val="0037167A"/>
    <w:rsid w:val="00371932"/>
    <w:rsid w:val="00371B11"/>
    <w:rsid w:val="00371DCC"/>
    <w:rsid w:val="00371E09"/>
    <w:rsid w:val="00372015"/>
    <w:rsid w:val="003722FB"/>
    <w:rsid w:val="00372914"/>
    <w:rsid w:val="00372BA0"/>
    <w:rsid w:val="00372F6E"/>
    <w:rsid w:val="00373454"/>
    <w:rsid w:val="0037354B"/>
    <w:rsid w:val="00373665"/>
    <w:rsid w:val="003736F2"/>
    <w:rsid w:val="003739D0"/>
    <w:rsid w:val="00373C7A"/>
    <w:rsid w:val="00373F95"/>
    <w:rsid w:val="003743FF"/>
    <w:rsid w:val="00374546"/>
    <w:rsid w:val="003746CD"/>
    <w:rsid w:val="00375048"/>
    <w:rsid w:val="00375535"/>
    <w:rsid w:val="00375573"/>
    <w:rsid w:val="00375E41"/>
    <w:rsid w:val="00376229"/>
    <w:rsid w:val="003764D8"/>
    <w:rsid w:val="003767E8"/>
    <w:rsid w:val="00376DBA"/>
    <w:rsid w:val="0037705D"/>
    <w:rsid w:val="003771AB"/>
    <w:rsid w:val="00377360"/>
    <w:rsid w:val="003775C6"/>
    <w:rsid w:val="00377716"/>
    <w:rsid w:val="00377A98"/>
    <w:rsid w:val="00380016"/>
    <w:rsid w:val="003804C1"/>
    <w:rsid w:val="00380C9D"/>
    <w:rsid w:val="00380D22"/>
    <w:rsid w:val="00380DA6"/>
    <w:rsid w:val="003815F1"/>
    <w:rsid w:val="003818C7"/>
    <w:rsid w:val="00381B1C"/>
    <w:rsid w:val="00381D6C"/>
    <w:rsid w:val="00381F41"/>
    <w:rsid w:val="00381FFA"/>
    <w:rsid w:val="00382068"/>
    <w:rsid w:val="003820DE"/>
    <w:rsid w:val="00382D9B"/>
    <w:rsid w:val="00383207"/>
    <w:rsid w:val="0038325B"/>
    <w:rsid w:val="00383305"/>
    <w:rsid w:val="003839F1"/>
    <w:rsid w:val="00383D2F"/>
    <w:rsid w:val="00384581"/>
    <w:rsid w:val="00384983"/>
    <w:rsid w:val="003850AD"/>
    <w:rsid w:val="00385295"/>
    <w:rsid w:val="003852DF"/>
    <w:rsid w:val="00385559"/>
    <w:rsid w:val="003855BD"/>
    <w:rsid w:val="003858CF"/>
    <w:rsid w:val="00385A2B"/>
    <w:rsid w:val="00385CD6"/>
    <w:rsid w:val="00385EA0"/>
    <w:rsid w:val="00385EF0"/>
    <w:rsid w:val="00385F73"/>
    <w:rsid w:val="0038627A"/>
    <w:rsid w:val="00386598"/>
    <w:rsid w:val="00386723"/>
    <w:rsid w:val="00386A47"/>
    <w:rsid w:val="00386ACC"/>
    <w:rsid w:val="00386B66"/>
    <w:rsid w:val="00386B99"/>
    <w:rsid w:val="00386F4D"/>
    <w:rsid w:val="0038748D"/>
    <w:rsid w:val="0038783E"/>
    <w:rsid w:val="00387966"/>
    <w:rsid w:val="00387A0C"/>
    <w:rsid w:val="00387AB8"/>
    <w:rsid w:val="00387C11"/>
    <w:rsid w:val="00387C29"/>
    <w:rsid w:val="00387CD5"/>
    <w:rsid w:val="00390649"/>
    <w:rsid w:val="00390796"/>
    <w:rsid w:val="00390A00"/>
    <w:rsid w:val="00390BDB"/>
    <w:rsid w:val="00390FC6"/>
    <w:rsid w:val="003912E9"/>
    <w:rsid w:val="00391390"/>
    <w:rsid w:val="00391A1F"/>
    <w:rsid w:val="00391DB3"/>
    <w:rsid w:val="00391F65"/>
    <w:rsid w:val="00392369"/>
    <w:rsid w:val="00392409"/>
    <w:rsid w:val="003926D7"/>
    <w:rsid w:val="00392B5E"/>
    <w:rsid w:val="00392ECF"/>
    <w:rsid w:val="003932CD"/>
    <w:rsid w:val="00393579"/>
    <w:rsid w:val="00393587"/>
    <w:rsid w:val="00393989"/>
    <w:rsid w:val="00393F67"/>
    <w:rsid w:val="003941AC"/>
    <w:rsid w:val="003946AB"/>
    <w:rsid w:val="003947F8"/>
    <w:rsid w:val="003949E8"/>
    <w:rsid w:val="00394BD9"/>
    <w:rsid w:val="00394ED4"/>
    <w:rsid w:val="00395188"/>
    <w:rsid w:val="00395428"/>
    <w:rsid w:val="0039548C"/>
    <w:rsid w:val="0039593D"/>
    <w:rsid w:val="00395979"/>
    <w:rsid w:val="0039598C"/>
    <w:rsid w:val="00395A06"/>
    <w:rsid w:val="00395B11"/>
    <w:rsid w:val="00395BA7"/>
    <w:rsid w:val="00395E24"/>
    <w:rsid w:val="00395E42"/>
    <w:rsid w:val="00395F0D"/>
    <w:rsid w:val="00395FF4"/>
    <w:rsid w:val="0039606F"/>
    <w:rsid w:val="00396362"/>
    <w:rsid w:val="00396AA6"/>
    <w:rsid w:val="00396AB6"/>
    <w:rsid w:val="00396EF2"/>
    <w:rsid w:val="00396EFA"/>
    <w:rsid w:val="00396F78"/>
    <w:rsid w:val="0039732A"/>
    <w:rsid w:val="00397554"/>
    <w:rsid w:val="00397C73"/>
    <w:rsid w:val="00397F02"/>
    <w:rsid w:val="003A03D3"/>
    <w:rsid w:val="003A056D"/>
    <w:rsid w:val="003A06DB"/>
    <w:rsid w:val="003A1162"/>
    <w:rsid w:val="003A1E0A"/>
    <w:rsid w:val="003A2181"/>
    <w:rsid w:val="003A2A19"/>
    <w:rsid w:val="003A2A75"/>
    <w:rsid w:val="003A2C28"/>
    <w:rsid w:val="003A3193"/>
    <w:rsid w:val="003A31AE"/>
    <w:rsid w:val="003A33E3"/>
    <w:rsid w:val="003A34FA"/>
    <w:rsid w:val="003A3679"/>
    <w:rsid w:val="003A3736"/>
    <w:rsid w:val="003A38A9"/>
    <w:rsid w:val="003A4195"/>
    <w:rsid w:val="003A41A7"/>
    <w:rsid w:val="003A41F7"/>
    <w:rsid w:val="003A469F"/>
    <w:rsid w:val="003A47AD"/>
    <w:rsid w:val="003A47F4"/>
    <w:rsid w:val="003A4890"/>
    <w:rsid w:val="003A48D8"/>
    <w:rsid w:val="003A4B49"/>
    <w:rsid w:val="003A4C57"/>
    <w:rsid w:val="003A4ED6"/>
    <w:rsid w:val="003A5584"/>
    <w:rsid w:val="003A5F1F"/>
    <w:rsid w:val="003A68FD"/>
    <w:rsid w:val="003A69EB"/>
    <w:rsid w:val="003A6AB6"/>
    <w:rsid w:val="003A6B26"/>
    <w:rsid w:val="003A6DE6"/>
    <w:rsid w:val="003A75B9"/>
    <w:rsid w:val="003A75ED"/>
    <w:rsid w:val="003A7702"/>
    <w:rsid w:val="003B000F"/>
    <w:rsid w:val="003B029D"/>
    <w:rsid w:val="003B0614"/>
    <w:rsid w:val="003B0985"/>
    <w:rsid w:val="003B0B29"/>
    <w:rsid w:val="003B0BE1"/>
    <w:rsid w:val="003B0C2B"/>
    <w:rsid w:val="003B0FB7"/>
    <w:rsid w:val="003B18B5"/>
    <w:rsid w:val="003B191B"/>
    <w:rsid w:val="003B1BEC"/>
    <w:rsid w:val="003B1E37"/>
    <w:rsid w:val="003B1EAD"/>
    <w:rsid w:val="003B2191"/>
    <w:rsid w:val="003B251B"/>
    <w:rsid w:val="003B2761"/>
    <w:rsid w:val="003B2B0B"/>
    <w:rsid w:val="003B3294"/>
    <w:rsid w:val="003B34A8"/>
    <w:rsid w:val="003B34CE"/>
    <w:rsid w:val="003B356C"/>
    <w:rsid w:val="003B359D"/>
    <w:rsid w:val="003B3A0C"/>
    <w:rsid w:val="003B3A53"/>
    <w:rsid w:val="003B3BB6"/>
    <w:rsid w:val="003B3EC0"/>
    <w:rsid w:val="003B422E"/>
    <w:rsid w:val="003B45D1"/>
    <w:rsid w:val="003B4703"/>
    <w:rsid w:val="003B4872"/>
    <w:rsid w:val="003B4C06"/>
    <w:rsid w:val="003B4D2F"/>
    <w:rsid w:val="003B4E76"/>
    <w:rsid w:val="003B4EEA"/>
    <w:rsid w:val="003B4F8E"/>
    <w:rsid w:val="003B55DF"/>
    <w:rsid w:val="003B5C3B"/>
    <w:rsid w:val="003B5D1C"/>
    <w:rsid w:val="003B6090"/>
    <w:rsid w:val="003B617C"/>
    <w:rsid w:val="003B6A83"/>
    <w:rsid w:val="003B70D6"/>
    <w:rsid w:val="003B7207"/>
    <w:rsid w:val="003B7286"/>
    <w:rsid w:val="003B73A3"/>
    <w:rsid w:val="003B76F4"/>
    <w:rsid w:val="003B7D03"/>
    <w:rsid w:val="003B7F84"/>
    <w:rsid w:val="003C00B6"/>
    <w:rsid w:val="003C01C1"/>
    <w:rsid w:val="003C07DA"/>
    <w:rsid w:val="003C0A8E"/>
    <w:rsid w:val="003C0EA7"/>
    <w:rsid w:val="003C0F9D"/>
    <w:rsid w:val="003C0FF5"/>
    <w:rsid w:val="003C1259"/>
    <w:rsid w:val="003C13A3"/>
    <w:rsid w:val="003C194B"/>
    <w:rsid w:val="003C1968"/>
    <w:rsid w:val="003C1ED3"/>
    <w:rsid w:val="003C1EFD"/>
    <w:rsid w:val="003C22AC"/>
    <w:rsid w:val="003C23AF"/>
    <w:rsid w:val="003C2443"/>
    <w:rsid w:val="003C27FA"/>
    <w:rsid w:val="003C2ACE"/>
    <w:rsid w:val="003C3046"/>
    <w:rsid w:val="003C32B4"/>
    <w:rsid w:val="003C3373"/>
    <w:rsid w:val="003C3737"/>
    <w:rsid w:val="003C37DA"/>
    <w:rsid w:val="003C3F28"/>
    <w:rsid w:val="003C3F61"/>
    <w:rsid w:val="003C4063"/>
    <w:rsid w:val="003C4534"/>
    <w:rsid w:val="003C47C7"/>
    <w:rsid w:val="003C489B"/>
    <w:rsid w:val="003C4C12"/>
    <w:rsid w:val="003C536F"/>
    <w:rsid w:val="003C5A88"/>
    <w:rsid w:val="003C5B7D"/>
    <w:rsid w:val="003C5E10"/>
    <w:rsid w:val="003C6B04"/>
    <w:rsid w:val="003C6BC5"/>
    <w:rsid w:val="003C6D5E"/>
    <w:rsid w:val="003C72EC"/>
    <w:rsid w:val="003C7C04"/>
    <w:rsid w:val="003D045A"/>
    <w:rsid w:val="003D0C0A"/>
    <w:rsid w:val="003D0D59"/>
    <w:rsid w:val="003D0E83"/>
    <w:rsid w:val="003D1066"/>
    <w:rsid w:val="003D1789"/>
    <w:rsid w:val="003D1DFC"/>
    <w:rsid w:val="003D1FA9"/>
    <w:rsid w:val="003D21A7"/>
    <w:rsid w:val="003D23F1"/>
    <w:rsid w:val="003D3114"/>
    <w:rsid w:val="003D357B"/>
    <w:rsid w:val="003D39B3"/>
    <w:rsid w:val="003D3B6A"/>
    <w:rsid w:val="003D3CC4"/>
    <w:rsid w:val="003D4617"/>
    <w:rsid w:val="003D4711"/>
    <w:rsid w:val="003D479A"/>
    <w:rsid w:val="003D4A83"/>
    <w:rsid w:val="003D4C08"/>
    <w:rsid w:val="003D4CF7"/>
    <w:rsid w:val="003D5289"/>
    <w:rsid w:val="003D5E32"/>
    <w:rsid w:val="003D5E84"/>
    <w:rsid w:val="003D5E8A"/>
    <w:rsid w:val="003D60AD"/>
    <w:rsid w:val="003D6790"/>
    <w:rsid w:val="003D679D"/>
    <w:rsid w:val="003D6806"/>
    <w:rsid w:val="003D6857"/>
    <w:rsid w:val="003D6B56"/>
    <w:rsid w:val="003D6C17"/>
    <w:rsid w:val="003D6F91"/>
    <w:rsid w:val="003D736F"/>
    <w:rsid w:val="003D7387"/>
    <w:rsid w:val="003D743F"/>
    <w:rsid w:val="003D748B"/>
    <w:rsid w:val="003D749C"/>
    <w:rsid w:val="003D7723"/>
    <w:rsid w:val="003E0146"/>
    <w:rsid w:val="003E042A"/>
    <w:rsid w:val="003E0546"/>
    <w:rsid w:val="003E0576"/>
    <w:rsid w:val="003E05FF"/>
    <w:rsid w:val="003E063F"/>
    <w:rsid w:val="003E0733"/>
    <w:rsid w:val="003E0A86"/>
    <w:rsid w:val="003E126A"/>
    <w:rsid w:val="003E13B7"/>
    <w:rsid w:val="003E15A3"/>
    <w:rsid w:val="003E18A0"/>
    <w:rsid w:val="003E1975"/>
    <w:rsid w:val="003E1C00"/>
    <w:rsid w:val="003E1F03"/>
    <w:rsid w:val="003E24F2"/>
    <w:rsid w:val="003E26F5"/>
    <w:rsid w:val="003E271A"/>
    <w:rsid w:val="003E281A"/>
    <w:rsid w:val="003E295A"/>
    <w:rsid w:val="003E30AB"/>
    <w:rsid w:val="003E30FB"/>
    <w:rsid w:val="003E3347"/>
    <w:rsid w:val="003E3459"/>
    <w:rsid w:val="003E3691"/>
    <w:rsid w:val="003E3766"/>
    <w:rsid w:val="003E38D6"/>
    <w:rsid w:val="003E3BE6"/>
    <w:rsid w:val="003E3DCB"/>
    <w:rsid w:val="003E3DDE"/>
    <w:rsid w:val="003E4502"/>
    <w:rsid w:val="003E46AC"/>
    <w:rsid w:val="003E472B"/>
    <w:rsid w:val="003E4A80"/>
    <w:rsid w:val="003E4D78"/>
    <w:rsid w:val="003E4F18"/>
    <w:rsid w:val="003E510F"/>
    <w:rsid w:val="003E55CC"/>
    <w:rsid w:val="003E593C"/>
    <w:rsid w:val="003E5A1C"/>
    <w:rsid w:val="003E5D7E"/>
    <w:rsid w:val="003E64C3"/>
    <w:rsid w:val="003E6506"/>
    <w:rsid w:val="003E6CC3"/>
    <w:rsid w:val="003E6F25"/>
    <w:rsid w:val="003E6F69"/>
    <w:rsid w:val="003E71D7"/>
    <w:rsid w:val="003E72C8"/>
    <w:rsid w:val="003E7A20"/>
    <w:rsid w:val="003E7E5C"/>
    <w:rsid w:val="003E7F1B"/>
    <w:rsid w:val="003F00B3"/>
    <w:rsid w:val="003F0432"/>
    <w:rsid w:val="003F06A9"/>
    <w:rsid w:val="003F0D52"/>
    <w:rsid w:val="003F0EAD"/>
    <w:rsid w:val="003F114D"/>
    <w:rsid w:val="003F11BC"/>
    <w:rsid w:val="003F14E6"/>
    <w:rsid w:val="003F17CF"/>
    <w:rsid w:val="003F1AB7"/>
    <w:rsid w:val="003F2405"/>
    <w:rsid w:val="003F2655"/>
    <w:rsid w:val="003F2FCE"/>
    <w:rsid w:val="003F3498"/>
    <w:rsid w:val="003F34DF"/>
    <w:rsid w:val="003F3FAA"/>
    <w:rsid w:val="003F467F"/>
    <w:rsid w:val="003F48F5"/>
    <w:rsid w:val="003F5418"/>
    <w:rsid w:val="003F5508"/>
    <w:rsid w:val="003F5C5F"/>
    <w:rsid w:val="003F5CB7"/>
    <w:rsid w:val="003F5D0C"/>
    <w:rsid w:val="003F60B5"/>
    <w:rsid w:val="003F7093"/>
    <w:rsid w:val="003F71F6"/>
    <w:rsid w:val="003F7D40"/>
    <w:rsid w:val="00400065"/>
    <w:rsid w:val="00400B5A"/>
    <w:rsid w:val="00400C17"/>
    <w:rsid w:val="00400E75"/>
    <w:rsid w:val="00400F2A"/>
    <w:rsid w:val="00400FA5"/>
    <w:rsid w:val="0040119D"/>
    <w:rsid w:val="004012D2"/>
    <w:rsid w:val="004013B9"/>
    <w:rsid w:val="00401878"/>
    <w:rsid w:val="00401A44"/>
    <w:rsid w:val="00401F1A"/>
    <w:rsid w:val="004025BD"/>
    <w:rsid w:val="004029D0"/>
    <w:rsid w:val="00402B81"/>
    <w:rsid w:val="00402CB1"/>
    <w:rsid w:val="00402DCA"/>
    <w:rsid w:val="00403307"/>
    <w:rsid w:val="004036C5"/>
    <w:rsid w:val="00403983"/>
    <w:rsid w:val="00403EE4"/>
    <w:rsid w:val="00403FC6"/>
    <w:rsid w:val="00404599"/>
    <w:rsid w:val="004046BB"/>
    <w:rsid w:val="0040491C"/>
    <w:rsid w:val="004049ED"/>
    <w:rsid w:val="00404DA5"/>
    <w:rsid w:val="00404FC3"/>
    <w:rsid w:val="00405260"/>
    <w:rsid w:val="00405307"/>
    <w:rsid w:val="00405657"/>
    <w:rsid w:val="004056DA"/>
    <w:rsid w:val="00405B1A"/>
    <w:rsid w:val="00405F96"/>
    <w:rsid w:val="0040602B"/>
    <w:rsid w:val="004068DA"/>
    <w:rsid w:val="00406E35"/>
    <w:rsid w:val="00406F56"/>
    <w:rsid w:val="00407099"/>
    <w:rsid w:val="004073A2"/>
    <w:rsid w:val="0040764A"/>
    <w:rsid w:val="004076CA"/>
    <w:rsid w:val="004100B0"/>
    <w:rsid w:val="0041069A"/>
    <w:rsid w:val="00410D9C"/>
    <w:rsid w:val="004113B6"/>
    <w:rsid w:val="00411AE3"/>
    <w:rsid w:val="00411DAC"/>
    <w:rsid w:val="00412794"/>
    <w:rsid w:val="00412C3B"/>
    <w:rsid w:val="00412C9C"/>
    <w:rsid w:val="00412F97"/>
    <w:rsid w:val="00413316"/>
    <w:rsid w:val="004133E2"/>
    <w:rsid w:val="004136F2"/>
    <w:rsid w:val="00413A03"/>
    <w:rsid w:val="00413A4F"/>
    <w:rsid w:val="00413DE4"/>
    <w:rsid w:val="0041404F"/>
    <w:rsid w:val="0041430D"/>
    <w:rsid w:val="004143F4"/>
    <w:rsid w:val="0041442A"/>
    <w:rsid w:val="00414875"/>
    <w:rsid w:val="0041493D"/>
    <w:rsid w:val="00414C25"/>
    <w:rsid w:val="00414E29"/>
    <w:rsid w:val="00415437"/>
    <w:rsid w:val="00415728"/>
    <w:rsid w:val="0041584F"/>
    <w:rsid w:val="00415B16"/>
    <w:rsid w:val="00415C6B"/>
    <w:rsid w:val="00415E3E"/>
    <w:rsid w:val="00416AB7"/>
    <w:rsid w:val="00416CCE"/>
    <w:rsid w:val="00416E9A"/>
    <w:rsid w:val="00416FD5"/>
    <w:rsid w:val="0041793E"/>
    <w:rsid w:val="00420081"/>
    <w:rsid w:val="00420141"/>
    <w:rsid w:val="00421086"/>
    <w:rsid w:val="004213DA"/>
    <w:rsid w:val="004216C3"/>
    <w:rsid w:val="00421852"/>
    <w:rsid w:val="0042199A"/>
    <w:rsid w:val="00421CC1"/>
    <w:rsid w:val="00421DAE"/>
    <w:rsid w:val="00421EB0"/>
    <w:rsid w:val="00421F48"/>
    <w:rsid w:val="00421F75"/>
    <w:rsid w:val="00422201"/>
    <w:rsid w:val="00422521"/>
    <w:rsid w:val="00422C32"/>
    <w:rsid w:val="00422E7C"/>
    <w:rsid w:val="004231B5"/>
    <w:rsid w:val="00423236"/>
    <w:rsid w:val="004232DA"/>
    <w:rsid w:val="004233C8"/>
    <w:rsid w:val="004235DB"/>
    <w:rsid w:val="00423F5C"/>
    <w:rsid w:val="0042417D"/>
    <w:rsid w:val="00424321"/>
    <w:rsid w:val="00424730"/>
    <w:rsid w:val="004247AE"/>
    <w:rsid w:val="0042498F"/>
    <w:rsid w:val="00424A48"/>
    <w:rsid w:val="004251F1"/>
    <w:rsid w:val="004259C6"/>
    <w:rsid w:val="004267A0"/>
    <w:rsid w:val="004267F6"/>
    <w:rsid w:val="00426929"/>
    <w:rsid w:val="00426B09"/>
    <w:rsid w:val="00426C6E"/>
    <w:rsid w:val="0042706B"/>
    <w:rsid w:val="00427398"/>
    <w:rsid w:val="0042771F"/>
    <w:rsid w:val="00427760"/>
    <w:rsid w:val="00427A56"/>
    <w:rsid w:val="00427C4E"/>
    <w:rsid w:val="0043037D"/>
    <w:rsid w:val="0043054D"/>
    <w:rsid w:val="0043063C"/>
    <w:rsid w:val="004306AA"/>
    <w:rsid w:val="00430807"/>
    <w:rsid w:val="0043090E"/>
    <w:rsid w:val="004309AD"/>
    <w:rsid w:val="00430A7B"/>
    <w:rsid w:val="00430ACD"/>
    <w:rsid w:val="00430AEB"/>
    <w:rsid w:val="00430B45"/>
    <w:rsid w:val="00430EBA"/>
    <w:rsid w:val="0043130F"/>
    <w:rsid w:val="00431350"/>
    <w:rsid w:val="00431989"/>
    <w:rsid w:val="00431FC3"/>
    <w:rsid w:val="00432185"/>
    <w:rsid w:val="004323A4"/>
    <w:rsid w:val="00432A72"/>
    <w:rsid w:val="00432BD9"/>
    <w:rsid w:val="0043306E"/>
    <w:rsid w:val="00433070"/>
    <w:rsid w:val="00433568"/>
    <w:rsid w:val="0043358F"/>
    <w:rsid w:val="00433758"/>
    <w:rsid w:val="0043378A"/>
    <w:rsid w:val="00433FC8"/>
    <w:rsid w:val="0043424D"/>
    <w:rsid w:val="0043485B"/>
    <w:rsid w:val="004354E8"/>
    <w:rsid w:val="00435502"/>
    <w:rsid w:val="00435DDA"/>
    <w:rsid w:val="004363A7"/>
    <w:rsid w:val="00436D87"/>
    <w:rsid w:val="00436FD6"/>
    <w:rsid w:val="0043751D"/>
    <w:rsid w:val="004375B9"/>
    <w:rsid w:val="00437771"/>
    <w:rsid w:val="004378AD"/>
    <w:rsid w:val="00437C0D"/>
    <w:rsid w:val="00437C31"/>
    <w:rsid w:val="004401D6"/>
    <w:rsid w:val="004404D1"/>
    <w:rsid w:val="004404F7"/>
    <w:rsid w:val="004417CA"/>
    <w:rsid w:val="00441BC5"/>
    <w:rsid w:val="00442729"/>
    <w:rsid w:val="0044272E"/>
    <w:rsid w:val="00442B79"/>
    <w:rsid w:val="00443423"/>
    <w:rsid w:val="00443C5C"/>
    <w:rsid w:val="00444620"/>
    <w:rsid w:val="00444BE8"/>
    <w:rsid w:val="00444F54"/>
    <w:rsid w:val="004453BE"/>
    <w:rsid w:val="004455B5"/>
    <w:rsid w:val="004456C5"/>
    <w:rsid w:val="00445B17"/>
    <w:rsid w:val="00445E23"/>
    <w:rsid w:val="00445F1C"/>
    <w:rsid w:val="0044603F"/>
    <w:rsid w:val="0044614B"/>
    <w:rsid w:val="0044644B"/>
    <w:rsid w:val="004465E0"/>
    <w:rsid w:val="00446B57"/>
    <w:rsid w:val="00446D09"/>
    <w:rsid w:val="0044713F"/>
    <w:rsid w:val="00447542"/>
    <w:rsid w:val="00447AAB"/>
    <w:rsid w:val="00447C2E"/>
    <w:rsid w:val="00447FB9"/>
    <w:rsid w:val="00450C0B"/>
    <w:rsid w:val="00450DA9"/>
    <w:rsid w:val="00450F91"/>
    <w:rsid w:val="00451BAB"/>
    <w:rsid w:val="00451C14"/>
    <w:rsid w:val="00452136"/>
    <w:rsid w:val="00452248"/>
    <w:rsid w:val="004522EA"/>
    <w:rsid w:val="004523F2"/>
    <w:rsid w:val="0045280F"/>
    <w:rsid w:val="0045288C"/>
    <w:rsid w:val="00452A3F"/>
    <w:rsid w:val="00452BF8"/>
    <w:rsid w:val="00452DB7"/>
    <w:rsid w:val="00452E5D"/>
    <w:rsid w:val="004532D9"/>
    <w:rsid w:val="00453BCC"/>
    <w:rsid w:val="00453DD8"/>
    <w:rsid w:val="00454004"/>
    <w:rsid w:val="00454040"/>
    <w:rsid w:val="0045470E"/>
    <w:rsid w:val="0045510C"/>
    <w:rsid w:val="0045523F"/>
    <w:rsid w:val="0045586E"/>
    <w:rsid w:val="00455980"/>
    <w:rsid w:val="00455A5E"/>
    <w:rsid w:val="00455F0A"/>
    <w:rsid w:val="00455F78"/>
    <w:rsid w:val="00455F94"/>
    <w:rsid w:val="004561C2"/>
    <w:rsid w:val="00456464"/>
    <w:rsid w:val="00456547"/>
    <w:rsid w:val="00456D9D"/>
    <w:rsid w:val="00456EA4"/>
    <w:rsid w:val="00456FD9"/>
    <w:rsid w:val="004570CF"/>
    <w:rsid w:val="0045729D"/>
    <w:rsid w:val="0045733C"/>
    <w:rsid w:val="00457669"/>
    <w:rsid w:val="00457AE6"/>
    <w:rsid w:val="004604C7"/>
    <w:rsid w:val="004605D7"/>
    <w:rsid w:val="0046083E"/>
    <w:rsid w:val="0046129A"/>
    <w:rsid w:val="00461748"/>
    <w:rsid w:val="00461AA2"/>
    <w:rsid w:val="00461C13"/>
    <w:rsid w:val="00461D72"/>
    <w:rsid w:val="00461E86"/>
    <w:rsid w:val="00461F4F"/>
    <w:rsid w:val="00462190"/>
    <w:rsid w:val="0046261D"/>
    <w:rsid w:val="0046292C"/>
    <w:rsid w:val="00463137"/>
    <w:rsid w:val="004633B9"/>
    <w:rsid w:val="00463653"/>
    <w:rsid w:val="004636FB"/>
    <w:rsid w:val="00463EB1"/>
    <w:rsid w:val="00463F2C"/>
    <w:rsid w:val="00464B81"/>
    <w:rsid w:val="00464F8E"/>
    <w:rsid w:val="0046516C"/>
    <w:rsid w:val="0046556D"/>
    <w:rsid w:val="0046567D"/>
    <w:rsid w:val="00465D90"/>
    <w:rsid w:val="004662B4"/>
    <w:rsid w:val="00466746"/>
    <w:rsid w:val="00466889"/>
    <w:rsid w:val="0046690A"/>
    <w:rsid w:val="00466946"/>
    <w:rsid w:val="00466A08"/>
    <w:rsid w:val="00466B76"/>
    <w:rsid w:val="00466C0F"/>
    <w:rsid w:val="004670C6"/>
    <w:rsid w:val="0046757B"/>
    <w:rsid w:val="004675B8"/>
    <w:rsid w:val="004678D8"/>
    <w:rsid w:val="00467A4A"/>
    <w:rsid w:val="00467F94"/>
    <w:rsid w:val="00470187"/>
    <w:rsid w:val="00470C80"/>
    <w:rsid w:val="00470E05"/>
    <w:rsid w:val="00471380"/>
    <w:rsid w:val="004714D3"/>
    <w:rsid w:val="00471DAF"/>
    <w:rsid w:val="00471F85"/>
    <w:rsid w:val="004720D4"/>
    <w:rsid w:val="0047232D"/>
    <w:rsid w:val="00472338"/>
    <w:rsid w:val="0047293B"/>
    <w:rsid w:val="00472A6C"/>
    <w:rsid w:val="00472D34"/>
    <w:rsid w:val="00472D9F"/>
    <w:rsid w:val="00472F39"/>
    <w:rsid w:val="00472F48"/>
    <w:rsid w:val="00472F96"/>
    <w:rsid w:val="0047310B"/>
    <w:rsid w:val="0047312F"/>
    <w:rsid w:val="0047351B"/>
    <w:rsid w:val="004736D4"/>
    <w:rsid w:val="004737CC"/>
    <w:rsid w:val="00473C11"/>
    <w:rsid w:val="00473C23"/>
    <w:rsid w:val="00474111"/>
    <w:rsid w:val="004744ED"/>
    <w:rsid w:val="00474612"/>
    <w:rsid w:val="00474D7C"/>
    <w:rsid w:val="004752B5"/>
    <w:rsid w:val="004756DB"/>
    <w:rsid w:val="004759E6"/>
    <w:rsid w:val="00475C08"/>
    <w:rsid w:val="00475D5A"/>
    <w:rsid w:val="00475DE3"/>
    <w:rsid w:val="00475DF6"/>
    <w:rsid w:val="00475EF0"/>
    <w:rsid w:val="00475FC9"/>
    <w:rsid w:val="0047649F"/>
    <w:rsid w:val="004764F0"/>
    <w:rsid w:val="004768A9"/>
    <w:rsid w:val="00476AD4"/>
    <w:rsid w:val="00476F4A"/>
    <w:rsid w:val="0047717D"/>
    <w:rsid w:val="004771FA"/>
    <w:rsid w:val="0047731B"/>
    <w:rsid w:val="00477353"/>
    <w:rsid w:val="00477824"/>
    <w:rsid w:val="004801FF"/>
    <w:rsid w:val="0048033C"/>
    <w:rsid w:val="00480456"/>
    <w:rsid w:val="0048061A"/>
    <w:rsid w:val="00480813"/>
    <w:rsid w:val="0048081E"/>
    <w:rsid w:val="00481421"/>
    <w:rsid w:val="0048156D"/>
    <w:rsid w:val="004816B4"/>
    <w:rsid w:val="004818EC"/>
    <w:rsid w:val="00481954"/>
    <w:rsid w:val="00482317"/>
    <w:rsid w:val="0048231A"/>
    <w:rsid w:val="00482370"/>
    <w:rsid w:val="004826F1"/>
    <w:rsid w:val="00482D31"/>
    <w:rsid w:val="00482F9D"/>
    <w:rsid w:val="00482FBC"/>
    <w:rsid w:val="004830DD"/>
    <w:rsid w:val="00483255"/>
    <w:rsid w:val="004832D0"/>
    <w:rsid w:val="004832EB"/>
    <w:rsid w:val="00483422"/>
    <w:rsid w:val="0048371B"/>
    <w:rsid w:val="00484013"/>
    <w:rsid w:val="0048404B"/>
    <w:rsid w:val="004842A3"/>
    <w:rsid w:val="004843DE"/>
    <w:rsid w:val="00484B7C"/>
    <w:rsid w:val="00484D24"/>
    <w:rsid w:val="00484E90"/>
    <w:rsid w:val="00485359"/>
    <w:rsid w:val="0048553E"/>
    <w:rsid w:val="0048579F"/>
    <w:rsid w:val="00485A83"/>
    <w:rsid w:val="00485B3D"/>
    <w:rsid w:val="00485D59"/>
    <w:rsid w:val="00486244"/>
    <w:rsid w:val="00486737"/>
    <w:rsid w:val="0048674E"/>
    <w:rsid w:val="00486A09"/>
    <w:rsid w:val="00486ACE"/>
    <w:rsid w:val="00486B3F"/>
    <w:rsid w:val="0048710A"/>
    <w:rsid w:val="004873C6"/>
    <w:rsid w:val="0048741A"/>
    <w:rsid w:val="00487848"/>
    <w:rsid w:val="00487A57"/>
    <w:rsid w:val="00487A9A"/>
    <w:rsid w:val="00487CF6"/>
    <w:rsid w:val="0048E92F"/>
    <w:rsid w:val="004902E5"/>
    <w:rsid w:val="00490501"/>
    <w:rsid w:val="004905CA"/>
    <w:rsid w:val="004907C2"/>
    <w:rsid w:val="00490982"/>
    <w:rsid w:val="004909F9"/>
    <w:rsid w:val="00490A26"/>
    <w:rsid w:val="004913B4"/>
    <w:rsid w:val="00491411"/>
    <w:rsid w:val="00491A7A"/>
    <w:rsid w:val="004922D5"/>
    <w:rsid w:val="0049248C"/>
    <w:rsid w:val="00492536"/>
    <w:rsid w:val="00492571"/>
    <w:rsid w:val="00492B2E"/>
    <w:rsid w:val="0049334F"/>
    <w:rsid w:val="00493D39"/>
    <w:rsid w:val="00493D8B"/>
    <w:rsid w:val="004940E8"/>
    <w:rsid w:val="00494144"/>
    <w:rsid w:val="004945EB"/>
    <w:rsid w:val="004947D1"/>
    <w:rsid w:val="0049485C"/>
    <w:rsid w:val="00494C7E"/>
    <w:rsid w:val="00494CBC"/>
    <w:rsid w:val="00495045"/>
    <w:rsid w:val="00495CE7"/>
    <w:rsid w:val="00495CF1"/>
    <w:rsid w:val="004964D5"/>
    <w:rsid w:val="00496B3B"/>
    <w:rsid w:val="00496D30"/>
    <w:rsid w:val="00496DEA"/>
    <w:rsid w:val="00496EAC"/>
    <w:rsid w:val="00497138"/>
    <w:rsid w:val="0049744F"/>
    <w:rsid w:val="004A00D1"/>
    <w:rsid w:val="004A0132"/>
    <w:rsid w:val="004A0284"/>
    <w:rsid w:val="004A0292"/>
    <w:rsid w:val="004A0752"/>
    <w:rsid w:val="004A0924"/>
    <w:rsid w:val="004A0D2E"/>
    <w:rsid w:val="004A1117"/>
    <w:rsid w:val="004A12AC"/>
    <w:rsid w:val="004A14BF"/>
    <w:rsid w:val="004A16FA"/>
    <w:rsid w:val="004A1937"/>
    <w:rsid w:val="004A1C12"/>
    <w:rsid w:val="004A1F4F"/>
    <w:rsid w:val="004A1F64"/>
    <w:rsid w:val="004A1F70"/>
    <w:rsid w:val="004A2494"/>
    <w:rsid w:val="004A27D1"/>
    <w:rsid w:val="004A28D2"/>
    <w:rsid w:val="004A2CF7"/>
    <w:rsid w:val="004A2E50"/>
    <w:rsid w:val="004A31F5"/>
    <w:rsid w:val="004A320C"/>
    <w:rsid w:val="004A3413"/>
    <w:rsid w:val="004A3863"/>
    <w:rsid w:val="004A3C61"/>
    <w:rsid w:val="004A4165"/>
    <w:rsid w:val="004A4359"/>
    <w:rsid w:val="004A4413"/>
    <w:rsid w:val="004A51A4"/>
    <w:rsid w:val="004A54CA"/>
    <w:rsid w:val="004A5510"/>
    <w:rsid w:val="004A5679"/>
    <w:rsid w:val="004A592C"/>
    <w:rsid w:val="004A59F9"/>
    <w:rsid w:val="004A5D92"/>
    <w:rsid w:val="004A5FF0"/>
    <w:rsid w:val="004A66A1"/>
    <w:rsid w:val="004A6981"/>
    <w:rsid w:val="004A69C0"/>
    <w:rsid w:val="004A6A4E"/>
    <w:rsid w:val="004A6A9E"/>
    <w:rsid w:val="004A6E0D"/>
    <w:rsid w:val="004A6E96"/>
    <w:rsid w:val="004A6EBF"/>
    <w:rsid w:val="004A7136"/>
    <w:rsid w:val="004A74F4"/>
    <w:rsid w:val="004A7EE9"/>
    <w:rsid w:val="004B0C54"/>
    <w:rsid w:val="004B0E1F"/>
    <w:rsid w:val="004B1036"/>
    <w:rsid w:val="004B187A"/>
    <w:rsid w:val="004B1B1B"/>
    <w:rsid w:val="004B1BA5"/>
    <w:rsid w:val="004B21F0"/>
    <w:rsid w:val="004B2BD6"/>
    <w:rsid w:val="004B2ED6"/>
    <w:rsid w:val="004B2F9A"/>
    <w:rsid w:val="004B3000"/>
    <w:rsid w:val="004B339D"/>
    <w:rsid w:val="004B36C5"/>
    <w:rsid w:val="004B3840"/>
    <w:rsid w:val="004B3965"/>
    <w:rsid w:val="004B3A0A"/>
    <w:rsid w:val="004B3A13"/>
    <w:rsid w:val="004B4585"/>
    <w:rsid w:val="004B4766"/>
    <w:rsid w:val="004B4A71"/>
    <w:rsid w:val="004B4B14"/>
    <w:rsid w:val="004B4BEB"/>
    <w:rsid w:val="004B4CC9"/>
    <w:rsid w:val="004B5161"/>
    <w:rsid w:val="004B51BA"/>
    <w:rsid w:val="004B568E"/>
    <w:rsid w:val="004B5ABD"/>
    <w:rsid w:val="004B5E88"/>
    <w:rsid w:val="004B628F"/>
    <w:rsid w:val="004B6634"/>
    <w:rsid w:val="004B6B30"/>
    <w:rsid w:val="004B6C4D"/>
    <w:rsid w:val="004B6D19"/>
    <w:rsid w:val="004B6DA7"/>
    <w:rsid w:val="004B700A"/>
    <w:rsid w:val="004B730F"/>
    <w:rsid w:val="004B734A"/>
    <w:rsid w:val="004B74F6"/>
    <w:rsid w:val="004B7660"/>
    <w:rsid w:val="004B7A22"/>
    <w:rsid w:val="004C0523"/>
    <w:rsid w:val="004C071C"/>
    <w:rsid w:val="004C076F"/>
    <w:rsid w:val="004C08C5"/>
    <w:rsid w:val="004C095D"/>
    <w:rsid w:val="004C0B0B"/>
    <w:rsid w:val="004C0F3D"/>
    <w:rsid w:val="004C1735"/>
    <w:rsid w:val="004C17B7"/>
    <w:rsid w:val="004C1962"/>
    <w:rsid w:val="004C1C9C"/>
    <w:rsid w:val="004C1CF1"/>
    <w:rsid w:val="004C1FDD"/>
    <w:rsid w:val="004C21CA"/>
    <w:rsid w:val="004C2564"/>
    <w:rsid w:val="004C25DE"/>
    <w:rsid w:val="004C26E7"/>
    <w:rsid w:val="004C2C8A"/>
    <w:rsid w:val="004C3307"/>
    <w:rsid w:val="004C33CA"/>
    <w:rsid w:val="004C3864"/>
    <w:rsid w:val="004C3993"/>
    <w:rsid w:val="004C3AD6"/>
    <w:rsid w:val="004C3D44"/>
    <w:rsid w:val="004C435E"/>
    <w:rsid w:val="004C438E"/>
    <w:rsid w:val="004C45D0"/>
    <w:rsid w:val="004C4852"/>
    <w:rsid w:val="004C4E12"/>
    <w:rsid w:val="004C526A"/>
    <w:rsid w:val="004C55F1"/>
    <w:rsid w:val="004C581B"/>
    <w:rsid w:val="004C58D9"/>
    <w:rsid w:val="004C5C83"/>
    <w:rsid w:val="004C5E1F"/>
    <w:rsid w:val="004C5EDC"/>
    <w:rsid w:val="004C5F11"/>
    <w:rsid w:val="004C5F16"/>
    <w:rsid w:val="004C5FA4"/>
    <w:rsid w:val="004C62DB"/>
    <w:rsid w:val="004C679D"/>
    <w:rsid w:val="004C69CC"/>
    <w:rsid w:val="004C7164"/>
    <w:rsid w:val="004C7480"/>
    <w:rsid w:val="004C7509"/>
    <w:rsid w:val="004C765A"/>
    <w:rsid w:val="004C7887"/>
    <w:rsid w:val="004C7985"/>
    <w:rsid w:val="004C7C1E"/>
    <w:rsid w:val="004D038D"/>
    <w:rsid w:val="004D0628"/>
    <w:rsid w:val="004D0785"/>
    <w:rsid w:val="004D095B"/>
    <w:rsid w:val="004D0ABD"/>
    <w:rsid w:val="004D0F6B"/>
    <w:rsid w:val="004D11BE"/>
    <w:rsid w:val="004D15BD"/>
    <w:rsid w:val="004D1993"/>
    <w:rsid w:val="004D1A08"/>
    <w:rsid w:val="004D1AEC"/>
    <w:rsid w:val="004D1E47"/>
    <w:rsid w:val="004D1F1A"/>
    <w:rsid w:val="004D20EE"/>
    <w:rsid w:val="004D2461"/>
    <w:rsid w:val="004D2688"/>
    <w:rsid w:val="004D2742"/>
    <w:rsid w:val="004D2A20"/>
    <w:rsid w:val="004D2BA1"/>
    <w:rsid w:val="004D2CC4"/>
    <w:rsid w:val="004D2E96"/>
    <w:rsid w:val="004D313D"/>
    <w:rsid w:val="004D340F"/>
    <w:rsid w:val="004D37B6"/>
    <w:rsid w:val="004D3890"/>
    <w:rsid w:val="004D3A37"/>
    <w:rsid w:val="004D3AD9"/>
    <w:rsid w:val="004D3BF8"/>
    <w:rsid w:val="004D3D27"/>
    <w:rsid w:val="004D40A2"/>
    <w:rsid w:val="004D452A"/>
    <w:rsid w:val="004D4D23"/>
    <w:rsid w:val="004D53C4"/>
    <w:rsid w:val="004D557A"/>
    <w:rsid w:val="004D5D50"/>
    <w:rsid w:val="004D5E80"/>
    <w:rsid w:val="004D5EF8"/>
    <w:rsid w:val="004D5F7B"/>
    <w:rsid w:val="004D65E9"/>
    <w:rsid w:val="004D67F1"/>
    <w:rsid w:val="004D6B3E"/>
    <w:rsid w:val="004D6B5C"/>
    <w:rsid w:val="004D6D33"/>
    <w:rsid w:val="004D6F54"/>
    <w:rsid w:val="004D7076"/>
    <w:rsid w:val="004D75C6"/>
    <w:rsid w:val="004D76ED"/>
    <w:rsid w:val="004D7B63"/>
    <w:rsid w:val="004D7BE2"/>
    <w:rsid w:val="004D7BF8"/>
    <w:rsid w:val="004E0143"/>
    <w:rsid w:val="004E025A"/>
    <w:rsid w:val="004E0415"/>
    <w:rsid w:val="004E047F"/>
    <w:rsid w:val="004E066B"/>
    <w:rsid w:val="004E0899"/>
    <w:rsid w:val="004E091C"/>
    <w:rsid w:val="004E0AE1"/>
    <w:rsid w:val="004E0F2B"/>
    <w:rsid w:val="004E0F98"/>
    <w:rsid w:val="004E11A3"/>
    <w:rsid w:val="004E1421"/>
    <w:rsid w:val="004E199A"/>
    <w:rsid w:val="004E1A0F"/>
    <w:rsid w:val="004E1B9A"/>
    <w:rsid w:val="004E2025"/>
    <w:rsid w:val="004E2428"/>
    <w:rsid w:val="004E2544"/>
    <w:rsid w:val="004E254A"/>
    <w:rsid w:val="004E3300"/>
    <w:rsid w:val="004E3421"/>
    <w:rsid w:val="004E3A0E"/>
    <w:rsid w:val="004E3C67"/>
    <w:rsid w:val="004E3C7E"/>
    <w:rsid w:val="004E3D81"/>
    <w:rsid w:val="004E42F4"/>
    <w:rsid w:val="004E4305"/>
    <w:rsid w:val="004E44E4"/>
    <w:rsid w:val="004E48DE"/>
    <w:rsid w:val="004E4C65"/>
    <w:rsid w:val="004E4E06"/>
    <w:rsid w:val="004E51D8"/>
    <w:rsid w:val="004E52B1"/>
    <w:rsid w:val="004E5321"/>
    <w:rsid w:val="004E5468"/>
    <w:rsid w:val="004E5974"/>
    <w:rsid w:val="004E5A4F"/>
    <w:rsid w:val="004E5DD4"/>
    <w:rsid w:val="004E652D"/>
    <w:rsid w:val="004E656E"/>
    <w:rsid w:val="004E6B0D"/>
    <w:rsid w:val="004E6D05"/>
    <w:rsid w:val="004E757D"/>
    <w:rsid w:val="004E775B"/>
    <w:rsid w:val="004E78A5"/>
    <w:rsid w:val="004E7A70"/>
    <w:rsid w:val="004E7A8B"/>
    <w:rsid w:val="004E7C1F"/>
    <w:rsid w:val="004F0051"/>
    <w:rsid w:val="004F014B"/>
    <w:rsid w:val="004F029A"/>
    <w:rsid w:val="004F05FD"/>
    <w:rsid w:val="004F06B0"/>
    <w:rsid w:val="004F09E4"/>
    <w:rsid w:val="004F0CD1"/>
    <w:rsid w:val="004F0CD9"/>
    <w:rsid w:val="004F0D77"/>
    <w:rsid w:val="004F0F85"/>
    <w:rsid w:val="004F15AA"/>
    <w:rsid w:val="004F166E"/>
    <w:rsid w:val="004F197B"/>
    <w:rsid w:val="004F199C"/>
    <w:rsid w:val="004F2175"/>
    <w:rsid w:val="004F2292"/>
    <w:rsid w:val="004F2527"/>
    <w:rsid w:val="004F2B97"/>
    <w:rsid w:val="004F2BB3"/>
    <w:rsid w:val="004F30EE"/>
    <w:rsid w:val="004F3508"/>
    <w:rsid w:val="004F3675"/>
    <w:rsid w:val="004F375C"/>
    <w:rsid w:val="004F4060"/>
    <w:rsid w:val="004F458D"/>
    <w:rsid w:val="004F4A3B"/>
    <w:rsid w:val="004F4B93"/>
    <w:rsid w:val="004F4CAA"/>
    <w:rsid w:val="004F4D02"/>
    <w:rsid w:val="004F547B"/>
    <w:rsid w:val="004F5529"/>
    <w:rsid w:val="004F558F"/>
    <w:rsid w:val="004F574B"/>
    <w:rsid w:val="004F5B47"/>
    <w:rsid w:val="004F5D99"/>
    <w:rsid w:val="004F5DED"/>
    <w:rsid w:val="004F61AF"/>
    <w:rsid w:val="004F6244"/>
    <w:rsid w:val="004F631F"/>
    <w:rsid w:val="004F6811"/>
    <w:rsid w:val="004F68DC"/>
    <w:rsid w:val="004F6A3B"/>
    <w:rsid w:val="004F6C81"/>
    <w:rsid w:val="004F6F63"/>
    <w:rsid w:val="004F7475"/>
    <w:rsid w:val="004F7510"/>
    <w:rsid w:val="004F762E"/>
    <w:rsid w:val="004F77A9"/>
    <w:rsid w:val="004F7E7D"/>
    <w:rsid w:val="005000DD"/>
    <w:rsid w:val="00500190"/>
    <w:rsid w:val="00500430"/>
    <w:rsid w:val="005004A5"/>
    <w:rsid w:val="00500615"/>
    <w:rsid w:val="00500BC3"/>
    <w:rsid w:val="00500D42"/>
    <w:rsid w:val="00500E0D"/>
    <w:rsid w:val="005010D1"/>
    <w:rsid w:val="0050145C"/>
    <w:rsid w:val="005015FA"/>
    <w:rsid w:val="005016E2"/>
    <w:rsid w:val="005017A2"/>
    <w:rsid w:val="0050190E"/>
    <w:rsid w:val="0050194A"/>
    <w:rsid w:val="00501BDD"/>
    <w:rsid w:val="005024C1"/>
    <w:rsid w:val="00502919"/>
    <w:rsid w:val="00502C9F"/>
    <w:rsid w:val="005032EC"/>
    <w:rsid w:val="00503421"/>
    <w:rsid w:val="005036AC"/>
    <w:rsid w:val="005036F3"/>
    <w:rsid w:val="00503886"/>
    <w:rsid w:val="00503986"/>
    <w:rsid w:val="00504385"/>
    <w:rsid w:val="00504A76"/>
    <w:rsid w:val="00504B91"/>
    <w:rsid w:val="00505255"/>
    <w:rsid w:val="00505650"/>
    <w:rsid w:val="00505D3D"/>
    <w:rsid w:val="00505F7F"/>
    <w:rsid w:val="0050639C"/>
    <w:rsid w:val="00506C95"/>
    <w:rsid w:val="00506F7E"/>
    <w:rsid w:val="00506FE7"/>
    <w:rsid w:val="005070C1"/>
    <w:rsid w:val="00507F94"/>
    <w:rsid w:val="005100A0"/>
    <w:rsid w:val="00510166"/>
    <w:rsid w:val="005102E2"/>
    <w:rsid w:val="00510680"/>
    <w:rsid w:val="00510842"/>
    <w:rsid w:val="00510BB5"/>
    <w:rsid w:val="00510E10"/>
    <w:rsid w:val="00510F41"/>
    <w:rsid w:val="00511345"/>
    <w:rsid w:val="0051172E"/>
    <w:rsid w:val="00511A96"/>
    <w:rsid w:val="00511CD0"/>
    <w:rsid w:val="00511DA7"/>
    <w:rsid w:val="00511E90"/>
    <w:rsid w:val="00511EE8"/>
    <w:rsid w:val="00511F9A"/>
    <w:rsid w:val="0051206A"/>
    <w:rsid w:val="0051240C"/>
    <w:rsid w:val="00512753"/>
    <w:rsid w:val="0051298E"/>
    <w:rsid w:val="00512A35"/>
    <w:rsid w:val="00512B7D"/>
    <w:rsid w:val="005130CC"/>
    <w:rsid w:val="00513A8A"/>
    <w:rsid w:val="00513D0E"/>
    <w:rsid w:val="005141B1"/>
    <w:rsid w:val="0051450F"/>
    <w:rsid w:val="0051492B"/>
    <w:rsid w:val="00514934"/>
    <w:rsid w:val="0051497C"/>
    <w:rsid w:val="00514A58"/>
    <w:rsid w:val="00514BE4"/>
    <w:rsid w:val="00514DF3"/>
    <w:rsid w:val="00514E77"/>
    <w:rsid w:val="00514EDF"/>
    <w:rsid w:val="0051559C"/>
    <w:rsid w:val="005157A6"/>
    <w:rsid w:val="005158FE"/>
    <w:rsid w:val="00515950"/>
    <w:rsid w:val="00515BEE"/>
    <w:rsid w:val="0051612D"/>
    <w:rsid w:val="005161F7"/>
    <w:rsid w:val="005169F5"/>
    <w:rsid w:val="00516E2C"/>
    <w:rsid w:val="00516EB2"/>
    <w:rsid w:val="005170AA"/>
    <w:rsid w:val="0051724D"/>
    <w:rsid w:val="005173F1"/>
    <w:rsid w:val="00517689"/>
    <w:rsid w:val="00517885"/>
    <w:rsid w:val="00517D22"/>
    <w:rsid w:val="005200A5"/>
    <w:rsid w:val="005205E7"/>
    <w:rsid w:val="00520713"/>
    <w:rsid w:val="005208C2"/>
    <w:rsid w:val="005209E0"/>
    <w:rsid w:val="005209E6"/>
    <w:rsid w:val="00520D04"/>
    <w:rsid w:val="00520ED3"/>
    <w:rsid w:val="00521404"/>
    <w:rsid w:val="00521560"/>
    <w:rsid w:val="00521765"/>
    <w:rsid w:val="00521B1E"/>
    <w:rsid w:val="00521EC9"/>
    <w:rsid w:val="00522201"/>
    <w:rsid w:val="005222E1"/>
    <w:rsid w:val="00522335"/>
    <w:rsid w:val="00522815"/>
    <w:rsid w:val="00522888"/>
    <w:rsid w:val="0052355F"/>
    <w:rsid w:val="00523681"/>
    <w:rsid w:val="005239A5"/>
    <w:rsid w:val="00523B37"/>
    <w:rsid w:val="00524017"/>
    <w:rsid w:val="00524494"/>
    <w:rsid w:val="00524499"/>
    <w:rsid w:val="005248B1"/>
    <w:rsid w:val="00524C42"/>
    <w:rsid w:val="00524CEF"/>
    <w:rsid w:val="005250A1"/>
    <w:rsid w:val="00525129"/>
    <w:rsid w:val="005256C6"/>
    <w:rsid w:val="00525715"/>
    <w:rsid w:val="0052575B"/>
    <w:rsid w:val="005257AA"/>
    <w:rsid w:val="005259B1"/>
    <w:rsid w:val="005260BB"/>
    <w:rsid w:val="005263DD"/>
    <w:rsid w:val="005265F1"/>
    <w:rsid w:val="00526CC8"/>
    <w:rsid w:val="00526FF5"/>
    <w:rsid w:val="005272D0"/>
    <w:rsid w:val="005278F0"/>
    <w:rsid w:val="0053009D"/>
    <w:rsid w:val="005301A8"/>
    <w:rsid w:val="00530E94"/>
    <w:rsid w:val="00531022"/>
    <w:rsid w:val="00531886"/>
    <w:rsid w:val="0053188D"/>
    <w:rsid w:val="00531A5B"/>
    <w:rsid w:val="00531B50"/>
    <w:rsid w:val="00531B66"/>
    <w:rsid w:val="00532151"/>
    <w:rsid w:val="00532182"/>
    <w:rsid w:val="005321C5"/>
    <w:rsid w:val="0053235C"/>
    <w:rsid w:val="0053242C"/>
    <w:rsid w:val="005329D2"/>
    <w:rsid w:val="00532B7B"/>
    <w:rsid w:val="00532D75"/>
    <w:rsid w:val="00533687"/>
    <w:rsid w:val="00533BB5"/>
    <w:rsid w:val="00533D58"/>
    <w:rsid w:val="00534729"/>
    <w:rsid w:val="00534851"/>
    <w:rsid w:val="00534861"/>
    <w:rsid w:val="00534AFF"/>
    <w:rsid w:val="00534C16"/>
    <w:rsid w:val="00535447"/>
    <w:rsid w:val="005359A0"/>
    <w:rsid w:val="005359CD"/>
    <w:rsid w:val="00535B61"/>
    <w:rsid w:val="00535B68"/>
    <w:rsid w:val="00535F08"/>
    <w:rsid w:val="00535F87"/>
    <w:rsid w:val="00535FDB"/>
    <w:rsid w:val="0053649B"/>
    <w:rsid w:val="005365C7"/>
    <w:rsid w:val="00536633"/>
    <w:rsid w:val="00536953"/>
    <w:rsid w:val="00536C30"/>
    <w:rsid w:val="00537083"/>
    <w:rsid w:val="005370DF"/>
    <w:rsid w:val="005371BD"/>
    <w:rsid w:val="005372FB"/>
    <w:rsid w:val="005373C9"/>
    <w:rsid w:val="005374D8"/>
    <w:rsid w:val="005378E1"/>
    <w:rsid w:val="00537D0B"/>
    <w:rsid w:val="0054014B"/>
    <w:rsid w:val="00540AAA"/>
    <w:rsid w:val="00540B4B"/>
    <w:rsid w:val="00541283"/>
    <w:rsid w:val="00541658"/>
    <w:rsid w:val="00541A5C"/>
    <w:rsid w:val="00542195"/>
    <w:rsid w:val="0054261D"/>
    <w:rsid w:val="005426E6"/>
    <w:rsid w:val="00542A50"/>
    <w:rsid w:val="00542D35"/>
    <w:rsid w:val="0054303A"/>
    <w:rsid w:val="005430F9"/>
    <w:rsid w:val="00543116"/>
    <w:rsid w:val="00543207"/>
    <w:rsid w:val="0054335F"/>
    <w:rsid w:val="0054355A"/>
    <w:rsid w:val="00543BD0"/>
    <w:rsid w:val="0054485C"/>
    <w:rsid w:val="00544A14"/>
    <w:rsid w:val="00544DE4"/>
    <w:rsid w:val="00545238"/>
    <w:rsid w:val="00545390"/>
    <w:rsid w:val="005454C4"/>
    <w:rsid w:val="00545D83"/>
    <w:rsid w:val="00545F27"/>
    <w:rsid w:val="005463DC"/>
    <w:rsid w:val="00546602"/>
    <w:rsid w:val="00546949"/>
    <w:rsid w:val="00546D9B"/>
    <w:rsid w:val="00547316"/>
    <w:rsid w:val="00547361"/>
    <w:rsid w:val="005475C8"/>
    <w:rsid w:val="00547835"/>
    <w:rsid w:val="00547B1D"/>
    <w:rsid w:val="00547C85"/>
    <w:rsid w:val="00547CE0"/>
    <w:rsid w:val="00547FA0"/>
    <w:rsid w:val="005503E7"/>
    <w:rsid w:val="0055054F"/>
    <w:rsid w:val="005506F4"/>
    <w:rsid w:val="0055088A"/>
    <w:rsid w:val="0055099D"/>
    <w:rsid w:val="00550BF6"/>
    <w:rsid w:val="0055106E"/>
    <w:rsid w:val="00551120"/>
    <w:rsid w:val="005512D6"/>
    <w:rsid w:val="00551507"/>
    <w:rsid w:val="005515A2"/>
    <w:rsid w:val="005515E2"/>
    <w:rsid w:val="0055182D"/>
    <w:rsid w:val="00551A52"/>
    <w:rsid w:val="00551C8E"/>
    <w:rsid w:val="00551C92"/>
    <w:rsid w:val="00551D7F"/>
    <w:rsid w:val="0055223B"/>
    <w:rsid w:val="005526A0"/>
    <w:rsid w:val="0055279B"/>
    <w:rsid w:val="00552BEF"/>
    <w:rsid w:val="00552C20"/>
    <w:rsid w:val="00553037"/>
    <w:rsid w:val="00553091"/>
    <w:rsid w:val="0055323C"/>
    <w:rsid w:val="0055377C"/>
    <w:rsid w:val="00553887"/>
    <w:rsid w:val="00553AC9"/>
    <w:rsid w:val="00553BC8"/>
    <w:rsid w:val="00553ED9"/>
    <w:rsid w:val="0055408F"/>
    <w:rsid w:val="0055414D"/>
    <w:rsid w:val="00554599"/>
    <w:rsid w:val="00554735"/>
    <w:rsid w:val="00554D72"/>
    <w:rsid w:val="00554E5D"/>
    <w:rsid w:val="00555277"/>
    <w:rsid w:val="00555547"/>
    <w:rsid w:val="00555650"/>
    <w:rsid w:val="005557B8"/>
    <w:rsid w:val="00555CFD"/>
    <w:rsid w:val="00555D56"/>
    <w:rsid w:val="00555DE1"/>
    <w:rsid w:val="00555F8D"/>
    <w:rsid w:val="00555FC0"/>
    <w:rsid w:val="00555FF7"/>
    <w:rsid w:val="00556122"/>
    <w:rsid w:val="005561E4"/>
    <w:rsid w:val="005564C8"/>
    <w:rsid w:val="005572D4"/>
    <w:rsid w:val="00557722"/>
    <w:rsid w:val="005578E7"/>
    <w:rsid w:val="0055799D"/>
    <w:rsid w:val="00557DA7"/>
    <w:rsid w:val="00557FAE"/>
    <w:rsid w:val="0056002B"/>
    <w:rsid w:val="0056010C"/>
    <w:rsid w:val="005601DB"/>
    <w:rsid w:val="005603BD"/>
    <w:rsid w:val="005603F7"/>
    <w:rsid w:val="005609BE"/>
    <w:rsid w:val="005609E3"/>
    <w:rsid w:val="00560AB2"/>
    <w:rsid w:val="00560B5F"/>
    <w:rsid w:val="00560BC8"/>
    <w:rsid w:val="00560DB7"/>
    <w:rsid w:val="00560F91"/>
    <w:rsid w:val="005612C0"/>
    <w:rsid w:val="00561580"/>
    <w:rsid w:val="005616BD"/>
    <w:rsid w:val="00561E42"/>
    <w:rsid w:val="00561EB8"/>
    <w:rsid w:val="00562C1B"/>
    <w:rsid w:val="00562F30"/>
    <w:rsid w:val="005632BF"/>
    <w:rsid w:val="0056332D"/>
    <w:rsid w:val="00563402"/>
    <w:rsid w:val="00563F3E"/>
    <w:rsid w:val="00563FB3"/>
    <w:rsid w:val="00564067"/>
    <w:rsid w:val="005640CC"/>
    <w:rsid w:val="00564C17"/>
    <w:rsid w:val="00564D99"/>
    <w:rsid w:val="00564E7D"/>
    <w:rsid w:val="00564EEE"/>
    <w:rsid w:val="00565213"/>
    <w:rsid w:val="005657D7"/>
    <w:rsid w:val="0056606F"/>
    <w:rsid w:val="005660AA"/>
    <w:rsid w:val="0056610B"/>
    <w:rsid w:val="005663F1"/>
    <w:rsid w:val="00566510"/>
    <w:rsid w:val="00566867"/>
    <w:rsid w:val="00567154"/>
    <w:rsid w:val="005672FC"/>
    <w:rsid w:val="00567302"/>
    <w:rsid w:val="005674B7"/>
    <w:rsid w:val="005675C5"/>
    <w:rsid w:val="00567947"/>
    <w:rsid w:val="00567AA3"/>
    <w:rsid w:val="00567D9F"/>
    <w:rsid w:val="00567DD9"/>
    <w:rsid w:val="00567E04"/>
    <w:rsid w:val="00567F3A"/>
    <w:rsid w:val="00570033"/>
    <w:rsid w:val="005702BF"/>
    <w:rsid w:val="0057037B"/>
    <w:rsid w:val="00570D73"/>
    <w:rsid w:val="00570F09"/>
    <w:rsid w:val="00571071"/>
    <w:rsid w:val="00571147"/>
    <w:rsid w:val="00571279"/>
    <w:rsid w:val="0057128C"/>
    <w:rsid w:val="00571895"/>
    <w:rsid w:val="005719DE"/>
    <w:rsid w:val="00571D72"/>
    <w:rsid w:val="005723D2"/>
    <w:rsid w:val="005725A0"/>
    <w:rsid w:val="00572DDD"/>
    <w:rsid w:val="00572F4F"/>
    <w:rsid w:val="0057309C"/>
    <w:rsid w:val="00573327"/>
    <w:rsid w:val="0057353F"/>
    <w:rsid w:val="005739CF"/>
    <w:rsid w:val="005739D5"/>
    <w:rsid w:val="00573DBA"/>
    <w:rsid w:val="00574725"/>
    <w:rsid w:val="0057485F"/>
    <w:rsid w:val="00574C25"/>
    <w:rsid w:val="00574FD8"/>
    <w:rsid w:val="005755D2"/>
    <w:rsid w:val="005755E7"/>
    <w:rsid w:val="005758B7"/>
    <w:rsid w:val="0057598F"/>
    <w:rsid w:val="00575E69"/>
    <w:rsid w:val="00575F28"/>
    <w:rsid w:val="0057621C"/>
    <w:rsid w:val="0057640E"/>
    <w:rsid w:val="005764CE"/>
    <w:rsid w:val="005765AF"/>
    <w:rsid w:val="0057662E"/>
    <w:rsid w:val="005768C3"/>
    <w:rsid w:val="005769AB"/>
    <w:rsid w:val="00576A12"/>
    <w:rsid w:val="00576AF2"/>
    <w:rsid w:val="005775D2"/>
    <w:rsid w:val="00577682"/>
    <w:rsid w:val="005776EC"/>
    <w:rsid w:val="00577A17"/>
    <w:rsid w:val="00577B04"/>
    <w:rsid w:val="00577CF6"/>
    <w:rsid w:val="00577E79"/>
    <w:rsid w:val="00580380"/>
    <w:rsid w:val="00580724"/>
    <w:rsid w:val="005808C3"/>
    <w:rsid w:val="00580D2F"/>
    <w:rsid w:val="00580D8F"/>
    <w:rsid w:val="00580DB9"/>
    <w:rsid w:val="005815C4"/>
    <w:rsid w:val="00581B90"/>
    <w:rsid w:val="00581C79"/>
    <w:rsid w:val="005821E2"/>
    <w:rsid w:val="0058234D"/>
    <w:rsid w:val="00582678"/>
    <w:rsid w:val="00582894"/>
    <w:rsid w:val="0058299D"/>
    <w:rsid w:val="005829DD"/>
    <w:rsid w:val="00582F84"/>
    <w:rsid w:val="00583284"/>
    <w:rsid w:val="0058338B"/>
    <w:rsid w:val="0058345E"/>
    <w:rsid w:val="00583849"/>
    <w:rsid w:val="005838B1"/>
    <w:rsid w:val="0058399D"/>
    <w:rsid w:val="00583CC4"/>
    <w:rsid w:val="00584628"/>
    <w:rsid w:val="00584855"/>
    <w:rsid w:val="00584989"/>
    <w:rsid w:val="00584F37"/>
    <w:rsid w:val="0058501B"/>
    <w:rsid w:val="0058511E"/>
    <w:rsid w:val="005853C9"/>
    <w:rsid w:val="00585431"/>
    <w:rsid w:val="005854E6"/>
    <w:rsid w:val="00585894"/>
    <w:rsid w:val="0058596C"/>
    <w:rsid w:val="00586218"/>
    <w:rsid w:val="005865E9"/>
    <w:rsid w:val="00586628"/>
    <w:rsid w:val="0058663B"/>
    <w:rsid w:val="005868D4"/>
    <w:rsid w:val="005869ED"/>
    <w:rsid w:val="00586E85"/>
    <w:rsid w:val="00587066"/>
    <w:rsid w:val="00587071"/>
    <w:rsid w:val="0058715E"/>
    <w:rsid w:val="005871CD"/>
    <w:rsid w:val="005873C8"/>
    <w:rsid w:val="005877AF"/>
    <w:rsid w:val="00587830"/>
    <w:rsid w:val="00587F5E"/>
    <w:rsid w:val="0059009A"/>
    <w:rsid w:val="0059014F"/>
    <w:rsid w:val="00590727"/>
    <w:rsid w:val="00590B9A"/>
    <w:rsid w:val="0059110E"/>
    <w:rsid w:val="0059128F"/>
    <w:rsid w:val="00591463"/>
    <w:rsid w:val="00591573"/>
    <w:rsid w:val="0059160D"/>
    <w:rsid w:val="00591FAC"/>
    <w:rsid w:val="00591FBC"/>
    <w:rsid w:val="00592049"/>
    <w:rsid w:val="00592150"/>
    <w:rsid w:val="0059243A"/>
    <w:rsid w:val="00592796"/>
    <w:rsid w:val="00592971"/>
    <w:rsid w:val="005929A4"/>
    <w:rsid w:val="00592D99"/>
    <w:rsid w:val="00592DD8"/>
    <w:rsid w:val="005930D8"/>
    <w:rsid w:val="005932DB"/>
    <w:rsid w:val="005934D2"/>
    <w:rsid w:val="00593586"/>
    <w:rsid w:val="00593ABD"/>
    <w:rsid w:val="00593DF6"/>
    <w:rsid w:val="00593F9C"/>
    <w:rsid w:val="00594171"/>
    <w:rsid w:val="005942F9"/>
    <w:rsid w:val="005943AD"/>
    <w:rsid w:val="005945EB"/>
    <w:rsid w:val="00594683"/>
    <w:rsid w:val="0059469F"/>
    <w:rsid w:val="00594F46"/>
    <w:rsid w:val="005954BE"/>
    <w:rsid w:val="00595593"/>
    <w:rsid w:val="005955D0"/>
    <w:rsid w:val="00595622"/>
    <w:rsid w:val="00595803"/>
    <w:rsid w:val="0059584E"/>
    <w:rsid w:val="00595B74"/>
    <w:rsid w:val="00595E01"/>
    <w:rsid w:val="0059640D"/>
    <w:rsid w:val="005965B0"/>
    <w:rsid w:val="0059668D"/>
    <w:rsid w:val="005966B9"/>
    <w:rsid w:val="005968C6"/>
    <w:rsid w:val="00596AEC"/>
    <w:rsid w:val="00596B01"/>
    <w:rsid w:val="00596C75"/>
    <w:rsid w:val="0059711A"/>
    <w:rsid w:val="005973B2"/>
    <w:rsid w:val="00597C6F"/>
    <w:rsid w:val="005A0164"/>
    <w:rsid w:val="005A028C"/>
    <w:rsid w:val="005A02A7"/>
    <w:rsid w:val="005A0323"/>
    <w:rsid w:val="005A0597"/>
    <w:rsid w:val="005A0CD9"/>
    <w:rsid w:val="005A11AD"/>
    <w:rsid w:val="005A12AB"/>
    <w:rsid w:val="005A15A5"/>
    <w:rsid w:val="005A195E"/>
    <w:rsid w:val="005A2161"/>
    <w:rsid w:val="005A219F"/>
    <w:rsid w:val="005A258C"/>
    <w:rsid w:val="005A2799"/>
    <w:rsid w:val="005A2974"/>
    <w:rsid w:val="005A2FFE"/>
    <w:rsid w:val="005A3028"/>
    <w:rsid w:val="005A322C"/>
    <w:rsid w:val="005A3280"/>
    <w:rsid w:val="005A33B7"/>
    <w:rsid w:val="005A33BF"/>
    <w:rsid w:val="005A343C"/>
    <w:rsid w:val="005A3558"/>
    <w:rsid w:val="005A386F"/>
    <w:rsid w:val="005A3CF3"/>
    <w:rsid w:val="005A46E5"/>
    <w:rsid w:val="005A47A7"/>
    <w:rsid w:val="005A4C11"/>
    <w:rsid w:val="005A564F"/>
    <w:rsid w:val="005A579B"/>
    <w:rsid w:val="005A58B3"/>
    <w:rsid w:val="005A58DD"/>
    <w:rsid w:val="005A59D5"/>
    <w:rsid w:val="005A5B46"/>
    <w:rsid w:val="005A6143"/>
    <w:rsid w:val="005A6943"/>
    <w:rsid w:val="005A69B8"/>
    <w:rsid w:val="005A6AAC"/>
    <w:rsid w:val="005A6AD6"/>
    <w:rsid w:val="005A6AF6"/>
    <w:rsid w:val="005A6F04"/>
    <w:rsid w:val="005A7180"/>
    <w:rsid w:val="005A72E0"/>
    <w:rsid w:val="005A749E"/>
    <w:rsid w:val="005A7732"/>
    <w:rsid w:val="005A79DD"/>
    <w:rsid w:val="005A7BCF"/>
    <w:rsid w:val="005B028E"/>
    <w:rsid w:val="005B0309"/>
    <w:rsid w:val="005B04AB"/>
    <w:rsid w:val="005B0B8F"/>
    <w:rsid w:val="005B0C03"/>
    <w:rsid w:val="005B0E3D"/>
    <w:rsid w:val="005B1025"/>
    <w:rsid w:val="005B1901"/>
    <w:rsid w:val="005B1A46"/>
    <w:rsid w:val="005B1B63"/>
    <w:rsid w:val="005B1C71"/>
    <w:rsid w:val="005B1D7D"/>
    <w:rsid w:val="005B2025"/>
    <w:rsid w:val="005B21E5"/>
    <w:rsid w:val="005B21F8"/>
    <w:rsid w:val="005B2E6C"/>
    <w:rsid w:val="005B31A4"/>
    <w:rsid w:val="005B31BC"/>
    <w:rsid w:val="005B3763"/>
    <w:rsid w:val="005B3E62"/>
    <w:rsid w:val="005B42FB"/>
    <w:rsid w:val="005B441A"/>
    <w:rsid w:val="005B46F6"/>
    <w:rsid w:val="005B4934"/>
    <w:rsid w:val="005B4D46"/>
    <w:rsid w:val="005B4E1E"/>
    <w:rsid w:val="005B53E2"/>
    <w:rsid w:val="005B5929"/>
    <w:rsid w:val="005B5A69"/>
    <w:rsid w:val="005B5EA7"/>
    <w:rsid w:val="005B6082"/>
    <w:rsid w:val="005B6C0E"/>
    <w:rsid w:val="005B6D47"/>
    <w:rsid w:val="005B6D8E"/>
    <w:rsid w:val="005B70B2"/>
    <w:rsid w:val="005B7196"/>
    <w:rsid w:val="005B7227"/>
    <w:rsid w:val="005B737F"/>
    <w:rsid w:val="005B7708"/>
    <w:rsid w:val="005B7EA8"/>
    <w:rsid w:val="005B7EB4"/>
    <w:rsid w:val="005C02E3"/>
    <w:rsid w:val="005C0395"/>
    <w:rsid w:val="005C0D1E"/>
    <w:rsid w:val="005C13D9"/>
    <w:rsid w:val="005C1405"/>
    <w:rsid w:val="005C16F6"/>
    <w:rsid w:val="005C1FA8"/>
    <w:rsid w:val="005C206C"/>
    <w:rsid w:val="005C2BC2"/>
    <w:rsid w:val="005C2D3A"/>
    <w:rsid w:val="005C2E06"/>
    <w:rsid w:val="005C2FCA"/>
    <w:rsid w:val="005C34BB"/>
    <w:rsid w:val="005C350F"/>
    <w:rsid w:val="005C3725"/>
    <w:rsid w:val="005C38AB"/>
    <w:rsid w:val="005C3C6D"/>
    <w:rsid w:val="005C3D70"/>
    <w:rsid w:val="005C3DCC"/>
    <w:rsid w:val="005C3ED8"/>
    <w:rsid w:val="005C40F7"/>
    <w:rsid w:val="005C4290"/>
    <w:rsid w:val="005C476A"/>
    <w:rsid w:val="005C4916"/>
    <w:rsid w:val="005C4EC2"/>
    <w:rsid w:val="005C5036"/>
    <w:rsid w:val="005C5985"/>
    <w:rsid w:val="005C5B68"/>
    <w:rsid w:val="005C5D75"/>
    <w:rsid w:val="005C6814"/>
    <w:rsid w:val="005C7383"/>
    <w:rsid w:val="005C7541"/>
    <w:rsid w:val="005C768F"/>
    <w:rsid w:val="005C7A0E"/>
    <w:rsid w:val="005C7A99"/>
    <w:rsid w:val="005C7FBD"/>
    <w:rsid w:val="005D01FD"/>
    <w:rsid w:val="005D022D"/>
    <w:rsid w:val="005D08E9"/>
    <w:rsid w:val="005D0BFD"/>
    <w:rsid w:val="005D0E2E"/>
    <w:rsid w:val="005D0F90"/>
    <w:rsid w:val="005D199C"/>
    <w:rsid w:val="005D1B3F"/>
    <w:rsid w:val="005D1CE1"/>
    <w:rsid w:val="005D1D24"/>
    <w:rsid w:val="005D1DA4"/>
    <w:rsid w:val="005D1EF1"/>
    <w:rsid w:val="005D1F10"/>
    <w:rsid w:val="005D2261"/>
    <w:rsid w:val="005D2732"/>
    <w:rsid w:val="005D2949"/>
    <w:rsid w:val="005D2A28"/>
    <w:rsid w:val="005D2B0B"/>
    <w:rsid w:val="005D2F2B"/>
    <w:rsid w:val="005D3140"/>
    <w:rsid w:val="005D318C"/>
    <w:rsid w:val="005D358C"/>
    <w:rsid w:val="005D36F4"/>
    <w:rsid w:val="005D3A32"/>
    <w:rsid w:val="005D3F86"/>
    <w:rsid w:val="005D402A"/>
    <w:rsid w:val="005D42F7"/>
    <w:rsid w:val="005D487D"/>
    <w:rsid w:val="005D4E26"/>
    <w:rsid w:val="005D526A"/>
    <w:rsid w:val="005D5558"/>
    <w:rsid w:val="005D5870"/>
    <w:rsid w:val="005D5933"/>
    <w:rsid w:val="005D5C51"/>
    <w:rsid w:val="005D6496"/>
    <w:rsid w:val="005D6577"/>
    <w:rsid w:val="005D66D8"/>
    <w:rsid w:val="005D6748"/>
    <w:rsid w:val="005D698A"/>
    <w:rsid w:val="005D716D"/>
    <w:rsid w:val="005D7207"/>
    <w:rsid w:val="005D735C"/>
    <w:rsid w:val="005D77D5"/>
    <w:rsid w:val="005D7D81"/>
    <w:rsid w:val="005E0120"/>
    <w:rsid w:val="005E0707"/>
    <w:rsid w:val="005E0972"/>
    <w:rsid w:val="005E16F9"/>
    <w:rsid w:val="005E1706"/>
    <w:rsid w:val="005E1AD3"/>
    <w:rsid w:val="005E1F14"/>
    <w:rsid w:val="005E2167"/>
    <w:rsid w:val="005E221F"/>
    <w:rsid w:val="005E25C1"/>
    <w:rsid w:val="005E25DF"/>
    <w:rsid w:val="005E28DE"/>
    <w:rsid w:val="005E33F3"/>
    <w:rsid w:val="005E34C8"/>
    <w:rsid w:val="005E3AB1"/>
    <w:rsid w:val="005E3BC9"/>
    <w:rsid w:val="005E4574"/>
    <w:rsid w:val="005E49A4"/>
    <w:rsid w:val="005E50AE"/>
    <w:rsid w:val="005E50C9"/>
    <w:rsid w:val="005E50D9"/>
    <w:rsid w:val="005E518C"/>
    <w:rsid w:val="005E5385"/>
    <w:rsid w:val="005E55AA"/>
    <w:rsid w:val="005E5840"/>
    <w:rsid w:val="005E5BEB"/>
    <w:rsid w:val="005E5E56"/>
    <w:rsid w:val="005E5F0F"/>
    <w:rsid w:val="005E6114"/>
    <w:rsid w:val="005E66E9"/>
    <w:rsid w:val="005E66EC"/>
    <w:rsid w:val="005E69BE"/>
    <w:rsid w:val="005E7C9D"/>
    <w:rsid w:val="005E7F43"/>
    <w:rsid w:val="005F04E0"/>
    <w:rsid w:val="005F09F6"/>
    <w:rsid w:val="005F0D34"/>
    <w:rsid w:val="005F116D"/>
    <w:rsid w:val="005F1194"/>
    <w:rsid w:val="005F1254"/>
    <w:rsid w:val="005F1D69"/>
    <w:rsid w:val="005F26B8"/>
    <w:rsid w:val="005F2892"/>
    <w:rsid w:val="005F2901"/>
    <w:rsid w:val="005F2C5C"/>
    <w:rsid w:val="005F2E6B"/>
    <w:rsid w:val="005F2F27"/>
    <w:rsid w:val="005F2FA3"/>
    <w:rsid w:val="005F300B"/>
    <w:rsid w:val="005F31AF"/>
    <w:rsid w:val="005F3A3E"/>
    <w:rsid w:val="005F3A4E"/>
    <w:rsid w:val="005F42D4"/>
    <w:rsid w:val="005F4697"/>
    <w:rsid w:val="005F4720"/>
    <w:rsid w:val="005F4A78"/>
    <w:rsid w:val="005F4E27"/>
    <w:rsid w:val="005F500B"/>
    <w:rsid w:val="005F50F2"/>
    <w:rsid w:val="005F546C"/>
    <w:rsid w:val="005F570F"/>
    <w:rsid w:val="005F5A87"/>
    <w:rsid w:val="005F6205"/>
    <w:rsid w:val="005F622B"/>
    <w:rsid w:val="005F62A9"/>
    <w:rsid w:val="005F63B3"/>
    <w:rsid w:val="005F64F3"/>
    <w:rsid w:val="005F696B"/>
    <w:rsid w:val="005F6C1A"/>
    <w:rsid w:val="005F6C32"/>
    <w:rsid w:val="005F72BF"/>
    <w:rsid w:val="005F737A"/>
    <w:rsid w:val="005F777F"/>
    <w:rsid w:val="005F7C9A"/>
    <w:rsid w:val="005F7F8F"/>
    <w:rsid w:val="006000FC"/>
    <w:rsid w:val="00600373"/>
    <w:rsid w:val="0060040C"/>
    <w:rsid w:val="006005E7"/>
    <w:rsid w:val="006006A4"/>
    <w:rsid w:val="006006DB"/>
    <w:rsid w:val="00600DC3"/>
    <w:rsid w:val="00600E56"/>
    <w:rsid w:val="00601461"/>
    <w:rsid w:val="006015A2"/>
    <w:rsid w:val="006016A0"/>
    <w:rsid w:val="00601EC1"/>
    <w:rsid w:val="00602219"/>
    <w:rsid w:val="006022D4"/>
    <w:rsid w:val="006025E9"/>
    <w:rsid w:val="0060264D"/>
    <w:rsid w:val="00602A48"/>
    <w:rsid w:val="00602A97"/>
    <w:rsid w:val="00602C69"/>
    <w:rsid w:val="00602CF3"/>
    <w:rsid w:val="00602F7D"/>
    <w:rsid w:val="00603435"/>
    <w:rsid w:val="0060347E"/>
    <w:rsid w:val="00603897"/>
    <w:rsid w:val="006038CD"/>
    <w:rsid w:val="006038F4"/>
    <w:rsid w:val="00603A51"/>
    <w:rsid w:val="00603A6F"/>
    <w:rsid w:val="00603ABD"/>
    <w:rsid w:val="00603E67"/>
    <w:rsid w:val="00603EAF"/>
    <w:rsid w:val="006040C8"/>
    <w:rsid w:val="00604376"/>
    <w:rsid w:val="00604888"/>
    <w:rsid w:val="00604AEC"/>
    <w:rsid w:val="00604D5C"/>
    <w:rsid w:val="006052BF"/>
    <w:rsid w:val="006053E7"/>
    <w:rsid w:val="00605659"/>
    <w:rsid w:val="0060596D"/>
    <w:rsid w:val="006059A3"/>
    <w:rsid w:val="00605D1D"/>
    <w:rsid w:val="006065A7"/>
    <w:rsid w:val="00606AA6"/>
    <w:rsid w:val="00606B90"/>
    <w:rsid w:val="00606D0A"/>
    <w:rsid w:val="00606D54"/>
    <w:rsid w:val="00606D75"/>
    <w:rsid w:val="00606F4D"/>
    <w:rsid w:val="00606FD2"/>
    <w:rsid w:val="00607007"/>
    <w:rsid w:val="00607704"/>
    <w:rsid w:val="00607C85"/>
    <w:rsid w:val="006101CF"/>
    <w:rsid w:val="00610527"/>
    <w:rsid w:val="00610C88"/>
    <w:rsid w:val="0061150A"/>
    <w:rsid w:val="00611F74"/>
    <w:rsid w:val="00612305"/>
    <w:rsid w:val="00612310"/>
    <w:rsid w:val="00612843"/>
    <w:rsid w:val="00612C31"/>
    <w:rsid w:val="006130A3"/>
    <w:rsid w:val="006131F7"/>
    <w:rsid w:val="0061324B"/>
    <w:rsid w:val="0061324E"/>
    <w:rsid w:val="006133C4"/>
    <w:rsid w:val="00613747"/>
    <w:rsid w:val="006138A9"/>
    <w:rsid w:val="00613A42"/>
    <w:rsid w:val="0061426E"/>
    <w:rsid w:val="00614411"/>
    <w:rsid w:val="00614539"/>
    <w:rsid w:val="006145BE"/>
    <w:rsid w:val="006146D3"/>
    <w:rsid w:val="0061482C"/>
    <w:rsid w:val="00614997"/>
    <w:rsid w:val="00614F5B"/>
    <w:rsid w:val="0061523C"/>
    <w:rsid w:val="00615360"/>
    <w:rsid w:val="00615383"/>
    <w:rsid w:val="00615BE8"/>
    <w:rsid w:val="00615E3B"/>
    <w:rsid w:val="0061634D"/>
    <w:rsid w:val="0061673F"/>
    <w:rsid w:val="0061680A"/>
    <w:rsid w:val="00616A67"/>
    <w:rsid w:val="0061768C"/>
    <w:rsid w:val="00617C39"/>
    <w:rsid w:val="00617C5A"/>
    <w:rsid w:val="0062004C"/>
    <w:rsid w:val="006201D3"/>
    <w:rsid w:val="00620442"/>
    <w:rsid w:val="006204A6"/>
    <w:rsid w:val="0062059F"/>
    <w:rsid w:val="0062080C"/>
    <w:rsid w:val="00620BE5"/>
    <w:rsid w:val="00620E78"/>
    <w:rsid w:val="00620F05"/>
    <w:rsid w:val="00621074"/>
    <w:rsid w:val="006212C8"/>
    <w:rsid w:val="0062157A"/>
    <w:rsid w:val="00621595"/>
    <w:rsid w:val="00621609"/>
    <w:rsid w:val="0062170B"/>
    <w:rsid w:val="0062186D"/>
    <w:rsid w:val="00621D49"/>
    <w:rsid w:val="00621F33"/>
    <w:rsid w:val="00622050"/>
    <w:rsid w:val="00622AF4"/>
    <w:rsid w:val="00622C0E"/>
    <w:rsid w:val="006230C9"/>
    <w:rsid w:val="0062351D"/>
    <w:rsid w:val="006237D3"/>
    <w:rsid w:val="00623859"/>
    <w:rsid w:val="0062428F"/>
    <w:rsid w:val="0062445B"/>
    <w:rsid w:val="0062485D"/>
    <w:rsid w:val="006248FD"/>
    <w:rsid w:val="00625570"/>
    <w:rsid w:val="0062591A"/>
    <w:rsid w:val="00625BB7"/>
    <w:rsid w:val="0062617E"/>
    <w:rsid w:val="00626705"/>
    <w:rsid w:val="0062672D"/>
    <w:rsid w:val="006269F5"/>
    <w:rsid w:val="00626A3E"/>
    <w:rsid w:val="00627404"/>
    <w:rsid w:val="00627873"/>
    <w:rsid w:val="00627970"/>
    <w:rsid w:val="00627C59"/>
    <w:rsid w:val="00627ECA"/>
    <w:rsid w:val="00627F7E"/>
    <w:rsid w:val="006302E6"/>
    <w:rsid w:val="00630496"/>
    <w:rsid w:val="00630F00"/>
    <w:rsid w:val="00630F92"/>
    <w:rsid w:val="00631257"/>
    <w:rsid w:val="006313B5"/>
    <w:rsid w:val="00632615"/>
    <w:rsid w:val="00632B14"/>
    <w:rsid w:val="00632B4D"/>
    <w:rsid w:val="00632EBB"/>
    <w:rsid w:val="006335B6"/>
    <w:rsid w:val="00633C59"/>
    <w:rsid w:val="00633FE2"/>
    <w:rsid w:val="006340A8"/>
    <w:rsid w:val="00634315"/>
    <w:rsid w:val="006347FD"/>
    <w:rsid w:val="00634C7F"/>
    <w:rsid w:val="00634CA0"/>
    <w:rsid w:val="00634CB4"/>
    <w:rsid w:val="00634E61"/>
    <w:rsid w:val="00634EAF"/>
    <w:rsid w:val="00634F41"/>
    <w:rsid w:val="0063503C"/>
    <w:rsid w:val="006357B0"/>
    <w:rsid w:val="00635A21"/>
    <w:rsid w:val="00635A47"/>
    <w:rsid w:val="00635D13"/>
    <w:rsid w:val="00635D1B"/>
    <w:rsid w:val="00636560"/>
    <w:rsid w:val="006366DF"/>
    <w:rsid w:val="00636882"/>
    <w:rsid w:val="0063700D"/>
    <w:rsid w:val="00637026"/>
    <w:rsid w:val="00637545"/>
    <w:rsid w:val="006376DD"/>
    <w:rsid w:val="00637965"/>
    <w:rsid w:val="00637E2B"/>
    <w:rsid w:val="00637E71"/>
    <w:rsid w:val="00640302"/>
    <w:rsid w:val="006405F0"/>
    <w:rsid w:val="00640B71"/>
    <w:rsid w:val="0064121A"/>
    <w:rsid w:val="00641388"/>
    <w:rsid w:val="0064168A"/>
    <w:rsid w:val="00641CE8"/>
    <w:rsid w:val="00641EBA"/>
    <w:rsid w:val="00642421"/>
    <w:rsid w:val="00642886"/>
    <w:rsid w:val="00642BEF"/>
    <w:rsid w:val="00642BF0"/>
    <w:rsid w:val="0064381F"/>
    <w:rsid w:val="00643842"/>
    <w:rsid w:val="0064397E"/>
    <w:rsid w:val="00644769"/>
    <w:rsid w:val="00644C06"/>
    <w:rsid w:val="00644DE9"/>
    <w:rsid w:val="00644FAB"/>
    <w:rsid w:val="00644FFC"/>
    <w:rsid w:val="006454C4"/>
    <w:rsid w:val="006456D2"/>
    <w:rsid w:val="00645922"/>
    <w:rsid w:val="0064598F"/>
    <w:rsid w:val="00645D64"/>
    <w:rsid w:val="0064633B"/>
    <w:rsid w:val="00646B18"/>
    <w:rsid w:val="00646C6B"/>
    <w:rsid w:val="00646D35"/>
    <w:rsid w:val="00646EC4"/>
    <w:rsid w:val="006477ED"/>
    <w:rsid w:val="006478B6"/>
    <w:rsid w:val="00647A6F"/>
    <w:rsid w:val="00647B47"/>
    <w:rsid w:val="00647F6E"/>
    <w:rsid w:val="00650393"/>
    <w:rsid w:val="00650A75"/>
    <w:rsid w:val="00650FDD"/>
    <w:rsid w:val="00650FF6"/>
    <w:rsid w:val="006511B1"/>
    <w:rsid w:val="00651237"/>
    <w:rsid w:val="00651387"/>
    <w:rsid w:val="006513C0"/>
    <w:rsid w:val="0065173F"/>
    <w:rsid w:val="00651B64"/>
    <w:rsid w:val="00651D45"/>
    <w:rsid w:val="00651F35"/>
    <w:rsid w:val="00652076"/>
    <w:rsid w:val="0065207D"/>
    <w:rsid w:val="006522D4"/>
    <w:rsid w:val="006522E4"/>
    <w:rsid w:val="006524BE"/>
    <w:rsid w:val="006527F7"/>
    <w:rsid w:val="00652816"/>
    <w:rsid w:val="0065290D"/>
    <w:rsid w:val="0065293E"/>
    <w:rsid w:val="00652AFF"/>
    <w:rsid w:val="00652B99"/>
    <w:rsid w:val="0065305D"/>
    <w:rsid w:val="006538C8"/>
    <w:rsid w:val="00653E46"/>
    <w:rsid w:val="00654034"/>
    <w:rsid w:val="00654094"/>
    <w:rsid w:val="00654486"/>
    <w:rsid w:val="006544C5"/>
    <w:rsid w:val="00654A88"/>
    <w:rsid w:val="00654E04"/>
    <w:rsid w:val="00654EA1"/>
    <w:rsid w:val="00654EF8"/>
    <w:rsid w:val="00655234"/>
    <w:rsid w:val="0065533D"/>
    <w:rsid w:val="006555C1"/>
    <w:rsid w:val="006555F5"/>
    <w:rsid w:val="00655801"/>
    <w:rsid w:val="00655989"/>
    <w:rsid w:val="00655A5A"/>
    <w:rsid w:val="00655D33"/>
    <w:rsid w:val="00655ECF"/>
    <w:rsid w:val="0065609D"/>
    <w:rsid w:val="006561BE"/>
    <w:rsid w:val="006562A6"/>
    <w:rsid w:val="00656331"/>
    <w:rsid w:val="00656527"/>
    <w:rsid w:val="0065684A"/>
    <w:rsid w:val="00656A72"/>
    <w:rsid w:val="00656CDD"/>
    <w:rsid w:val="00656D48"/>
    <w:rsid w:val="00657030"/>
    <w:rsid w:val="006572A1"/>
    <w:rsid w:val="006572B7"/>
    <w:rsid w:val="006572C3"/>
    <w:rsid w:val="006578E6"/>
    <w:rsid w:val="00657CBA"/>
    <w:rsid w:val="00658DE6"/>
    <w:rsid w:val="00660167"/>
    <w:rsid w:val="006602AC"/>
    <w:rsid w:val="0066045B"/>
    <w:rsid w:val="00660A83"/>
    <w:rsid w:val="00660DBA"/>
    <w:rsid w:val="00660E5C"/>
    <w:rsid w:val="006614AE"/>
    <w:rsid w:val="00662108"/>
    <w:rsid w:val="00662121"/>
    <w:rsid w:val="006621E0"/>
    <w:rsid w:val="00662777"/>
    <w:rsid w:val="00662E8A"/>
    <w:rsid w:val="00663019"/>
    <w:rsid w:val="0066312C"/>
    <w:rsid w:val="00663CC1"/>
    <w:rsid w:val="00663DE9"/>
    <w:rsid w:val="00663F8E"/>
    <w:rsid w:val="00664005"/>
    <w:rsid w:val="0066404E"/>
    <w:rsid w:val="0066432D"/>
    <w:rsid w:val="0066449B"/>
    <w:rsid w:val="00664568"/>
    <w:rsid w:val="0066503F"/>
    <w:rsid w:val="00665321"/>
    <w:rsid w:val="006654A5"/>
    <w:rsid w:val="00665DE3"/>
    <w:rsid w:val="00665FBD"/>
    <w:rsid w:val="006660B6"/>
    <w:rsid w:val="006666A8"/>
    <w:rsid w:val="0066675E"/>
    <w:rsid w:val="0066698C"/>
    <w:rsid w:val="00666C1E"/>
    <w:rsid w:val="00667215"/>
    <w:rsid w:val="0066733D"/>
    <w:rsid w:val="00667451"/>
    <w:rsid w:val="0066748C"/>
    <w:rsid w:val="00667504"/>
    <w:rsid w:val="00667690"/>
    <w:rsid w:val="006679C8"/>
    <w:rsid w:val="00667B03"/>
    <w:rsid w:val="00667D8D"/>
    <w:rsid w:val="006710CA"/>
    <w:rsid w:val="006716F7"/>
    <w:rsid w:val="00672218"/>
    <w:rsid w:val="006723EE"/>
    <w:rsid w:val="00672C9C"/>
    <w:rsid w:val="00672D2B"/>
    <w:rsid w:val="00672DEE"/>
    <w:rsid w:val="00672E77"/>
    <w:rsid w:val="00672EF9"/>
    <w:rsid w:val="00673152"/>
    <w:rsid w:val="0067322D"/>
    <w:rsid w:val="0067330D"/>
    <w:rsid w:val="0067343F"/>
    <w:rsid w:val="0067356F"/>
    <w:rsid w:val="006744D1"/>
    <w:rsid w:val="00674675"/>
    <w:rsid w:val="00674688"/>
    <w:rsid w:val="00674807"/>
    <w:rsid w:val="00674B8C"/>
    <w:rsid w:val="00675227"/>
    <w:rsid w:val="006755FD"/>
    <w:rsid w:val="00675895"/>
    <w:rsid w:val="0067617E"/>
    <w:rsid w:val="006761CF"/>
    <w:rsid w:val="00676286"/>
    <w:rsid w:val="0067640D"/>
    <w:rsid w:val="0067649E"/>
    <w:rsid w:val="00676F10"/>
    <w:rsid w:val="00676F7E"/>
    <w:rsid w:val="00677064"/>
    <w:rsid w:val="006773D3"/>
    <w:rsid w:val="00677FD7"/>
    <w:rsid w:val="006801D6"/>
    <w:rsid w:val="006805B6"/>
    <w:rsid w:val="00680878"/>
    <w:rsid w:val="00680FCD"/>
    <w:rsid w:val="00681415"/>
    <w:rsid w:val="00681548"/>
    <w:rsid w:val="0068158B"/>
    <w:rsid w:val="006816C1"/>
    <w:rsid w:val="00681931"/>
    <w:rsid w:val="00681A80"/>
    <w:rsid w:val="00681CD8"/>
    <w:rsid w:val="00682BC0"/>
    <w:rsid w:val="00682C7B"/>
    <w:rsid w:val="00682D15"/>
    <w:rsid w:val="0068339E"/>
    <w:rsid w:val="006835CE"/>
    <w:rsid w:val="006838B9"/>
    <w:rsid w:val="006839DD"/>
    <w:rsid w:val="00683CAA"/>
    <w:rsid w:val="00683CD0"/>
    <w:rsid w:val="00683E5D"/>
    <w:rsid w:val="0068413A"/>
    <w:rsid w:val="006841F3"/>
    <w:rsid w:val="00684243"/>
    <w:rsid w:val="00684F57"/>
    <w:rsid w:val="00685036"/>
    <w:rsid w:val="00685328"/>
    <w:rsid w:val="006853B9"/>
    <w:rsid w:val="006854CC"/>
    <w:rsid w:val="0068556B"/>
    <w:rsid w:val="00685621"/>
    <w:rsid w:val="00685A13"/>
    <w:rsid w:val="00685A7C"/>
    <w:rsid w:val="00685AA0"/>
    <w:rsid w:val="00685B5F"/>
    <w:rsid w:val="00685C34"/>
    <w:rsid w:val="00686156"/>
    <w:rsid w:val="0068626C"/>
    <w:rsid w:val="006864FF"/>
    <w:rsid w:val="00686B3B"/>
    <w:rsid w:val="00686B73"/>
    <w:rsid w:val="00686E3D"/>
    <w:rsid w:val="006874E1"/>
    <w:rsid w:val="006874EA"/>
    <w:rsid w:val="006877D1"/>
    <w:rsid w:val="00687A1C"/>
    <w:rsid w:val="00687ACB"/>
    <w:rsid w:val="00687FC5"/>
    <w:rsid w:val="00690326"/>
    <w:rsid w:val="00690719"/>
    <w:rsid w:val="006907E6"/>
    <w:rsid w:val="00690845"/>
    <w:rsid w:val="00690C86"/>
    <w:rsid w:val="006912E2"/>
    <w:rsid w:val="0069171F"/>
    <w:rsid w:val="006918D4"/>
    <w:rsid w:val="00691B3B"/>
    <w:rsid w:val="00691F05"/>
    <w:rsid w:val="006922E9"/>
    <w:rsid w:val="006922F5"/>
    <w:rsid w:val="006924AE"/>
    <w:rsid w:val="00692982"/>
    <w:rsid w:val="00692D7F"/>
    <w:rsid w:val="00693106"/>
    <w:rsid w:val="0069316E"/>
    <w:rsid w:val="00693380"/>
    <w:rsid w:val="00693423"/>
    <w:rsid w:val="00693503"/>
    <w:rsid w:val="006936A7"/>
    <w:rsid w:val="00693832"/>
    <w:rsid w:val="00693BF1"/>
    <w:rsid w:val="00693CE9"/>
    <w:rsid w:val="00693D37"/>
    <w:rsid w:val="00693E40"/>
    <w:rsid w:val="0069476B"/>
    <w:rsid w:val="00694951"/>
    <w:rsid w:val="00694EA8"/>
    <w:rsid w:val="006956A4"/>
    <w:rsid w:val="006956CF"/>
    <w:rsid w:val="00695707"/>
    <w:rsid w:val="006958B8"/>
    <w:rsid w:val="00695CDC"/>
    <w:rsid w:val="00695F80"/>
    <w:rsid w:val="006961F8"/>
    <w:rsid w:val="0069666E"/>
    <w:rsid w:val="00696A8D"/>
    <w:rsid w:val="00697092"/>
    <w:rsid w:val="00697363"/>
    <w:rsid w:val="00697384"/>
    <w:rsid w:val="0069754E"/>
    <w:rsid w:val="006977F3"/>
    <w:rsid w:val="006978DA"/>
    <w:rsid w:val="006979AE"/>
    <w:rsid w:val="00697ADD"/>
    <w:rsid w:val="00697B75"/>
    <w:rsid w:val="00697DB7"/>
    <w:rsid w:val="00697EBF"/>
    <w:rsid w:val="006A00FF"/>
    <w:rsid w:val="006A03D9"/>
    <w:rsid w:val="006A04B4"/>
    <w:rsid w:val="006A0576"/>
    <w:rsid w:val="006A0659"/>
    <w:rsid w:val="006A0D70"/>
    <w:rsid w:val="006A0DB7"/>
    <w:rsid w:val="006A0E25"/>
    <w:rsid w:val="006A1456"/>
    <w:rsid w:val="006A1A2B"/>
    <w:rsid w:val="006A1B5F"/>
    <w:rsid w:val="006A1C5C"/>
    <w:rsid w:val="006A1DD0"/>
    <w:rsid w:val="006A1ECD"/>
    <w:rsid w:val="006A2003"/>
    <w:rsid w:val="006A2074"/>
    <w:rsid w:val="006A208E"/>
    <w:rsid w:val="006A2268"/>
    <w:rsid w:val="006A2368"/>
    <w:rsid w:val="006A23C4"/>
    <w:rsid w:val="006A258F"/>
    <w:rsid w:val="006A26FC"/>
    <w:rsid w:val="006A2AD8"/>
    <w:rsid w:val="006A2B44"/>
    <w:rsid w:val="006A31E0"/>
    <w:rsid w:val="006A3311"/>
    <w:rsid w:val="006A3443"/>
    <w:rsid w:val="006A3693"/>
    <w:rsid w:val="006A3763"/>
    <w:rsid w:val="006A3B1B"/>
    <w:rsid w:val="006A3EC7"/>
    <w:rsid w:val="006A408E"/>
    <w:rsid w:val="006A4152"/>
    <w:rsid w:val="006A4227"/>
    <w:rsid w:val="006A4246"/>
    <w:rsid w:val="006A43D2"/>
    <w:rsid w:val="006A499F"/>
    <w:rsid w:val="006A4ABB"/>
    <w:rsid w:val="006A4AC0"/>
    <w:rsid w:val="006A4EB2"/>
    <w:rsid w:val="006A4EDD"/>
    <w:rsid w:val="006A50EA"/>
    <w:rsid w:val="006A52E6"/>
    <w:rsid w:val="006A5418"/>
    <w:rsid w:val="006A5589"/>
    <w:rsid w:val="006A5AA0"/>
    <w:rsid w:val="006A5B4B"/>
    <w:rsid w:val="006A5B9C"/>
    <w:rsid w:val="006A5C61"/>
    <w:rsid w:val="006A5DD3"/>
    <w:rsid w:val="006A6748"/>
    <w:rsid w:val="006A67EF"/>
    <w:rsid w:val="006A6B8C"/>
    <w:rsid w:val="006A6B94"/>
    <w:rsid w:val="006A6F6A"/>
    <w:rsid w:val="006A757E"/>
    <w:rsid w:val="006A7603"/>
    <w:rsid w:val="006A7BF3"/>
    <w:rsid w:val="006B019E"/>
    <w:rsid w:val="006B0C1F"/>
    <w:rsid w:val="006B0C92"/>
    <w:rsid w:val="006B0D43"/>
    <w:rsid w:val="006B0EA9"/>
    <w:rsid w:val="006B13FC"/>
    <w:rsid w:val="006B18F4"/>
    <w:rsid w:val="006B1920"/>
    <w:rsid w:val="006B1970"/>
    <w:rsid w:val="006B1AEB"/>
    <w:rsid w:val="006B1B6E"/>
    <w:rsid w:val="006B223D"/>
    <w:rsid w:val="006B2429"/>
    <w:rsid w:val="006B2D29"/>
    <w:rsid w:val="006B347E"/>
    <w:rsid w:val="006B3617"/>
    <w:rsid w:val="006B3784"/>
    <w:rsid w:val="006B3B29"/>
    <w:rsid w:val="006B3BD4"/>
    <w:rsid w:val="006B3FAB"/>
    <w:rsid w:val="006B461E"/>
    <w:rsid w:val="006B4777"/>
    <w:rsid w:val="006B49A4"/>
    <w:rsid w:val="006B4A61"/>
    <w:rsid w:val="006B4F87"/>
    <w:rsid w:val="006B4FC3"/>
    <w:rsid w:val="006B54DD"/>
    <w:rsid w:val="006B57D0"/>
    <w:rsid w:val="006B58C2"/>
    <w:rsid w:val="006B5F34"/>
    <w:rsid w:val="006B6037"/>
    <w:rsid w:val="006B64CF"/>
    <w:rsid w:val="006B65E8"/>
    <w:rsid w:val="006B712B"/>
    <w:rsid w:val="006B7248"/>
    <w:rsid w:val="006B72B8"/>
    <w:rsid w:val="006B73A1"/>
    <w:rsid w:val="006B752F"/>
    <w:rsid w:val="006B7894"/>
    <w:rsid w:val="006B7C54"/>
    <w:rsid w:val="006B7D87"/>
    <w:rsid w:val="006C01AE"/>
    <w:rsid w:val="006C04BA"/>
    <w:rsid w:val="006C04D8"/>
    <w:rsid w:val="006C0681"/>
    <w:rsid w:val="006C0C04"/>
    <w:rsid w:val="006C0D2E"/>
    <w:rsid w:val="006C1252"/>
    <w:rsid w:val="006C138C"/>
    <w:rsid w:val="006C15BA"/>
    <w:rsid w:val="006C1D9F"/>
    <w:rsid w:val="006C21CB"/>
    <w:rsid w:val="006C22BE"/>
    <w:rsid w:val="006C22DE"/>
    <w:rsid w:val="006C2416"/>
    <w:rsid w:val="006C258E"/>
    <w:rsid w:val="006C2EAA"/>
    <w:rsid w:val="006C2EEE"/>
    <w:rsid w:val="006C30D4"/>
    <w:rsid w:val="006C33BA"/>
    <w:rsid w:val="006C350E"/>
    <w:rsid w:val="006C355F"/>
    <w:rsid w:val="006C3686"/>
    <w:rsid w:val="006C3B7D"/>
    <w:rsid w:val="006C419E"/>
    <w:rsid w:val="006C4433"/>
    <w:rsid w:val="006C4462"/>
    <w:rsid w:val="006C47F2"/>
    <w:rsid w:val="006C4EF6"/>
    <w:rsid w:val="006C4F91"/>
    <w:rsid w:val="006C584A"/>
    <w:rsid w:val="006C59AB"/>
    <w:rsid w:val="006C6482"/>
    <w:rsid w:val="006C68F3"/>
    <w:rsid w:val="006C697F"/>
    <w:rsid w:val="006C6999"/>
    <w:rsid w:val="006C720E"/>
    <w:rsid w:val="006C7352"/>
    <w:rsid w:val="006C7C5B"/>
    <w:rsid w:val="006C7CAF"/>
    <w:rsid w:val="006C7F26"/>
    <w:rsid w:val="006D0045"/>
    <w:rsid w:val="006D0876"/>
    <w:rsid w:val="006D0D0E"/>
    <w:rsid w:val="006D1184"/>
    <w:rsid w:val="006D12AB"/>
    <w:rsid w:val="006D1557"/>
    <w:rsid w:val="006D18F5"/>
    <w:rsid w:val="006D19AE"/>
    <w:rsid w:val="006D2073"/>
    <w:rsid w:val="006D247F"/>
    <w:rsid w:val="006D257E"/>
    <w:rsid w:val="006D2665"/>
    <w:rsid w:val="006D2ADF"/>
    <w:rsid w:val="006D2DD2"/>
    <w:rsid w:val="006D30B3"/>
    <w:rsid w:val="006D313D"/>
    <w:rsid w:val="006D3ABB"/>
    <w:rsid w:val="006D3BB6"/>
    <w:rsid w:val="006D3BC9"/>
    <w:rsid w:val="006D3CEB"/>
    <w:rsid w:val="006D458C"/>
    <w:rsid w:val="006D47DC"/>
    <w:rsid w:val="006D4D33"/>
    <w:rsid w:val="006D4DC5"/>
    <w:rsid w:val="006D5017"/>
    <w:rsid w:val="006D5195"/>
    <w:rsid w:val="006D52B6"/>
    <w:rsid w:val="006D543E"/>
    <w:rsid w:val="006D5913"/>
    <w:rsid w:val="006D5948"/>
    <w:rsid w:val="006D5975"/>
    <w:rsid w:val="006D5CC7"/>
    <w:rsid w:val="006D6287"/>
    <w:rsid w:val="006D6297"/>
    <w:rsid w:val="006D69A8"/>
    <w:rsid w:val="006D6E31"/>
    <w:rsid w:val="006D706E"/>
    <w:rsid w:val="006D7194"/>
    <w:rsid w:val="006D77A5"/>
    <w:rsid w:val="006D7895"/>
    <w:rsid w:val="006D7C20"/>
    <w:rsid w:val="006D7CD0"/>
    <w:rsid w:val="006D7D89"/>
    <w:rsid w:val="006D7EC4"/>
    <w:rsid w:val="006E0053"/>
    <w:rsid w:val="006E0830"/>
    <w:rsid w:val="006E09C9"/>
    <w:rsid w:val="006E09DB"/>
    <w:rsid w:val="006E1094"/>
    <w:rsid w:val="006E11DC"/>
    <w:rsid w:val="006E120D"/>
    <w:rsid w:val="006E17C5"/>
    <w:rsid w:val="006E1A97"/>
    <w:rsid w:val="006E21AB"/>
    <w:rsid w:val="006E2651"/>
    <w:rsid w:val="006E26C1"/>
    <w:rsid w:val="006E2B17"/>
    <w:rsid w:val="006E2C12"/>
    <w:rsid w:val="006E2D31"/>
    <w:rsid w:val="006E2DBD"/>
    <w:rsid w:val="006E2E67"/>
    <w:rsid w:val="006E2EFD"/>
    <w:rsid w:val="006E2F9A"/>
    <w:rsid w:val="006E3236"/>
    <w:rsid w:val="006E327B"/>
    <w:rsid w:val="006E367D"/>
    <w:rsid w:val="006E3762"/>
    <w:rsid w:val="006E393F"/>
    <w:rsid w:val="006E3E76"/>
    <w:rsid w:val="006E4127"/>
    <w:rsid w:val="006E491A"/>
    <w:rsid w:val="006E4BB9"/>
    <w:rsid w:val="006E4F97"/>
    <w:rsid w:val="006E5298"/>
    <w:rsid w:val="006E534F"/>
    <w:rsid w:val="006E5387"/>
    <w:rsid w:val="006E57D3"/>
    <w:rsid w:val="006E5D72"/>
    <w:rsid w:val="006E5E8C"/>
    <w:rsid w:val="006E6240"/>
    <w:rsid w:val="006E6362"/>
    <w:rsid w:val="006E6473"/>
    <w:rsid w:val="006E64DF"/>
    <w:rsid w:val="006E6738"/>
    <w:rsid w:val="006E687D"/>
    <w:rsid w:val="006E73E8"/>
    <w:rsid w:val="006E74BA"/>
    <w:rsid w:val="006E758D"/>
    <w:rsid w:val="006E78AD"/>
    <w:rsid w:val="006E795A"/>
    <w:rsid w:val="006E7E20"/>
    <w:rsid w:val="006F025D"/>
    <w:rsid w:val="006F0A8D"/>
    <w:rsid w:val="006F0EBA"/>
    <w:rsid w:val="006F0F4B"/>
    <w:rsid w:val="006F0FF6"/>
    <w:rsid w:val="006F13B3"/>
    <w:rsid w:val="006F14A6"/>
    <w:rsid w:val="006F176D"/>
    <w:rsid w:val="006F1B02"/>
    <w:rsid w:val="006F2263"/>
    <w:rsid w:val="006F248B"/>
    <w:rsid w:val="006F2A4D"/>
    <w:rsid w:val="006F2CAD"/>
    <w:rsid w:val="006F2F17"/>
    <w:rsid w:val="006F358F"/>
    <w:rsid w:val="006F369A"/>
    <w:rsid w:val="006F36B1"/>
    <w:rsid w:val="006F39AE"/>
    <w:rsid w:val="006F4010"/>
    <w:rsid w:val="006F44F8"/>
    <w:rsid w:val="006F45C9"/>
    <w:rsid w:val="006F4C3B"/>
    <w:rsid w:val="006F4F1B"/>
    <w:rsid w:val="006F5004"/>
    <w:rsid w:val="006F5110"/>
    <w:rsid w:val="006F524F"/>
    <w:rsid w:val="006F534E"/>
    <w:rsid w:val="006F536A"/>
    <w:rsid w:val="006F5C00"/>
    <w:rsid w:val="006F60A5"/>
    <w:rsid w:val="006F6293"/>
    <w:rsid w:val="006F6E16"/>
    <w:rsid w:val="006F6E6A"/>
    <w:rsid w:val="006F6EBE"/>
    <w:rsid w:val="006F7009"/>
    <w:rsid w:val="006F7139"/>
    <w:rsid w:val="006F756C"/>
    <w:rsid w:val="006F7B1D"/>
    <w:rsid w:val="006F7BD4"/>
    <w:rsid w:val="006F7D82"/>
    <w:rsid w:val="006F7F95"/>
    <w:rsid w:val="0070001D"/>
    <w:rsid w:val="007000E7"/>
    <w:rsid w:val="00700546"/>
    <w:rsid w:val="0070072F"/>
    <w:rsid w:val="00700801"/>
    <w:rsid w:val="00700CBD"/>
    <w:rsid w:val="007014FF"/>
    <w:rsid w:val="007016B9"/>
    <w:rsid w:val="00701F64"/>
    <w:rsid w:val="007021AD"/>
    <w:rsid w:val="00702A32"/>
    <w:rsid w:val="00702D24"/>
    <w:rsid w:val="00703BE2"/>
    <w:rsid w:val="00703E47"/>
    <w:rsid w:val="00703F7D"/>
    <w:rsid w:val="007044A6"/>
    <w:rsid w:val="00704DAD"/>
    <w:rsid w:val="00704FC8"/>
    <w:rsid w:val="0070503C"/>
    <w:rsid w:val="00705305"/>
    <w:rsid w:val="00705A1B"/>
    <w:rsid w:val="0070651A"/>
    <w:rsid w:val="00706A51"/>
    <w:rsid w:val="00706F40"/>
    <w:rsid w:val="0070722D"/>
    <w:rsid w:val="00707499"/>
    <w:rsid w:val="00707651"/>
    <w:rsid w:val="00707789"/>
    <w:rsid w:val="0070796F"/>
    <w:rsid w:val="00707B3D"/>
    <w:rsid w:val="00707F0A"/>
    <w:rsid w:val="00707F1B"/>
    <w:rsid w:val="007101FE"/>
    <w:rsid w:val="0071027B"/>
    <w:rsid w:val="00710806"/>
    <w:rsid w:val="00710AA0"/>
    <w:rsid w:val="00710F79"/>
    <w:rsid w:val="00710FA3"/>
    <w:rsid w:val="00711357"/>
    <w:rsid w:val="00711659"/>
    <w:rsid w:val="0071181B"/>
    <w:rsid w:val="00711847"/>
    <w:rsid w:val="007119CE"/>
    <w:rsid w:val="00712994"/>
    <w:rsid w:val="00712ABF"/>
    <w:rsid w:val="00712AD4"/>
    <w:rsid w:val="00712AFE"/>
    <w:rsid w:val="00712B2C"/>
    <w:rsid w:val="00712D0E"/>
    <w:rsid w:val="00713138"/>
    <w:rsid w:val="00713521"/>
    <w:rsid w:val="007135B6"/>
    <w:rsid w:val="0071376F"/>
    <w:rsid w:val="00713818"/>
    <w:rsid w:val="00713FF2"/>
    <w:rsid w:val="007144C1"/>
    <w:rsid w:val="0071468E"/>
    <w:rsid w:val="00714AC7"/>
    <w:rsid w:val="00715F43"/>
    <w:rsid w:val="00716143"/>
    <w:rsid w:val="007168D3"/>
    <w:rsid w:val="00717052"/>
    <w:rsid w:val="007170F5"/>
    <w:rsid w:val="007171B1"/>
    <w:rsid w:val="00717A7E"/>
    <w:rsid w:val="00717F08"/>
    <w:rsid w:val="007201C3"/>
    <w:rsid w:val="0072059D"/>
    <w:rsid w:val="0072064F"/>
    <w:rsid w:val="007209CC"/>
    <w:rsid w:val="00720CC2"/>
    <w:rsid w:val="007215AE"/>
    <w:rsid w:val="007215D5"/>
    <w:rsid w:val="00721627"/>
    <w:rsid w:val="0072210E"/>
    <w:rsid w:val="00722581"/>
    <w:rsid w:val="007225EA"/>
    <w:rsid w:val="00722B71"/>
    <w:rsid w:val="007231D9"/>
    <w:rsid w:val="0072330A"/>
    <w:rsid w:val="0072335B"/>
    <w:rsid w:val="00723ACA"/>
    <w:rsid w:val="00723C05"/>
    <w:rsid w:val="00723E46"/>
    <w:rsid w:val="007240D7"/>
    <w:rsid w:val="00724146"/>
    <w:rsid w:val="007243DA"/>
    <w:rsid w:val="0072442F"/>
    <w:rsid w:val="00724619"/>
    <w:rsid w:val="0072479E"/>
    <w:rsid w:val="0072493B"/>
    <w:rsid w:val="0072496C"/>
    <w:rsid w:val="00725223"/>
    <w:rsid w:val="00725292"/>
    <w:rsid w:val="0072583E"/>
    <w:rsid w:val="00725850"/>
    <w:rsid w:val="00725CA8"/>
    <w:rsid w:val="007262AE"/>
    <w:rsid w:val="007264D6"/>
    <w:rsid w:val="00726697"/>
    <w:rsid w:val="007268BD"/>
    <w:rsid w:val="007268C3"/>
    <w:rsid w:val="00726E59"/>
    <w:rsid w:val="0072744B"/>
    <w:rsid w:val="007276DC"/>
    <w:rsid w:val="007277E2"/>
    <w:rsid w:val="00727B87"/>
    <w:rsid w:val="00727C15"/>
    <w:rsid w:val="00727EEA"/>
    <w:rsid w:val="0073047B"/>
    <w:rsid w:val="00730710"/>
    <w:rsid w:val="007308A3"/>
    <w:rsid w:val="00730AC5"/>
    <w:rsid w:val="007313C9"/>
    <w:rsid w:val="00731430"/>
    <w:rsid w:val="0073177F"/>
    <w:rsid w:val="00731CAF"/>
    <w:rsid w:val="00731D58"/>
    <w:rsid w:val="007320D0"/>
    <w:rsid w:val="00732207"/>
    <w:rsid w:val="00732616"/>
    <w:rsid w:val="00732693"/>
    <w:rsid w:val="00732BFD"/>
    <w:rsid w:val="00732EFC"/>
    <w:rsid w:val="00732FD6"/>
    <w:rsid w:val="007330AD"/>
    <w:rsid w:val="00733605"/>
    <w:rsid w:val="00733739"/>
    <w:rsid w:val="007339BB"/>
    <w:rsid w:val="00733D37"/>
    <w:rsid w:val="0073441C"/>
    <w:rsid w:val="00734435"/>
    <w:rsid w:val="00734767"/>
    <w:rsid w:val="00734AE0"/>
    <w:rsid w:val="00734BAE"/>
    <w:rsid w:val="00734C8E"/>
    <w:rsid w:val="00734E27"/>
    <w:rsid w:val="00734FC2"/>
    <w:rsid w:val="0073512E"/>
    <w:rsid w:val="007351CB"/>
    <w:rsid w:val="00735418"/>
    <w:rsid w:val="007356D0"/>
    <w:rsid w:val="00735AC4"/>
    <w:rsid w:val="0073680C"/>
    <w:rsid w:val="0073691D"/>
    <w:rsid w:val="00736D2D"/>
    <w:rsid w:val="00736D80"/>
    <w:rsid w:val="00736DF4"/>
    <w:rsid w:val="0073709C"/>
    <w:rsid w:val="007374D4"/>
    <w:rsid w:val="00737569"/>
    <w:rsid w:val="00737741"/>
    <w:rsid w:val="0073775D"/>
    <w:rsid w:val="00737896"/>
    <w:rsid w:val="00737F1A"/>
    <w:rsid w:val="007407B2"/>
    <w:rsid w:val="007407F5"/>
    <w:rsid w:val="007407FC"/>
    <w:rsid w:val="00740941"/>
    <w:rsid w:val="00740F6A"/>
    <w:rsid w:val="007412D7"/>
    <w:rsid w:val="00741357"/>
    <w:rsid w:val="00741517"/>
    <w:rsid w:val="00741E4B"/>
    <w:rsid w:val="00741E6F"/>
    <w:rsid w:val="007424D1"/>
    <w:rsid w:val="0074280B"/>
    <w:rsid w:val="00742DF4"/>
    <w:rsid w:val="007434D8"/>
    <w:rsid w:val="007438AC"/>
    <w:rsid w:val="00743AB0"/>
    <w:rsid w:val="00744156"/>
    <w:rsid w:val="007443BB"/>
    <w:rsid w:val="0074478E"/>
    <w:rsid w:val="00744B3A"/>
    <w:rsid w:val="00745241"/>
    <w:rsid w:val="00745302"/>
    <w:rsid w:val="0074550F"/>
    <w:rsid w:val="0074574E"/>
    <w:rsid w:val="00745C76"/>
    <w:rsid w:val="00745E04"/>
    <w:rsid w:val="0074601F"/>
    <w:rsid w:val="00746C75"/>
    <w:rsid w:val="00747032"/>
    <w:rsid w:val="0074782A"/>
    <w:rsid w:val="007479C0"/>
    <w:rsid w:val="00747AF6"/>
    <w:rsid w:val="00747FB2"/>
    <w:rsid w:val="0075013A"/>
    <w:rsid w:val="00750156"/>
    <w:rsid w:val="007501AA"/>
    <w:rsid w:val="007506D8"/>
    <w:rsid w:val="0075078A"/>
    <w:rsid w:val="007509B6"/>
    <w:rsid w:val="00750A23"/>
    <w:rsid w:val="00750D75"/>
    <w:rsid w:val="00751045"/>
    <w:rsid w:val="0075108B"/>
    <w:rsid w:val="007514D0"/>
    <w:rsid w:val="00751917"/>
    <w:rsid w:val="0075192E"/>
    <w:rsid w:val="00751CD4"/>
    <w:rsid w:val="00751D43"/>
    <w:rsid w:val="00751FA7"/>
    <w:rsid w:val="00752100"/>
    <w:rsid w:val="0075238C"/>
    <w:rsid w:val="007524F0"/>
    <w:rsid w:val="007526B0"/>
    <w:rsid w:val="00752BF7"/>
    <w:rsid w:val="00752E1C"/>
    <w:rsid w:val="007533D0"/>
    <w:rsid w:val="007534D2"/>
    <w:rsid w:val="007535B2"/>
    <w:rsid w:val="007537C1"/>
    <w:rsid w:val="007537D9"/>
    <w:rsid w:val="00753CA1"/>
    <w:rsid w:val="00753D3D"/>
    <w:rsid w:val="00753DA1"/>
    <w:rsid w:val="00754232"/>
    <w:rsid w:val="00754342"/>
    <w:rsid w:val="0075504F"/>
    <w:rsid w:val="0075508A"/>
    <w:rsid w:val="00755668"/>
    <w:rsid w:val="00755E05"/>
    <w:rsid w:val="0075619E"/>
    <w:rsid w:val="007562BC"/>
    <w:rsid w:val="007564E4"/>
    <w:rsid w:val="007565B0"/>
    <w:rsid w:val="00756913"/>
    <w:rsid w:val="00756ADD"/>
    <w:rsid w:val="00756DD8"/>
    <w:rsid w:val="00757221"/>
    <w:rsid w:val="007579FE"/>
    <w:rsid w:val="00757EEF"/>
    <w:rsid w:val="00757F03"/>
    <w:rsid w:val="0076021F"/>
    <w:rsid w:val="00760477"/>
    <w:rsid w:val="007609C1"/>
    <w:rsid w:val="00760A07"/>
    <w:rsid w:val="00760E4E"/>
    <w:rsid w:val="0076117B"/>
    <w:rsid w:val="00761320"/>
    <w:rsid w:val="00761788"/>
    <w:rsid w:val="00761A73"/>
    <w:rsid w:val="00762018"/>
    <w:rsid w:val="00762388"/>
    <w:rsid w:val="007623D9"/>
    <w:rsid w:val="007625C7"/>
    <w:rsid w:val="00762679"/>
    <w:rsid w:val="00762A5B"/>
    <w:rsid w:val="00763256"/>
    <w:rsid w:val="007633EB"/>
    <w:rsid w:val="00763782"/>
    <w:rsid w:val="00763C50"/>
    <w:rsid w:val="00763E84"/>
    <w:rsid w:val="0076440E"/>
    <w:rsid w:val="007646CD"/>
    <w:rsid w:val="007650B1"/>
    <w:rsid w:val="00765430"/>
    <w:rsid w:val="0076571B"/>
    <w:rsid w:val="007659ED"/>
    <w:rsid w:val="00765A43"/>
    <w:rsid w:val="00765B2D"/>
    <w:rsid w:val="00765E0C"/>
    <w:rsid w:val="00765EC6"/>
    <w:rsid w:val="00765FD5"/>
    <w:rsid w:val="0076607B"/>
    <w:rsid w:val="007660EE"/>
    <w:rsid w:val="007662FB"/>
    <w:rsid w:val="00766319"/>
    <w:rsid w:val="00766369"/>
    <w:rsid w:val="007667E1"/>
    <w:rsid w:val="007668C8"/>
    <w:rsid w:val="007668C9"/>
    <w:rsid w:val="00766E2B"/>
    <w:rsid w:val="007670C0"/>
    <w:rsid w:val="007673DF"/>
    <w:rsid w:val="007679E6"/>
    <w:rsid w:val="00767C54"/>
    <w:rsid w:val="007701FC"/>
    <w:rsid w:val="00770A13"/>
    <w:rsid w:val="00770DA2"/>
    <w:rsid w:val="00770DA8"/>
    <w:rsid w:val="0077132B"/>
    <w:rsid w:val="007716A3"/>
    <w:rsid w:val="00771AB1"/>
    <w:rsid w:val="00771CE3"/>
    <w:rsid w:val="00771D0B"/>
    <w:rsid w:val="00771DE8"/>
    <w:rsid w:val="00772178"/>
    <w:rsid w:val="0077278C"/>
    <w:rsid w:val="00772922"/>
    <w:rsid w:val="00772E8A"/>
    <w:rsid w:val="007733A3"/>
    <w:rsid w:val="0077370C"/>
    <w:rsid w:val="00773802"/>
    <w:rsid w:val="00773917"/>
    <w:rsid w:val="00773A16"/>
    <w:rsid w:val="00773D81"/>
    <w:rsid w:val="00773DCB"/>
    <w:rsid w:val="00773EAD"/>
    <w:rsid w:val="00774065"/>
    <w:rsid w:val="007744A1"/>
    <w:rsid w:val="0077456E"/>
    <w:rsid w:val="0077467D"/>
    <w:rsid w:val="007747FE"/>
    <w:rsid w:val="00774CC8"/>
    <w:rsid w:val="00775021"/>
    <w:rsid w:val="00775029"/>
    <w:rsid w:val="007752F7"/>
    <w:rsid w:val="007754E7"/>
    <w:rsid w:val="007759FB"/>
    <w:rsid w:val="00775B4F"/>
    <w:rsid w:val="00775C87"/>
    <w:rsid w:val="0077622A"/>
    <w:rsid w:val="0077623B"/>
    <w:rsid w:val="0077674F"/>
    <w:rsid w:val="00776755"/>
    <w:rsid w:val="00776858"/>
    <w:rsid w:val="00776876"/>
    <w:rsid w:val="007768E7"/>
    <w:rsid w:val="007770C8"/>
    <w:rsid w:val="007770E4"/>
    <w:rsid w:val="00777111"/>
    <w:rsid w:val="00777476"/>
    <w:rsid w:val="0077766D"/>
    <w:rsid w:val="00777A88"/>
    <w:rsid w:val="00777AF2"/>
    <w:rsid w:val="00777F31"/>
    <w:rsid w:val="00780403"/>
    <w:rsid w:val="007806E5"/>
    <w:rsid w:val="007807B1"/>
    <w:rsid w:val="007807C9"/>
    <w:rsid w:val="0078082D"/>
    <w:rsid w:val="00780856"/>
    <w:rsid w:val="00780AB6"/>
    <w:rsid w:val="00780FD9"/>
    <w:rsid w:val="007811E3"/>
    <w:rsid w:val="007812CF"/>
    <w:rsid w:val="007813D0"/>
    <w:rsid w:val="007816AA"/>
    <w:rsid w:val="007817D4"/>
    <w:rsid w:val="00781B7E"/>
    <w:rsid w:val="00781CFE"/>
    <w:rsid w:val="00781FA7"/>
    <w:rsid w:val="0078229F"/>
    <w:rsid w:val="007822ED"/>
    <w:rsid w:val="00782A72"/>
    <w:rsid w:val="00782BCD"/>
    <w:rsid w:val="00782CD1"/>
    <w:rsid w:val="00782E0D"/>
    <w:rsid w:val="00783166"/>
    <w:rsid w:val="00783245"/>
    <w:rsid w:val="0078375D"/>
    <w:rsid w:val="00783CB8"/>
    <w:rsid w:val="00783E03"/>
    <w:rsid w:val="00783F1F"/>
    <w:rsid w:val="007840D6"/>
    <w:rsid w:val="0078434F"/>
    <w:rsid w:val="00784524"/>
    <w:rsid w:val="00784A7E"/>
    <w:rsid w:val="00784D62"/>
    <w:rsid w:val="007855D2"/>
    <w:rsid w:val="00785655"/>
    <w:rsid w:val="007859D1"/>
    <w:rsid w:val="00785D8A"/>
    <w:rsid w:val="00785FDE"/>
    <w:rsid w:val="007863F0"/>
    <w:rsid w:val="0078677C"/>
    <w:rsid w:val="00787007"/>
    <w:rsid w:val="00787155"/>
    <w:rsid w:val="00787272"/>
    <w:rsid w:val="00787635"/>
    <w:rsid w:val="0078768F"/>
    <w:rsid w:val="00787879"/>
    <w:rsid w:val="007879CA"/>
    <w:rsid w:val="00787BF5"/>
    <w:rsid w:val="00787D9B"/>
    <w:rsid w:val="00787EDB"/>
    <w:rsid w:val="00790068"/>
    <w:rsid w:val="007901FE"/>
    <w:rsid w:val="0079051B"/>
    <w:rsid w:val="007907E9"/>
    <w:rsid w:val="00790A28"/>
    <w:rsid w:val="00790C81"/>
    <w:rsid w:val="0079102D"/>
    <w:rsid w:val="00791038"/>
    <w:rsid w:val="00791068"/>
    <w:rsid w:val="00791432"/>
    <w:rsid w:val="00791A43"/>
    <w:rsid w:val="00791AF9"/>
    <w:rsid w:val="00791BCB"/>
    <w:rsid w:val="00791CB0"/>
    <w:rsid w:val="00791D6C"/>
    <w:rsid w:val="00791D92"/>
    <w:rsid w:val="00791DFB"/>
    <w:rsid w:val="00792500"/>
    <w:rsid w:val="007926D2"/>
    <w:rsid w:val="0079271F"/>
    <w:rsid w:val="007930B5"/>
    <w:rsid w:val="00793355"/>
    <w:rsid w:val="00793978"/>
    <w:rsid w:val="00793AB5"/>
    <w:rsid w:val="00793B9B"/>
    <w:rsid w:val="0079413C"/>
    <w:rsid w:val="007944DE"/>
    <w:rsid w:val="007944FA"/>
    <w:rsid w:val="0079471C"/>
    <w:rsid w:val="007947F8"/>
    <w:rsid w:val="00794889"/>
    <w:rsid w:val="00794978"/>
    <w:rsid w:val="00795049"/>
    <w:rsid w:val="00795365"/>
    <w:rsid w:val="0079554F"/>
    <w:rsid w:val="00795707"/>
    <w:rsid w:val="00795A19"/>
    <w:rsid w:val="00795AD1"/>
    <w:rsid w:val="00795AD6"/>
    <w:rsid w:val="00795E21"/>
    <w:rsid w:val="00796554"/>
    <w:rsid w:val="007966C7"/>
    <w:rsid w:val="00796A84"/>
    <w:rsid w:val="00796EBF"/>
    <w:rsid w:val="0079722E"/>
    <w:rsid w:val="0079786A"/>
    <w:rsid w:val="00797E83"/>
    <w:rsid w:val="007A024C"/>
    <w:rsid w:val="007A032C"/>
    <w:rsid w:val="007A061C"/>
    <w:rsid w:val="007A0DF2"/>
    <w:rsid w:val="007A0EE1"/>
    <w:rsid w:val="007A12F3"/>
    <w:rsid w:val="007A1355"/>
    <w:rsid w:val="007A1719"/>
    <w:rsid w:val="007A17CD"/>
    <w:rsid w:val="007A17DD"/>
    <w:rsid w:val="007A182C"/>
    <w:rsid w:val="007A19E5"/>
    <w:rsid w:val="007A1AA0"/>
    <w:rsid w:val="007A1CAB"/>
    <w:rsid w:val="007A1CC4"/>
    <w:rsid w:val="007A1DEC"/>
    <w:rsid w:val="007A1F74"/>
    <w:rsid w:val="007A20B9"/>
    <w:rsid w:val="007A210A"/>
    <w:rsid w:val="007A27FB"/>
    <w:rsid w:val="007A2905"/>
    <w:rsid w:val="007A2B86"/>
    <w:rsid w:val="007A2CFC"/>
    <w:rsid w:val="007A32EA"/>
    <w:rsid w:val="007A3552"/>
    <w:rsid w:val="007A364F"/>
    <w:rsid w:val="007A3D8A"/>
    <w:rsid w:val="007A4150"/>
    <w:rsid w:val="007A4231"/>
    <w:rsid w:val="007A4527"/>
    <w:rsid w:val="007A4E2C"/>
    <w:rsid w:val="007A4F1F"/>
    <w:rsid w:val="007A4FB2"/>
    <w:rsid w:val="007A5129"/>
    <w:rsid w:val="007A51C9"/>
    <w:rsid w:val="007A523F"/>
    <w:rsid w:val="007A5468"/>
    <w:rsid w:val="007A5557"/>
    <w:rsid w:val="007A58A2"/>
    <w:rsid w:val="007A59E8"/>
    <w:rsid w:val="007A60E2"/>
    <w:rsid w:val="007A625A"/>
    <w:rsid w:val="007A6276"/>
    <w:rsid w:val="007A6792"/>
    <w:rsid w:val="007A69F6"/>
    <w:rsid w:val="007A6BBC"/>
    <w:rsid w:val="007A7375"/>
    <w:rsid w:val="007A7471"/>
    <w:rsid w:val="007A7479"/>
    <w:rsid w:val="007A74B4"/>
    <w:rsid w:val="007A7507"/>
    <w:rsid w:val="007A78F4"/>
    <w:rsid w:val="007A7F55"/>
    <w:rsid w:val="007B00EF"/>
    <w:rsid w:val="007B0195"/>
    <w:rsid w:val="007B09EF"/>
    <w:rsid w:val="007B13CC"/>
    <w:rsid w:val="007B14F0"/>
    <w:rsid w:val="007B15D6"/>
    <w:rsid w:val="007B1999"/>
    <w:rsid w:val="007B1AC2"/>
    <w:rsid w:val="007B1B54"/>
    <w:rsid w:val="007B1BC3"/>
    <w:rsid w:val="007B1E53"/>
    <w:rsid w:val="007B1F67"/>
    <w:rsid w:val="007B2253"/>
    <w:rsid w:val="007B2320"/>
    <w:rsid w:val="007B2904"/>
    <w:rsid w:val="007B29E6"/>
    <w:rsid w:val="007B2D2A"/>
    <w:rsid w:val="007B2D50"/>
    <w:rsid w:val="007B3709"/>
    <w:rsid w:val="007B3BB9"/>
    <w:rsid w:val="007B3C8E"/>
    <w:rsid w:val="007B40DD"/>
    <w:rsid w:val="007B4426"/>
    <w:rsid w:val="007B468F"/>
    <w:rsid w:val="007B4D5F"/>
    <w:rsid w:val="007B500B"/>
    <w:rsid w:val="007B5197"/>
    <w:rsid w:val="007B5242"/>
    <w:rsid w:val="007B532C"/>
    <w:rsid w:val="007B5370"/>
    <w:rsid w:val="007B5C19"/>
    <w:rsid w:val="007B5F07"/>
    <w:rsid w:val="007B61B9"/>
    <w:rsid w:val="007B6AE9"/>
    <w:rsid w:val="007B6BEC"/>
    <w:rsid w:val="007B70C8"/>
    <w:rsid w:val="007B70DA"/>
    <w:rsid w:val="007B73A5"/>
    <w:rsid w:val="007B74F2"/>
    <w:rsid w:val="007B7C25"/>
    <w:rsid w:val="007C02A9"/>
    <w:rsid w:val="007C053C"/>
    <w:rsid w:val="007C05F1"/>
    <w:rsid w:val="007C0894"/>
    <w:rsid w:val="007C0918"/>
    <w:rsid w:val="007C0AE2"/>
    <w:rsid w:val="007C0F22"/>
    <w:rsid w:val="007C0F66"/>
    <w:rsid w:val="007C0F8B"/>
    <w:rsid w:val="007C0FAC"/>
    <w:rsid w:val="007C104B"/>
    <w:rsid w:val="007C1512"/>
    <w:rsid w:val="007C1D05"/>
    <w:rsid w:val="007C239B"/>
    <w:rsid w:val="007C239E"/>
    <w:rsid w:val="007C2429"/>
    <w:rsid w:val="007C2544"/>
    <w:rsid w:val="007C283C"/>
    <w:rsid w:val="007C28DB"/>
    <w:rsid w:val="007C2F4B"/>
    <w:rsid w:val="007C3330"/>
    <w:rsid w:val="007C336C"/>
    <w:rsid w:val="007C36B5"/>
    <w:rsid w:val="007C3789"/>
    <w:rsid w:val="007C37EA"/>
    <w:rsid w:val="007C38F7"/>
    <w:rsid w:val="007C3AB9"/>
    <w:rsid w:val="007C3DFD"/>
    <w:rsid w:val="007C4472"/>
    <w:rsid w:val="007C46E1"/>
    <w:rsid w:val="007C47D0"/>
    <w:rsid w:val="007C48D4"/>
    <w:rsid w:val="007C4BAF"/>
    <w:rsid w:val="007C52A8"/>
    <w:rsid w:val="007C5308"/>
    <w:rsid w:val="007C53A5"/>
    <w:rsid w:val="007C565A"/>
    <w:rsid w:val="007C5806"/>
    <w:rsid w:val="007C5C55"/>
    <w:rsid w:val="007C5F03"/>
    <w:rsid w:val="007C5F5C"/>
    <w:rsid w:val="007C5F7C"/>
    <w:rsid w:val="007C649C"/>
    <w:rsid w:val="007C68D9"/>
    <w:rsid w:val="007C6941"/>
    <w:rsid w:val="007C6A21"/>
    <w:rsid w:val="007C70CC"/>
    <w:rsid w:val="007C719F"/>
    <w:rsid w:val="007C7D6F"/>
    <w:rsid w:val="007C7E0A"/>
    <w:rsid w:val="007C7EDB"/>
    <w:rsid w:val="007C7F1A"/>
    <w:rsid w:val="007D04AF"/>
    <w:rsid w:val="007D0825"/>
    <w:rsid w:val="007D08AD"/>
    <w:rsid w:val="007D08D5"/>
    <w:rsid w:val="007D0B90"/>
    <w:rsid w:val="007D0E84"/>
    <w:rsid w:val="007D0E9D"/>
    <w:rsid w:val="007D102A"/>
    <w:rsid w:val="007D102E"/>
    <w:rsid w:val="007D122F"/>
    <w:rsid w:val="007D162C"/>
    <w:rsid w:val="007D188B"/>
    <w:rsid w:val="007D1C3D"/>
    <w:rsid w:val="007D1CD6"/>
    <w:rsid w:val="007D1FCF"/>
    <w:rsid w:val="007D24A3"/>
    <w:rsid w:val="007D260C"/>
    <w:rsid w:val="007D2843"/>
    <w:rsid w:val="007D2947"/>
    <w:rsid w:val="007D2C4A"/>
    <w:rsid w:val="007D2F2A"/>
    <w:rsid w:val="007D3177"/>
    <w:rsid w:val="007D35D4"/>
    <w:rsid w:val="007D368F"/>
    <w:rsid w:val="007D38EE"/>
    <w:rsid w:val="007D3B4A"/>
    <w:rsid w:val="007D3C46"/>
    <w:rsid w:val="007D3E5B"/>
    <w:rsid w:val="007D4268"/>
    <w:rsid w:val="007D45C2"/>
    <w:rsid w:val="007D474A"/>
    <w:rsid w:val="007D4D94"/>
    <w:rsid w:val="007D5060"/>
    <w:rsid w:val="007D509B"/>
    <w:rsid w:val="007D51D6"/>
    <w:rsid w:val="007D569F"/>
    <w:rsid w:val="007D576F"/>
    <w:rsid w:val="007D5850"/>
    <w:rsid w:val="007D5A72"/>
    <w:rsid w:val="007D5ACD"/>
    <w:rsid w:val="007D60C6"/>
    <w:rsid w:val="007D61CE"/>
    <w:rsid w:val="007D6633"/>
    <w:rsid w:val="007D67B9"/>
    <w:rsid w:val="007D6916"/>
    <w:rsid w:val="007D69AD"/>
    <w:rsid w:val="007D6A13"/>
    <w:rsid w:val="007D6DF8"/>
    <w:rsid w:val="007D708D"/>
    <w:rsid w:val="007D75F1"/>
    <w:rsid w:val="007D77B8"/>
    <w:rsid w:val="007D7F9B"/>
    <w:rsid w:val="007E017B"/>
    <w:rsid w:val="007E0360"/>
    <w:rsid w:val="007E0723"/>
    <w:rsid w:val="007E0854"/>
    <w:rsid w:val="007E09BA"/>
    <w:rsid w:val="007E0C92"/>
    <w:rsid w:val="007E0E98"/>
    <w:rsid w:val="007E1631"/>
    <w:rsid w:val="007E191A"/>
    <w:rsid w:val="007E1C17"/>
    <w:rsid w:val="007E1DC1"/>
    <w:rsid w:val="007E2CE3"/>
    <w:rsid w:val="007E2F1F"/>
    <w:rsid w:val="007E34D7"/>
    <w:rsid w:val="007E3524"/>
    <w:rsid w:val="007E3600"/>
    <w:rsid w:val="007E3824"/>
    <w:rsid w:val="007E3935"/>
    <w:rsid w:val="007E3B5B"/>
    <w:rsid w:val="007E3C12"/>
    <w:rsid w:val="007E48FA"/>
    <w:rsid w:val="007E4DB4"/>
    <w:rsid w:val="007E4FBB"/>
    <w:rsid w:val="007E519A"/>
    <w:rsid w:val="007E5445"/>
    <w:rsid w:val="007E576C"/>
    <w:rsid w:val="007E5AB0"/>
    <w:rsid w:val="007E5C52"/>
    <w:rsid w:val="007E5DB8"/>
    <w:rsid w:val="007E6259"/>
    <w:rsid w:val="007E6341"/>
    <w:rsid w:val="007E6B72"/>
    <w:rsid w:val="007E6EE4"/>
    <w:rsid w:val="007E730F"/>
    <w:rsid w:val="007E73C7"/>
    <w:rsid w:val="007E7D08"/>
    <w:rsid w:val="007E7EBD"/>
    <w:rsid w:val="007F02E1"/>
    <w:rsid w:val="007F07D8"/>
    <w:rsid w:val="007F0A69"/>
    <w:rsid w:val="007F0B4E"/>
    <w:rsid w:val="007F0DE6"/>
    <w:rsid w:val="007F1B3C"/>
    <w:rsid w:val="007F1CF8"/>
    <w:rsid w:val="007F1D0E"/>
    <w:rsid w:val="007F1FE0"/>
    <w:rsid w:val="007F2199"/>
    <w:rsid w:val="007F21CC"/>
    <w:rsid w:val="007F2B0D"/>
    <w:rsid w:val="007F2E8F"/>
    <w:rsid w:val="007F3310"/>
    <w:rsid w:val="007F33E7"/>
    <w:rsid w:val="007F35BB"/>
    <w:rsid w:val="007F3A0B"/>
    <w:rsid w:val="007F3A4C"/>
    <w:rsid w:val="007F40F7"/>
    <w:rsid w:val="007F421F"/>
    <w:rsid w:val="007F442C"/>
    <w:rsid w:val="007F45E2"/>
    <w:rsid w:val="007F4867"/>
    <w:rsid w:val="007F4992"/>
    <w:rsid w:val="007F4EE1"/>
    <w:rsid w:val="007F533E"/>
    <w:rsid w:val="007F54AA"/>
    <w:rsid w:val="007F5969"/>
    <w:rsid w:val="007F5C0A"/>
    <w:rsid w:val="007F5CFE"/>
    <w:rsid w:val="007F6175"/>
    <w:rsid w:val="007F64ED"/>
    <w:rsid w:val="007F6737"/>
    <w:rsid w:val="007F6806"/>
    <w:rsid w:val="007F715B"/>
    <w:rsid w:val="007F7204"/>
    <w:rsid w:val="007F76C0"/>
    <w:rsid w:val="007F76D6"/>
    <w:rsid w:val="007F7A86"/>
    <w:rsid w:val="007F7AA0"/>
    <w:rsid w:val="007F7E7A"/>
    <w:rsid w:val="007F7F6C"/>
    <w:rsid w:val="007F7FF2"/>
    <w:rsid w:val="00800349"/>
    <w:rsid w:val="0080050C"/>
    <w:rsid w:val="008007E8"/>
    <w:rsid w:val="008009DA"/>
    <w:rsid w:val="00800A8D"/>
    <w:rsid w:val="00800AB1"/>
    <w:rsid w:val="00800C58"/>
    <w:rsid w:val="00800D2D"/>
    <w:rsid w:val="00800FC1"/>
    <w:rsid w:val="0080123D"/>
    <w:rsid w:val="00801291"/>
    <w:rsid w:val="008014DB"/>
    <w:rsid w:val="008017FA"/>
    <w:rsid w:val="00802092"/>
    <w:rsid w:val="008022C6"/>
    <w:rsid w:val="008025E0"/>
    <w:rsid w:val="00802686"/>
    <w:rsid w:val="008029E0"/>
    <w:rsid w:val="0080311B"/>
    <w:rsid w:val="00803459"/>
    <w:rsid w:val="008035FB"/>
    <w:rsid w:val="00803618"/>
    <w:rsid w:val="008039A3"/>
    <w:rsid w:val="008046C4"/>
    <w:rsid w:val="00804F40"/>
    <w:rsid w:val="008051D3"/>
    <w:rsid w:val="00805271"/>
    <w:rsid w:val="00805649"/>
    <w:rsid w:val="00805ABC"/>
    <w:rsid w:val="008064C5"/>
    <w:rsid w:val="00806D23"/>
    <w:rsid w:val="00806DC6"/>
    <w:rsid w:val="00806F22"/>
    <w:rsid w:val="008070DF"/>
    <w:rsid w:val="008071BC"/>
    <w:rsid w:val="008078DB"/>
    <w:rsid w:val="00807D7D"/>
    <w:rsid w:val="00810142"/>
    <w:rsid w:val="008105DB"/>
    <w:rsid w:val="00810797"/>
    <w:rsid w:val="00810815"/>
    <w:rsid w:val="0081093A"/>
    <w:rsid w:val="008109CA"/>
    <w:rsid w:val="00810A8B"/>
    <w:rsid w:val="00810C11"/>
    <w:rsid w:val="00810C7E"/>
    <w:rsid w:val="00810EC5"/>
    <w:rsid w:val="008113E7"/>
    <w:rsid w:val="008113EA"/>
    <w:rsid w:val="0081145E"/>
    <w:rsid w:val="00811D3E"/>
    <w:rsid w:val="00812085"/>
    <w:rsid w:val="0081281F"/>
    <w:rsid w:val="008128CB"/>
    <w:rsid w:val="008128E7"/>
    <w:rsid w:val="00812994"/>
    <w:rsid w:val="00812B69"/>
    <w:rsid w:val="00812BD3"/>
    <w:rsid w:val="00812DA7"/>
    <w:rsid w:val="00812DDE"/>
    <w:rsid w:val="00812DFD"/>
    <w:rsid w:val="00813026"/>
    <w:rsid w:val="008131F6"/>
    <w:rsid w:val="0081333A"/>
    <w:rsid w:val="008135AD"/>
    <w:rsid w:val="00813A90"/>
    <w:rsid w:val="00813D78"/>
    <w:rsid w:val="00814022"/>
    <w:rsid w:val="008144FE"/>
    <w:rsid w:val="00814DB6"/>
    <w:rsid w:val="00814EC5"/>
    <w:rsid w:val="00815040"/>
    <w:rsid w:val="008150B9"/>
    <w:rsid w:val="008150E8"/>
    <w:rsid w:val="00815256"/>
    <w:rsid w:val="00815309"/>
    <w:rsid w:val="008158F8"/>
    <w:rsid w:val="00815941"/>
    <w:rsid w:val="00815BE0"/>
    <w:rsid w:val="008165CA"/>
    <w:rsid w:val="00816955"/>
    <w:rsid w:val="008169DC"/>
    <w:rsid w:val="00816B7C"/>
    <w:rsid w:val="008170D5"/>
    <w:rsid w:val="0081798B"/>
    <w:rsid w:val="00817AFE"/>
    <w:rsid w:val="00817E94"/>
    <w:rsid w:val="00817EFF"/>
    <w:rsid w:val="00817F80"/>
    <w:rsid w:val="00820247"/>
    <w:rsid w:val="0082060E"/>
    <w:rsid w:val="00820764"/>
    <w:rsid w:val="008208F6"/>
    <w:rsid w:val="00820A1D"/>
    <w:rsid w:val="00820B8E"/>
    <w:rsid w:val="00821091"/>
    <w:rsid w:val="0082138F"/>
    <w:rsid w:val="0082169C"/>
    <w:rsid w:val="00822366"/>
    <w:rsid w:val="0082259B"/>
    <w:rsid w:val="00822BE2"/>
    <w:rsid w:val="00822F48"/>
    <w:rsid w:val="00823181"/>
    <w:rsid w:val="00823679"/>
    <w:rsid w:val="00824837"/>
    <w:rsid w:val="0082509C"/>
    <w:rsid w:val="008253C0"/>
    <w:rsid w:val="008254AC"/>
    <w:rsid w:val="0082557D"/>
    <w:rsid w:val="008258AC"/>
    <w:rsid w:val="008259EB"/>
    <w:rsid w:val="008264C9"/>
    <w:rsid w:val="00826701"/>
    <w:rsid w:val="0082678F"/>
    <w:rsid w:val="0082680B"/>
    <w:rsid w:val="00826C2A"/>
    <w:rsid w:val="008272AC"/>
    <w:rsid w:val="008274C9"/>
    <w:rsid w:val="008275D1"/>
    <w:rsid w:val="008276D7"/>
    <w:rsid w:val="00827C83"/>
    <w:rsid w:val="00830AD5"/>
    <w:rsid w:val="00830E15"/>
    <w:rsid w:val="00830F04"/>
    <w:rsid w:val="008313B4"/>
    <w:rsid w:val="00831464"/>
    <w:rsid w:val="00831628"/>
    <w:rsid w:val="00831886"/>
    <w:rsid w:val="0083194E"/>
    <w:rsid w:val="00831AC1"/>
    <w:rsid w:val="00831E3F"/>
    <w:rsid w:val="00831F36"/>
    <w:rsid w:val="00832404"/>
    <w:rsid w:val="00832612"/>
    <w:rsid w:val="00832727"/>
    <w:rsid w:val="0083275D"/>
    <w:rsid w:val="00832852"/>
    <w:rsid w:val="00832DED"/>
    <w:rsid w:val="00832ED2"/>
    <w:rsid w:val="008330F7"/>
    <w:rsid w:val="008332E6"/>
    <w:rsid w:val="00833693"/>
    <w:rsid w:val="008337CA"/>
    <w:rsid w:val="008338DE"/>
    <w:rsid w:val="00833AFB"/>
    <w:rsid w:val="00833CF4"/>
    <w:rsid w:val="00833E12"/>
    <w:rsid w:val="00833EFE"/>
    <w:rsid w:val="008341F3"/>
    <w:rsid w:val="008347E2"/>
    <w:rsid w:val="00834883"/>
    <w:rsid w:val="00834AD2"/>
    <w:rsid w:val="00834C56"/>
    <w:rsid w:val="008350B8"/>
    <w:rsid w:val="00835207"/>
    <w:rsid w:val="008352CB"/>
    <w:rsid w:val="008353F0"/>
    <w:rsid w:val="00835665"/>
    <w:rsid w:val="00835682"/>
    <w:rsid w:val="008356ED"/>
    <w:rsid w:val="00835AE1"/>
    <w:rsid w:val="00835C0D"/>
    <w:rsid w:val="00835F48"/>
    <w:rsid w:val="00836242"/>
    <w:rsid w:val="008367B3"/>
    <w:rsid w:val="008368F1"/>
    <w:rsid w:val="00837199"/>
    <w:rsid w:val="008372C8"/>
    <w:rsid w:val="008377AA"/>
    <w:rsid w:val="0083782C"/>
    <w:rsid w:val="008379F3"/>
    <w:rsid w:val="00837C82"/>
    <w:rsid w:val="008402C4"/>
    <w:rsid w:val="00840427"/>
    <w:rsid w:val="008404AF"/>
    <w:rsid w:val="00840679"/>
    <w:rsid w:val="0084092C"/>
    <w:rsid w:val="00840C01"/>
    <w:rsid w:val="00840E47"/>
    <w:rsid w:val="00841364"/>
    <w:rsid w:val="0084152B"/>
    <w:rsid w:val="0084162F"/>
    <w:rsid w:val="00841D02"/>
    <w:rsid w:val="00841FFA"/>
    <w:rsid w:val="008420DB"/>
    <w:rsid w:val="00842147"/>
    <w:rsid w:val="0084231C"/>
    <w:rsid w:val="008424AF"/>
    <w:rsid w:val="0084261A"/>
    <w:rsid w:val="00842C1A"/>
    <w:rsid w:val="00842DA2"/>
    <w:rsid w:val="00843042"/>
    <w:rsid w:val="00843188"/>
    <w:rsid w:val="00843320"/>
    <w:rsid w:val="0084345D"/>
    <w:rsid w:val="00843464"/>
    <w:rsid w:val="0084362D"/>
    <w:rsid w:val="0084369E"/>
    <w:rsid w:val="0084386D"/>
    <w:rsid w:val="00843A72"/>
    <w:rsid w:val="00843C4D"/>
    <w:rsid w:val="00843D7E"/>
    <w:rsid w:val="00843DCC"/>
    <w:rsid w:val="0084418F"/>
    <w:rsid w:val="00844519"/>
    <w:rsid w:val="00844760"/>
    <w:rsid w:val="00844894"/>
    <w:rsid w:val="00844ADA"/>
    <w:rsid w:val="00845339"/>
    <w:rsid w:val="0084580A"/>
    <w:rsid w:val="00845BF1"/>
    <w:rsid w:val="00845CBA"/>
    <w:rsid w:val="00845ED5"/>
    <w:rsid w:val="00846701"/>
    <w:rsid w:val="0084714F"/>
    <w:rsid w:val="0084775F"/>
    <w:rsid w:val="0084776C"/>
    <w:rsid w:val="008479FF"/>
    <w:rsid w:val="00847C33"/>
    <w:rsid w:val="008500EA"/>
    <w:rsid w:val="0085024A"/>
    <w:rsid w:val="008503B9"/>
    <w:rsid w:val="00850449"/>
    <w:rsid w:val="00850483"/>
    <w:rsid w:val="00850FBA"/>
    <w:rsid w:val="008511F7"/>
    <w:rsid w:val="00851532"/>
    <w:rsid w:val="00851617"/>
    <w:rsid w:val="00851A39"/>
    <w:rsid w:val="00851C9F"/>
    <w:rsid w:val="00851E37"/>
    <w:rsid w:val="0085225B"/>
    <w:rsid w:val="00852972"/>
    <w:rsid w:val="00852FEE"/>
    <w:rsid w:val="00853011"/>
    <w:rsid w:val="00853AF0"/>
    <w:rsid w:val="00854032"/>
    <w:rsid w:val="00854426"/>
    <w:rsid w:val="008544BB"/>
    <w:rsid w:val="00854555"/>
    <w:rsid w:val="00854685"/>
    <w:rsid w:val="0085490F"/>
    <w:rsid w:val="008549F2"/>
    <w:rsid w:val="00854A21"/>
    <w:rsid w:val="00854E70"/>
    <w:rsid w:val="00854FBC"/>
    <w:rsid w:val="00855CA3"/>
    <w:rsid w:val="00856772"/>
    <w:rsid w:val="00856D83"/>
    <w:rsid w:val="00857ADD"/>
    <w:rsid w:val="00857FD6"/>
    <w:rsid w:val="00857FE8"/>
    <w:rsid w:val="008609C5"/>
    <w:rsid w:val="00860C6C"/>
    <w:rsid w:val="00860FFB"/>
    <w:rsid w:val="00861020"/>
    <w:rsid w:val="008612D2"/>
    <w:rsid w:val="00861352"/>
    <w:rsid w:val="0086152E"/>
    <w:rsid w:val="00861534"/>
    <w:rsid w:val="0086161D"/>
    <w:rsid w:val="008616F2"/>
    <w:rsid w:val="00861DAE"/>
    <w:rsid w:val="00862590"/>
    <w:rsid w:val="008628BA"/>
    <w:rsid w:val="0086298D"/>
    <w:rsid w:val="00862B42"/>
    <w:rsid w:val="00862E95"/>
    <w:rsid w:val="008633C2"/>
    <w:rsid w:val="0086346F"/>
    <w:rsid w:val="00863603"/>
    <w:rsid w:val="00863A53"/>
    <w:rsid w:val="00863B83"/>
    <w:rsid w:val="00863D21"/>
    <w:rsid w:val="00863DCE"/>
    <w:rsid w:val="00863E58"/>
    <w:rsid w:val="008640FF"/>
    <w:rsid w:val="00864335"/>
    <w:rsid w:val="00864E0A"/>
    <w:rsid w:val="008652D7"/>
    <w:rsid w:val="0086637E"/>
    <w:rsid w:val="00866652"/>
    <w:rsid w:val="00866CF1"/>
    <w:rsid w:val="00866F76"/>
    <w:rsid w:val="00867228"/>
    <w:rsid w:val="008672D5"/>
    <w:rsid w:val="00867367"/>
    <w:rsid w:val="008676C6"/>
    <w:rsid w:val="008677CE"/>
    <w:rsid w:val="00867BA5"/>
    <w:rsid w:val="008700BE"/>
    <w:rsid w:val="008707D8"/>
    <w:rsid w:val="00870FDE"/>
    <w:rsid w:val="008710CC"/>
    <w:rsid w:val="008712F2"/>
    <w:rsid w:val="00871525"/>
    <w:rsid w:val="00871641"/>
    <w:rsid w:val="008718A3"/>
    <w:rsid w:val="00871B59"/>
    <w:rsid w:val="00871BEE"/>
    <w:rsid w:val="00871F08"/>
    <w:rsid w:val="00871F79"/>
    <w:rsid w:val="008727AF"/>
    <w:rsid w:val="008727C7"/>
    <w:rsid w:val="00872DA6"/>
    <w:rsid w:val="008733B0"/>
    <w:rsid w:val="00873585"/>
    <w:rsid w:val="008738A0"/>
    <w:rsid w:val="00873AAC"/>
    <w:rsid w:val="00873CE1"/>
    <w:rsid w:val="00873DE3"/>
    <w:rsid w:val="008741E9"/>
    <w:rsid w:val="00874208"/>
    <w:rsid w:val="00874436"/>
    <w:rsid w:val="00874496"/>
    <w:rsid w:val="0087476E"/>
    <w:rsid w:val="00874A99"/>
    <w:rsid w:val="00875246"/>
    <w:rsid w:val="0087529C"/>
    <w:rsid w:val="008752EC"/>
    <w:rsid w:val="008756A3"/>
    <w:rsid w:val="00875779"/>
    <w:rsid w:val="00875A37"/>
    <w:rsid w:val="00875C3D"/>
    <w:rsid w:val="0087625A"/>
    <w:rsid w:val="008762BE"/>
    <w:rsid w:val="00876A44"/>
    <w:rsid w:val="00876A99"/>
    <w:rsid w:val="00876B58"/>
    <w:rsid w:val="008771F7"/>
    <w:rsid w:val="008776E1"/>
    <w:rsid w:val="0088061C"/>
    <w:rsid w:val="00880824"/>
    <w:rsid w:val="008812F6"/>
    <w:rsid w:val="0088135D"/>
    <w:rsid w:val="0088162B"/>
    <w:rsid w:val="00881760"/>
    <w:rsid w:val="00881801"/>
    <w:rsid w:val="00881E26"/>
    <w:rsid w:val="008821BA"/>
    <w:rsid w:val="00882741"/>
    <w:rsid w:val="008829D7"/>
    <w:rsid w:val="00882A82"/>
    <w:rsid w:val="008830D0"/>
    <w:rsid w:val="0088317A"/>
    <w:rsid w:val="0088375F"/>
    <w:rsid w:val="00884076"/>
    <w:rsid w:val="0088427F"/>
    <w:rsid w:val="00884625"/>
    <w:rsid w:val="008848BC"/>
    <w:rsid w:val="00884954"/>
    <w:rsid w:val="008849F2"/>
    <w:rsid w:val="00884B97"/>
    <w:rsid w:val="00884DE3"/>
    <w:rsid w:val="0088532C"/>
    <w:rsid w:val="00885415"/>
    <w:rsid w:val="00885424"/>
    <w:rsid w:val="008854D6"/>
    <w:rsid w:val="00885715"/>
    <w:rsid w:val="00885904"/>
    <w:rsid w:val="00885BD3"/>
    <w:rsid w:val="00885E1F"/>
    <w:rsid w:val="00885FE2"/>
    <w:rsid w:val="00886025"/>
    <w:rsid w:val="00886CA4"/>
    <w:rsid w:val="00886CDD"/>
    <w:rsid w:val="008870ED"/>
    <w:rsid w:val="0088716C"/>
    <w:rsid w:val="00887583"/>
    <w:rsid w:val="00887604"/>
    <w:rsid w:val="00887A77"/>
    <w:rsid w:val="00887E7D"/>
    <w:rsid w:val="00887F80"/>
    <w:rsid w:val="00890033"/>
    <w:rsid w:val="008902A9"/>
    <w:rsid w:val="00890329"/>
    <w:rsid w:val="00890397"/>
    <w:rsid w:val="008903B8"/>
    <w:rsid w:val="00890814"/>
    <w:rsid w:val="00890B3B"/>
    <w:rsid w:val="00890D11"/>
    <w:rsid w:val="00890F12"/>
    <w:rsid w:val="008911F3"/>
    <w:rsid w:val="00891275"/>
    <w:rsid w:val="0089130B"/>
    <w:rsid w:val="0089191B"/>
    <w:rsid w:val="00891A4C"/>
    <w:rsid w:val="00891EE6"/>
    <w:rsid w:val="008921E9"/>
    <w:rsid w:val="00892263"/>
    <w:rsid w:val="008922D1"/>
    <w:rsid w:val="008922D4"/>
    <w:rsid w:val="00892495"/>
    <w:rsid w:val="00892823"/>
    <w:rsid w:val="008929F3"/>
    <w:rsid w:val="00892CF1"/>
    <w:rsid w:val="0089324B"/>
    <w:rsid w:val="008934FE"/>
    <w:rsid w:val="0089350E"/>
    <w:rsid w:val="00893626"/>
    <w:rsid w:val="00893767"/>
    <w:rsid w:val="00893CA3"/>
    <w:rsid w:val="0089409C"/>
    <w:rsid w:val="008948CF"/>
    <w:rsid w:val="00894C33"/>
    <w:rsid w:val="00894F96"/>
    <w:rsid w:val="0089576E"/>
    <w:rsid w:val="00895894"/>
    <w:rsid w:val="008958CA"/>
    <w:rsid w:val="0089590A"/>
    <w:rsid w:val="0089631C"/>
    <w:rsid w:val="008967D1"/>
    <w:rsid w:val="008969DC"/>
    <w:rsid w:val="00896AB7"/>
    <w:rsid w:val="0089704C"/>
    <w:rsid w:val="00897261"/>
    <w:rsid w:val="0089764C"/>
    <w:rsid w:val="00897889"/>
    <w:rsid w:val="00897892"/>
    <w:rsid w:val="00897E8F"/>
    <w:rsid w:val="00897F41"/>
    <w:rsid w:val="00897F74"/>
    <w:rsid w:val="008A0032"/>
    <w:rsid w:val="008A005C"/>
    <w:rsid w:val="008A0523"/>
    <w:rsid w:val="008A0A29"/>
    <w:rsid w:val="008A0EC4"/>
    <w:rsid w:val="008A0F01"/>
    <w:rsid w:val="008A11FB"/>
    <w:rsid w:val="008A1378"/>
    <w:rsid w:val="008A13E8"/>
    <w:rsid w:val="008A157B"/>
    <w:rsid w:val="008A1CFA"/>
    <w:rsid w:val="008A1DBD"/>
    <w:rsid w:val="008A2083"/>
    <w:rsid w:val="008A247B"/>
    <w:rsid w:val="008A262E"/>
    <w:rsid w:val="008A2690"/>
    <w:rsid w:val="008A27A7"/>
    <w:rsid w:val="008A312B"/>
    <w:rsid w:val="008A3A38"/>
    <w:rsid w:val="008A3AF3"/>
    <w:rsid w:val="008A3C1B"/>
    <w:rsid w:val="008A3E52"/>
    <w:rsid w:val="008A42C4"/>
    <w:rsid w:val="008A43A7"/>
    <w:rsid w:val="008A48B2"/>
    <w:rsid w:val="008A4C78"/>
    <w:rsid w:val="008A5045"/>
    <w:rsid w:val="008A53B9"/>
    <w:rsid w:val="008A5575"/>
    <w:rsid w:val="008A558C"/>
    <w:rsid w:val="008A5923"/>
    <w:rsid w:val="008A59DA"/>
    <w:rsid w:val="008A5C1F"/>
    <w:rsid w:val="008A5F49"/>
    <w:rsid w:val="008A637A"/>
    <w:rsid w:val="008A6517"/>
    <w:rsid w:val="008A66AB"/>
    <w:rsid w:val="008A6E4B"/>
    <w:rsid w:val="008A6E9A"/>
    <w:rsid w:val="008A6F7B"/>
    <w:rsid w:val="008A7241"/>
    <w:rsid w:val="008A732F"/>
    <w:rsid w:val="008A738C"/>
    <w:rsid w:val="008A76B6"/>
    <w:rsid w:val="008A7776"/>
    <w:rsid w:val="008A7E77"/>
    <w:rsid w:val="008B0247"/>
    <w:rsid w:val="008B03CE"/>
    <w:rsid w:val="008B0741"/>
    <w:rsid w:val="008B0EA5"/>
    <w:rsid w:val="008B17A4"/>
    <w:rsid w:val="008B182B"/>
    <w:rsid w:val="008B189E"/>
    <w:rsid w:val="008B18EC"/>
    <w:rsid w:val="008B1C4C"/>
    <w:rsid w:val="008B1C72"/>
    <w:rsid w:val="008B1CC1"/>
    <w:rsid w:val="008B1D2D"/>
    <w:rsid w:val="008B1E31"/>
    <w:rsid w:val="008B20B1"/>
    <w:rsid w:val="008B2479"/>
    <w:rsid w:val="008B2720"/>
    <w:rsid w:val="008B27A7"/>
    <w:rsid w:val="008B27F9"/>
    <w:rsid w:val="008B2A59"/>
    <w:rsid w:val="008B2B89"/>
    <w:rsid w:val="008B2E54"/>
    <w:rsid w:val="008B3997"/>
    <w:rsid w:val="008B3B5D"/>
    <w:rsid w:val="008B3FC0"/>
    <w:rsid w:val="008B43FF"/>
    <w:rsid w:val="008B49E3"/>
    <w:rsid w:val="008B4A11"/>
    <w:rsid w:val="008B4B81"/>
    <w:rsid w:val="008B5012"/>
    <w:rsid w:val="008B508F"/>
    <w:rsid w:val="008B5232"/>
    <w:rsid w:val="008B5419"/>
    <w:rsid w:val="008B5531"/>
    <w:rsid w:val="008B5829"/>
    <w:rsid w:val="008B5991"/>
    <w:rsid w:val="008B5C04"/>
    <w:rsid w:val="008B611A"/>
    <w:rsid w:val="008B683E"/>
    <w:rsid w:val="008B7462"/>
    <w:rsid w:val="008B7692"/>
    <w:rsid w:val="008B7E6F"/>
    <w:rsid w:val="008C0056"/>
    <w:rsid w:val="008C0668"/>
    <w:rsid w:val="008C07FE"/>
    <w:rsid w:val="008C08BD"/>
    <w:rsid w:val="008C0B33"/>
    <w:rsid w:val="008C1392"/>
    <w:rsid w:val="008C143B"/>
    <w:rsid w:val="008C184D"/>
    <w:rsid w:val="008C19D0"/>
    <w:rsid w:val="008C1C41"/>
    <w:rsid w:val="008C1EAF"/>
    <w:rsid w:val="008C1EBE"/>
    <w:rsid w:val="008C201F"/>
    <w:rsid w:val="008C23F6"/>
    <w:rsid w:val="008C2A62"/>
    <w:rsid w:val="008C31D7"/>
    <w:rsid w:val="008C3BAD"/>
    <w:rsid w:val="008C3ED3"/>
    <w:rsid w:val="008C458C"/>
    <w:rsid w:val="008C4BC2"/>
    <w:rsid w:val="008C4CEE"/>
    <w:rsid w:val="008C4D8B"/>
    <w:rsid w:val="008C52E7"/>
    <w:rsid w:val="008C54C2"/>
    <w:rsid w:val="008C5687"/>
    <w:rsid w:val="008C60FC"/>
    <w:rsid w:val="008C6239"/>
    <w:rsid w:val="008C626C"/>
    <w:rsid w:val="008C689F"/>
    <w:rsid w:val="008C68EA"/>
    <w:rsid w:val="008C6AFC"/>
    <w:rsid w:val="008C6DC2"/>
    <w:rsid w:val="008C6E76"/>
    <w:rsid w:val="008C7682"/>
    <w:rsid w:val="008C7F23"/>
    <w:rsid w:val="008D0281"/>
    <w:rsid w:val="008D0338"/>
    <w:rsid w:val="008D0688"/>
    <w:rsid w:val="008D0CDD"/>
    <w:rsid w:val="008D0D2F"/>
    <w:rsid w:val="008D0EEF"/>
    <w:rsid w:val="008D0F0E"/>
    <w:rsid w:val="008D1226"/>
    <w:rsid w:val="008D1889"/>
    <w:rsid w:val="008D19BC"/>
    <w:rsid w:val="008D1AF6"/>
    <w:rsid w:val="008D1D94"/>
    <w:rsid w:val="008D1E53"/>
    <w:rsid w:val="008D1ED7"/>
    <w:rsid w:val="008D2085"/>
    <w:rsid w:val="008D23C5"/>
    <w:rsid w:val="008D2533"/>
    <w:rsid w:val="008D272B"/>
    <w:rsid w:val="008D27EC"/>
    <w:rsid w:val="008D28A3"/>
    <w:rsid w:val="008D300D"/>
    <w:rsid w:val="008D3974"/>
    <w:rsid w:val="008D3EB8"/>
    <w:rsid w:val="008D3FFA"/>
    <w:rsid w:val="008D42CA"/>
    <w:rsid w:val="008D514F"/>
    <w:rsid w:val="008D53A7"/>
    <w:rsid w:val="008D541E"/>
    <w:rsid w:val="008D5871"/>
    <w:rsid w:val="008D588E"/>
    <w:rsid w:val="008D58CA"/>
    <w:rsid w:val="008D62FE"/>
    <w:rsid w:val="008D686B"/>
    <w:rsid w:val="008D689B"/>
    <w:rsid w:val="008D6969"/>
    <w:rsid w:val="008D6A58"/>
    <w:rsid w:val="008D6B4C"/>
    <w:rsid w:val="008D6BF2"/>
    <w:rsid w:val="008D6F3E"/>
    <w:rsid w:val="008D72AA"/>
    <w:rsid w:val="008D7601"/>
    <w:rsid w:val="008D76E8"/>
    <w:rsid w:val="008D7E1C"/>
    <w:rsid w:val="008E0254"/>
    <w:rsid w:val="008E086A"/>
    <w:rsid w:val="008E0B5F"/>
    <w:rsid w:val="008E0E88"/>
    <w:rsid w:val="008E0F29"/>
    <w:rsid w:val="008E0F72"/>
    <w:rsid w:val="008E11B0"/>
    <w:rsid w:val="008E12C4"/>
    <w:rsid w:val="008E1BFD"/>
    <w:rsid w:val="008E1D9B"/>
    <w:rsid w:val="008E2256"/>
    <w:rsid w:val="008E2426"/>
    <w:rsid w:val="008E2CF4"/>
    <w:rsid w:val="008E2FD0"/>
    <w:rsid w:val="008E32F4"/>
    <w:rsid w:val="008E3557"/>
    <w:rsid w:val="008E3636"/>
    <w:rsid w:val="008E37DE"/>
    <w:rsid w:val="008E3BBC"/>
    <w:rsid w:val="008E3CAD"/>
    <w:rsid w:val="008E459E"/>
    <w:rsid w:val="008E45C3"/>
    <w:rsid w:val="008E4619"/>
    <w:rsid w:val="008E4B87"/>
    <w:rsid w:val="008E4D02"/>
    <w:rsid w:val="008E53AD"/>
    <w:rsid w:val="008E5BEC"/>
    <w:rsid w:val="008E6292"/>
    <w:rsid w:val="008E6312"/>
    <w:rsid w:val="008E63F6"/>
    <w:rsid w:val="008E7E2F"/>
    <w:rsid w:val="008F049D"/>
    <w:rsid w:val="008F08F2"/>
    <w:rsid w:val="008F0A96"/>
    <w:rsid w:val="008F0C59"/>
    <w:rsid w:val="008F102F"/>
    <w:rsid w:val="008F1A8B"/>
    <w:rsid w:val="008F1E17"/>
    <w:rsid w:val="008F20B9"/>
    <w:rsid w:val="008F2510"/>
    <w:rsid w:val="008F25AE"/>
    <w:rsid w:val="008F26A5"/>
    <w:rsid w:val="008F29B8"/>
    <w:rsid w:val="008F2ABA"/>
    <w:rsid w:val="008F2B0D"/>
    <w:rsid w:val="008F2B1A"/>
    <w:rsid w:val="008F2C6C"/>
    <w:rsid w:val="008F313E"/>
    <w:rsid w:val="008F3FE2"/>
    <w:rsid w:val="008F4155"/>
    <w:rsid w:val="008F433F"/>
    <w:rsid w:val="008F483F"/>
    <w:rsid w:val="008F4BF7"/>
    <w:rsid w:val="008F524D"/>
    <w:rsid w:val="008F5686"/>
    <w:rsid w:val="008F57FF"/>
    <w:rsid w:val="008F5B45"/>
    <w:rsid w:val="008F5C9D"/>
    <w:rsid w:val="008F5EEB"/>
    <w:rsid w:val="008F63F0"/>
    <w:rsid w:val="008F6457"/>
    <w:rsid w:val="008F67B0"/>
    <w:rsid w:val="008F6870"/>
    <w:rsid w:val="008F69D6"/>
    <w:rsid w:val="008F6AB9"/>
    <w:rsid w:val="008F6B8A"/>
    <w:rsid w:val="008F6C24"/>
    <w:rsid w:val="008F6DED"/>
    <w:rsid w:val="008F6E8A"/>
    <w:rsid w:val="008F6ED3"/>
    <w:rsid w:val="008F7243"/>
    <w:rsid w:val="008F734A"/>
    <w:rsid w:val="008F74FB"/>
    <w:rsid w:val="008F777A"/>
    <w:rsid w:val="008F7A24"/>
    <w:rsid w:val="0090034E"/>
    <w:rsid w:val="009004AD"/>
    <w:rsid w:val="00900544"/>
    <w:rsid w:val="0090076C"/>
    <w:rsid w:val="00900C04"/>
    <w:rsid w:val="00900C2E"/>
    <w:rsid w:val="00901166"/>
    <w:rsid w:val="009011DB"/>
    <w:rsid w:val="009017D5"/>
    <w:rsid w:val="00901B63"/>
    <w:rsid w:val="00901D7F"/>
    <w:rsid w:val="00902085"/>
    <w:rsid w:val="0090234A"/>
    <w:rsid w:val="009025A2"/>
    <w:rsid w:val="00902BA3"/>
    <w:rsid w:val="00902E85"/>
    <w:rsid w:val="00902EB7"/>
    <w:rsid w:val="00902ED3"/>
    <w:rsid w:val="00903112"/>
    <w:rsid w:val="00903670"/>
    <w:rsid w:val="00903711"/>
    <w:rsid w:val="00903A95"/>
    <w:rsid w:val="00904068"/>
    <w:rsid w:val="009042C5"/>
    <w:rsid w:val="009045EC"/>
    <w:rsid w:val="00904B6F"/>
    <w:rsid w:val="00904FDB"/>
    <w:rsid w:val="00905352"/>
    <w:rsid w:val="009053E4"/>
    <w:rsid w:val="00905892"/>
    <w:rsid w:val="009059E1"/>
    <w:rsid w:val="00905EB7"/>
    <w:rsid w:val="009060E2"/>
    <w:rsid w:val="0090619F"/>
    <w:rsid w:val="00906522"/>
    <w:rsid w:val="0090663E"/>
    <w:rsid w:val="00906855"/>
    <w:rsid w:val="00906C15"/>
    <w:rsid w:val="00906DDB"/>
    <w:rsid w:val="00906ED9"/>
    <w:rsid w:val="0090739F"/>
    <w:rsid w:val="00907AD5"/>
    <w:rsid w:val="00907B4C"/>
    <w:rsid w:val="00910094"/>
    <w:rsid w:val="009104AE"/>
    <w:rsid w:val="0091076D"/>
    <w:rsid w:val="00910BF7"/>
    <w:rsid w:val="00910CC7"/>
    <w:rsid w:val="00910E6F"/>
    <w:rsid w:val="00910F1F"/>
    <w:rsid w:val="00910FF0"/>
    <w:rsid w:val="0091111F"/>
    <w:rsid w:val="009111F8"/>
    <w:rsid w:val="00911497"/>
    <w:rsid w:val="009114AF"/>
    <w:rsid w:val="00911B3A"/>
    <w:rsid w:val="00911C0C"/>
    <w:rsid w:val="00911CEB"/>
    <w:rsid w:val="00911DD9"/>
    <w:rsid w:val="00912076"/>
    <w:rsid w:val="00912162"/>
    <w:rsid w:val="009124D3"/>
    <w:rsid w:val="00912581"/>
    <w:rsid w:val="00912769"/>
    <w:rsid w:val="0091277C"/>
    <w:rsid w:val="009129FA"/>
    <w:rsid w:val="00912B90"/>
    <w:rsid w:val="00912DF9"/>
    <w:rsid w:val="00913001"/>
    <w:rsid w:val="00913032"/>
    <w:rsid w:val="00913186"/>
    <w:rsid w:val="009133ED"/>
    <w:rsid w:val="009134BB"/>
    <w:rsid w:val="009136F7"/>
    <w:rsid w:val="00913838"/>
    <w:rsid w:val="00913971"/>
    <w:rsid w:val="009139DE"/>
    <w:rsid w:val="00913A3D"/>
    <w:rsid w:val="00913BDD"/>
    <w:rsid w:val="00913E6F"/>
    <w:rsid w:val="00913FFA"/>
    <w:rsid w:val="00914600"/>
    <w:rsid w:val="0091460D"/>
    <w:rsid w:val="0091462B"/>
    <w:rsid w:val="00914689"/>
    <w:rsid w:val="00914888"/>
    <w:rsid w:val="009151AF"/>
    <w:rsid w:val="009158FE"/>
    <w:rsid w:val="00915A3E"/>
    <w:rsid w:val="00915C62"/>
    <w:rsid w:val="00915E9F"/>
    <w:rsid w:val="00916142"/>
    <w:rsid w:val="00916197"/>
    <w:rsid w:val="0091631F"/>
    <w:rsid w:val="0091692C"/>
    <w:rsid w:val="00916D66"/>
    <w:rsid w:val="009176F4"/>
    <w:rsid w:val="00917A5E"/>
    <w:rsid w:val="00917D83"/>
    <w:rsid w:val="00920115"/>
    <w:rsid w:val="0092012D"/>
    <w:rsid w:val="009202DE"/>
    <w:rsid w:val="0092030F"/>
    <w:rsid w:val="00920605"/>
    <w:rsid w:val="009206E9"/>
    <w:rsid w:val="00920852"/>
    <w:rsid w:val="00921567"/>
    <w:rsid w:val="00921BE6"/>
    <w:rsid w:val="00921EC0"/>
    <w:rsid w:val="00921F25"/>
    <w:rsid w:val="00922792"/>
    <w:rsid w:val="00922879"/>
    <w:rsid w:val="00922C42"/>
    <w:rsid w:val="00922DAE"/>
    <w:rsid w:val="0092309F"/>
    <w:rsid w:val="009232AB"/>
    <w:rsid w:val="0092367A"/>
    <w:rsid w:val="00923BE3"/>
    <w:rsid w:val="00923C74"/>
    <w:rsid w:val="00923CA9"/>
    <w:rsid w:val="00924146"/>
    <w:rsid w:val="00924556"/>
    <w:rsid w:val="00924943"/>
    <w:rsid w:val="00924D51"/>
    <w:rsid w:val="00925CF1"/>
    <w:rsid w:val="00925DEB"/>
    <w:rsid w:val="00925FB4"/>
    <w:rsid w:val="00926264"/>
    <w:rsid w:val="00926452"/>
    <w:rsid w:val="00926556"/>
    <w:rsid w:val="00927017"/>
    <w:rsid w:val="0092722C"/>
    <w:rsid w:val="009272C5"/>
    <w:rsid w:val="00927678"/>
    <w:rsid w:val="00927A07"/>
    <w:rsid w:val="00927B55"/>
    <w:rsid w:val="0093028A"/>
    <w:rsid w:val="0093040F"/>
    <w:rsid w:val="0093050E"/>
    <w:rsid w:val="0093098C"/>
    <w:rsid w:val="00930B24"/>
    <w:rsid w:val="00930E3B"/>
    <w:rsid w:val="00930E70"/>
    <w:rsid w:val="00930E74"/>
    <w:rsid w:val="00930F82"/>
    <w:rsid w:val="00931916"/>
    <w:rsid w:val="00931DF1"/>
    <w:rsid w:val="0093266B"/>
    <w:rsid w:val="0093295E"/>
    <w:rsid w:val="0093296D"/>
    <w:rsid w:val="00932A19"/>
    <w:rsid w:val="00932AE7"/>
    <w:rsid w:val="00932C40"/>
    <w:rsid w:val="00932CAE"/>
    <w:rsid w:val="00932F92"/>
    <w:rsid w:val="00933753"/>
    <w:rsid w:val="00933784"/>
    <w:rsid w:val="00933852"/>
    <w:rsid w:val="0093385B"/>
    <w:rsid w:val="009338A4"/>
    <w:rsid w:val="00933CEA"/>
    <w:rsid w:val="00933D8E"/>
    <w:rsid w:val="00933E24"/>
    <w:rsid w:val="00933F96"/>
    <w:rsid w:val="00934CD1"/>
    <w:rsid w:val="00934F0D"/>
    <w:rsid w:val="00935135"/>
    <w:rsid w:val="00935307"/>
    <w:rsid w:val="00935714"/>
    <w:rsid w:val="00935729"/>
    <w:rsid w:val="00935E66"/>
    <w:rsid w:val="00936303"/>
    <w:rsid w:val="00936464"/>
    <w:rsid w:val="00936CA9"/>
    <w:rsid w:val="00936FDA"/>
    <w:rsid w:val="00937033"/>
    <w:rsid w:val="009373E6"/>
    <w:rsid w:val="00937812"/>
    <w:rsid w:val="00937AB8"/>
    <w:rsid w:val="00937ACF"/>
    <w:rsid w:val="00937FEF"/>
    <w:rsid w:val="00940038"/>
    <w:rsid w:val="009404F4"/>
    <w:rsid w:val="00940594"/>
    <w:rsid w:val="00940659"/>
    <w:rsid w:val="00940A68"/>
    <w:rsid w:val="00940D5A"/>
    <w:rsid w:val="00940E8E"/>
    <w:rsid w:val="0094100B"/>
    <w:rsid w:val="00941290"/>
    <w:rsid w:val="00941376"/>
    <w:rsid w:val="009416C2"/>
    <w:rsid w:val="00941C1C"/>
    <w:rsid w:val="00941D37"/>
    <w:rsid w:val="0094236C"/>
    <w:rsid w:val="0094242F"/>
    <w:rsid w:val="009424EB"/>
    <w:rsid w:val="00942701"/>
    <w:rsid w:val="00942D57"/>
    <w:rsid w:val="00942F43"/>
    <w:rsid w:val="00943466"/>
    <w:rsid w:val="00943730"/>
    <w:rsid w:val="00944238"/>
    <w:rsid w:val="009444C5"/>
    <w:rsid w:val="0094473D"/>
    <w:rsid w:val="009447DC"/>
    <w:rsid w:val="00944B6D"/>
    <w:rsid w:val="00944D75"/>
    <w:rsid w:val="009450F9"/>
    <w:rsid w:val="00945332"/>
    <w:rsid w:val="00945387"/>
    <w:rsid w:val="009458FA"/>
    <w:rsid w:val="00945921"/>
    <w:rsid w:val="00945A8E"/>
    <w:rsid w:val="00945A9A"/>
    <w:rsid w:val="00945BC8"/>
    <w:rsid w:val="00945C3C"/>
    <w:rsid w:val="00945CE5"/>
    <w:rsid w:val="00945D2A"/>
    <w:rsid w:val="00945D8C"/>
    <w:rsid w:val="00945EE6"/>
    <w:rsid w:val="00945EE8"/>
    <w:rsid w:val="00946006"/>
    <w:rsid w:val="00946152"/>
    <w:rsid w:val="00947011"/>
    <w:rsid w:val="00947197"/>
    <w:rsid w:val="009479E0"/>
    <w:rsid w:val="00947A4F"/>
    <w:rsid w:val="00947C87"/>
    <w:rsid w:val="009500B4"/>
    <w:rsid w:val="0095071C"/>
    <w:rsid w:val="00950929"/>
    <w:rsid w:val="00950A53"/>
    <w:rsid w:val="00950AA5"/>
    <w:rsid w:val="00950B9B"/>
    <w:rsid w:val="00951103"/>
    <w:rsid w:val="0095199F"/>
    <w:rsid w:val="009519B4"/>
    <w:rsid w:val="00951B27"/>
    <w:rsid w:val="00951BEB"/>
    <w:rsid w:val="0095275E"/>
    <w:rsid w:val="0095319D"/>
    <w:rsid w:val="0095341A"/>
    <w:rsid w:val="0095351D"/>
    <w:rsid w:val="00953548"/>
    <w:rsid w:val="009537D7"/>
    <w:rsid w:val="00953C87"/>
    <w:rsid w:val="00953D82"/>
    <w:rsid w:val="009540EB"/>
    <w:rsid w:val="0095417D"/>
    <w:rsid w:val="00954333"/>
    <w:rsid w:val="0095454A"/>
    <w:rsid w:val="00954730"/>
    <w:rsid w:val="0095515A"/>
    <w:rsid w:val="009553CF"/>
    <w:rsid w:val="00955443"/>
    <w:rsid w:val="00955BCE"/>
    <w:rsid w:val="00955D12"/>
    <w:rsid w:val="00955E68"/>
    <w:rsid w:val="00956229"/>
    <w:rsid w:val="009565F7"/>
    <w:rsid w:val="00956714"/>
    <w:rsid w:val="00956836"/>
    <w:rsid w:val="009569C5"/>
    <w:rsid w:val="00957148"/>
    <w:rsid w:val="0095784E"/>
    <w:rsid w:val="00957893"/>
    <w:rsid w:val="00957AE0"/>
    <w:rsid w:val="00957B38"/>
    <w:rsid w:val="00957CD5"/>
    <w:rsid w:val="00957EBA"/>
    <w:rsid w:val="00960399"/>
    <w:rsid w:val="00960540"/>
    <w:rsid w:val="00960591"/>
    <w:rsid w:val="009605F3"/>
    <w:rsid w:val="0096070A"/>
    <w:rsid w:val="0096081A"/>
    <w:rsid w:val="00960D18"/>
    <w:rsid w:val="00960F4E"/>
    <w:rsid w:val="00960FA8"/>
    <w:rsid w:val="009612DC"/>
    <w:rsid w:val="0096142D"/>
    <w:rsid w:val="00961673"/>
    <w:rsid w:val="00961971"/>
    <w:rsid w:val="00961B04"/>
    <w:rsid w:val="00961C39"/>
    <w:rsid w:val="00961D8B"/>
    <w:rsid w:val="009621D3"/>
    <w:rsid w:val="009623F5"/>
    <w:rsid w:val="00962495"/>
    <w:rsid w:val="0096298A"/>
    <w:rsid w:val="00962B6B"/>
    <w:rsid w:val="00962F1B"/>
    <w:rsid w:val="0096373F"/>
    <w:rsid w:val="00963958"/>
    <w:rsid w:val="00963A63"/>
    <w:rsid w:val="00963E08"/>
    <w:rsid w:val="00964079"/>
    <w:rsid w:val="009644FD"/>
    <w:rsid w:val="00964752"/>
    <w:rsid w:val="0096506B"/>
    <w:rsid w:val="0096527B"/>
    <w:rsid w:val="009656FE"/>
    <w:rsid w:val="009658FE"/>
    <w:rsid w:val="00965AC0"/>
    <w:rsid w:val="0096603F"/>
    <w:rsid w:val="0096624C"/>
    <w:rsid w:val="009668EB"/>
    <w:rsid w:val="00966BC1"/>
    <w:rsid w:val="00966DF5"/>
    <w:rsid w:val="00967A97"/>
    <w:rsid w:val="00967D2B"/>
    <w:rsid w:val="00967F5C"/>
    <w:rsid w:val="00967FC1"/>
    <w:rsid w:val="009700BC"/>
    <w:rsid w:val="009703B1"/>
    <w:rsid w:val="0097075C"/>
    <w:rsid w:val="0097097A"/>
    <w:rsid w:val="00970A66"/>
    <w:rsid w:val="00970B3A"/>
    <w:rsid w:val="00971029"/>
    <w:rsid w:val="00971183"/>
    <w:rsid w:val="009711A0"/>
    <w:rsid w:val="00971281"/>
    <w:rsid w:val="009713E5"/>
    <w:rsid w:val="00971575"/>
    <w:rsid w:val="009716C3"/>
    <w:rsid w:val="00971A84"/>
    <w:rsid w:val="00971BE3"/>
    <w:rsid w:val="00971DAA"/>
    <w:rsid w:val="00971DC1"/>
    <w:rsid w:val="00971E49"/>
    <w:rsid w:val="00971F05"/>
    <w:rsid w:val="00972442"/>
    <w:rsid w:val="009725B5"/>
    <w:rsid w:val="009725CE"/>
    <w:rsid w:val="009728B8"/>
    <w:rsid w:val="00973497"/>
    <w:rsid w:val="00973A5C"/>
    <w:rsid w:val="00973B27"/>
    <w:rsid w:val="00973CDA"/>
    <w:rsid w:val="00973E46"/>
    <w:rsid w:val="009740E8"/>
    <w:rsid w:val="009742C9"/>
    <w:rsid w:val="0097448B"/>
    <w:rsid w:val="00974728"/>
    <w:rsid w:val="00974994"/>
    <w:rsid w:val="009749DF"/>
    <w:rsid w:val="00974DB3"/>
    <w:rsid w:val="00975350"/>
    <w:rsid w:val="00975DA3"/>
    <w:rsid w:val="00975E3F"/>
    <w:rsid w:val="00976AB0"/>
    <w:rsid w:val="00977322"/>
    <w:rsid w:val="009774A4"/>
    <w:rsid w:val="0097756D"/>
    <w:rsid w:val="0097761A"/>
    <w:rsid w:val="00977CEB"/>
    <w:rsid w:val="0098066A"/>
    <w:rsid w:val="0098080E"/>
    <w:rsid w:val="00980A17"/>
    <w:rsid w:val="00980CB7"/>
    <w:rsid w:val="00980E5A"/>
    <w:rsid w:val="00980F49"/>
    <w:rsid w:val="0098141B"/>
    <w:rsid w:val="009817E3"/>
    <w:rsid w:val="00981B52"/>
    <w:rsid w:val="00981C92"/>
    <w:rsid w:val="00982486"/>
    <w:rsid w:val="00982617"/>
    <w:rsid w:val="00982925"/>
    <w:rsid w:val="00982A50"/>
    <w:rsid w:val="00982BA3"/>
    <w:rsid w:val="00982E4B"/>
    <w:rsid w:val="00982FC8"/>
    <w:rsid w:val="0098308E"/>
    <w:rsid w:val="009831F7"/>
    <w:rsid w:val="009832FE"/>
    <w:rsid w:val="009833BC"/>
    <w:rsid w:val="00983591"/>
    <w:rsid w:val="00983927"/>
    <w:rsid w:val="00983945"/>
    <w:rsid w:val="009839F3"/>
    <w:rsid w:val="00983ACD"/>
    <w:rsid w:val="00983B63"/>
    <w:rsid w:val="00984300"/>
    <w:rsid w:val="00984482"/>
    <w:rsid w:val="009844E2"/>
    <w:rsid w:val="0098524D"/>
    <w:rsid w:val="0098540D"/>
    <w:rsid w:val="00985485"/>
    <w:rsid w:val="009858FD"/>
    <w:rsid w:val="0098596D"/>
    <w:rsid w:val="00985F1A"/>
    <w:rsid w:val="009865C8"/>
    <w:rsid w:val="0098672F"/>
    <w:rsid w:val="00986764"/>
    <w:rsid w:val="00986ABB"/>
    <w:rsid w:val="00986AFB"/>
    <w:rsid w:val="00986B63"/>
    <w:rsid w:val="00987145"/>
    <w:rsid w:val="009871BB"/>
    <w:rsid w:val="0098732E"/>
    <w:rsid w:val="00987AAC"/>
    <w:rsid w:val="0099053F"/>
    <w:rsid w:val="00990969"/>
    <w:rsid w:val="00990B13"/>
    <w:rsid w:val="00990DCA"/>
    <w:rsid w:val="00990ED4"/>
    <w:rsid w:val="009912F0"/>
    <w:rsid w:val="009916E7"/>
    <w:rsid w:val="00991A04"/>
    <w:rsid w:val="00991B91"/>
    <w:rsid w:val="009938FE"/>
    <w:rsid w:val="00993B87"/>
    <w:rsid w:val="00993EB4"/>
    <w:rsid w:val="009942BA"/>
    <w:rsid w:val="0099488B"/>
    <w:rsid w:val="00994BB8"/>
    <w:rsid w:val="00994BBF"/>
    <w:rsid w:val="00994DAE"/>
    <w:rsid w:val="00994DB1"/>
    <w:rsid w:val="00994DDA"/>
    <w:rsid w:val="0099525D"/>
    <w:rsid w:val="00995575"/>
    <w:rsid w:val="009958D3"/>
    <w:rsid w:val="00995F02"/>
    <w:rsid w:val="009960B8"/>
    <w:rsid w:val="009962AF"/>
    <w:rsid w:val="00996632"/>
    <w:rsid w:val="00996781"/>
    <w:rsid w:val="00996AC2"/>
    <w:rsid w:val="00996B5A"/>
    <w:rsid w:val="00996B68"/>
    <w:rsid w:val="00996BF6"/>
    <w:rsid w:val="00996EAD"/>
    <w:rsid w:val="00997469"/>
    <w:rsid w:val="00997975"/>
    <w:rsid w:val="00997BAF"/>
    <w:rsid w:val="00997C57"/>
    <w:rsid w:val="009A0036"/>
    <w:rsid w:val="009A0278"/>
    <w:rsid w:val="009A0783"/>
    <w:rsid w:val="009A0AED"/>
    <w:rsid w:val="009A10B2"/>
    <w:rsid w:val="009A1205"/>
    <w:rsid w:val="009A1213"/>
    <w:rsid w:val="009A136D"/>
    <w:rsid w:val="009A1842"/>
    <w:rsid w:val="009A18E6"/>
    <w:rsid w:val="009A1B7B"/>
    <w:rsid w:val="009A1CFF"/>
    <w:rsid w:val="009A1F5A"/>
    <w:rsid w:val="009A2416"/>
    <w:rsid w:val="009A2B9D"/>
    <w:rsid w:val="009A2D0A"/>
    <w:rsid w:val="009A31E9"/>
    <w:rsid w:val="009A3219"/>
    <w:rsid w:val="009A328D"/>
    <w:rsid w:val="009A3535"/>
    <w:rsid w:val="009A3584"/>
    <w:rsid w:val="009A4281"/>
    <w:rsid w:val="009A46E7"/>
    <w:rsid w:val="009A4D1A"/>
    <w:rsid w:val="009A4F8E"/>
    <w:rsid w:val="009A4FD7"/>
    <w:rsid w:val="009A511E"/>
    <w:rsid w:val="009A51BC"/>
    <w:rsid w:val="009A5343"/>
    <w:rsid w:val="009A54D9"/>
    <w:rsid w:val="009A5572"/>
    <w:rsid w:val="009A5C7F"/>
    <w:rsid w:val="009A61AC"/>
    <w:rsid w:val="009A62AC"/>
    <w:rsid w:val="009A62DF"/>
    <w:rsid w:val="009A6D38"/>
    <w:rsid w:val="009A7538"/>
    <w:rsid w:val="009A75CD"/>
    <w:rsid w:val="009A77C4"/>
    <w:rsid w:val="009B01E8"/>
    <w:rsid w:val="009B02FE"/>
    <w:rsid w:val="009B0359"/>
    <w:rsid w:val="009B0851"/>
    <w:rsid w:val="009B0862"/>
    <w:rsid w:val="009B087F"/>
    <w:rsid w:val="009B092E"/>
    <w:rsid w:val="009B0C50"/>
    <w:rsid w:val="009B0D0E"/>
    <w:rsid w:val="009B0FB5"/>
    <w:rsid w:val="009B103C"/>
    <w:rsid w:val="009B105A"/>
    <w:rsid w:val="009B1281"/>
    <w:rsid w:val="009B1557"/>
    <w:rsid w:val="009B15BD"/>
    <w:rsid w:val="009B1948"/>
    <w:rsid w:val="009B2229"/>
    <w:rsid w:val="009B2407"/>
    <w:rsid w:val="009B2B07"/>
    <w:rsid w:val="009B2CE7"/>
    <w:rsid w:val="009B2D78"/>
    <w:rsid w:val="009B3543"/>
    <w:rsid w:val="009B35D2"/>
    <w:rsid w:val="009B36C4"/>
    <w:rsid w:val="009B37DF"/>
    <w:rsid w:val="009B3BE7"/>
    <w:rsid w:val="009B3CB3"/>
    <w:rsid w:val="009B3CB7"/>
    <w:rsid w:val="009B3D17"/>
    <w:rsid w:val="009B3E1A"/>
    <w:rsid w:val="009B43EA"/>
    <w:rsid w:val="009B44CE"/>
    <w:rsid w:val="009B4539"/>
    <w:rsid w:val="009B4F28"/>
    <w:rsid w:val="009B53FC"/>
    <w:rsid w:val="009B5719"/>
    <w:rsid w:val="009B5A66"/>
    <w:rsid w:val="009B5AC1"/>
    <w:rsid w:val="009B5C5C"/>
    <w:rsid w:val="009B5DB6"/>
    <w:rsid w:val="009B5DEA"/>
    <w:rsid w:val="009B5E69"/>
    <w:rsid w:val="009B60D8"/>
    <w:rsid w:val="009B61ED"/>
    <w:rsid w:val="009B7547"/>
    <w:rsid w:val="009B7CA4"/>
    <w:rsid w:val="009B7E7F"/>
    <w:rsid w:val="009C0282"/>
    <w:rsid w:val="009C041A"/>
    <w:rsid w:val="009C0ABA"/>
    <w:rsid w:val="009C0CFB"/>
    <w:rsid w:val="009C0DEE"/>
    <w:rsid w:val="009C101E"/>
    <w:rsid w:val="009C106E"/>
    <w:rsid w:val="009C16C0"/>
    <w:rsid w:val="009C1A36"/>
    <w:rsid w:val="009C238F"/>
    <w:rsid w:val="009C24DB"/>
    <w:rsid w:val="009C27D2"/>
    <w:rsid w:val="009C2E59"/>
    <w:rsid w:val="009C2E5F"/>
    <w:rsid w:val="009C2ED9"/>
    <w:rsid w:val="009C3164"/>
    <w:rsid w:val="009C33BB"/>
    <w:rsid w:val="009C33EA"/>
    <w:rsid w:val="009C347D"/>
    <w:rsid w:val="009C3593"/>
    <w:rsid w:val="009C4165"/>
    <w:rsid w:val="009C4271"/>
    <w:rsid w:val="009C4322"/>
    <w:rsid w:val="009C4978"/>
    <w:rsid w:val="009C49EF"/>
    <w:rsid w:val="009C4F0F"/>
    <w:rsid w:val="009C529F"/>
    <w:rsid w:val="009C52D6"/>
    <w:rsid w:val="009C53B9"/>
    <w:rsid w:val="009C5565"/>
    <w:rsid w:val="009C558E"/>
    <w:rsid w:val="009C57AF"/>
    <w:rsid w:val="009C59A4"/>
    <w:rsid w:val="009C5B94"/>
    <w:rsid w:val="009C5CED"/>
    <w:rsid w:val="009C5D31"/>
    <w:rsid w:val="009C6197"/>
    <w:rsid w:val="009C666D"/>
    <w:rsid w:val="009C6957"/>
    <w:rsid w:val="009C7332"/>
    <w:rsid w:val="009C7361"/>
    <w:rsid w:val="009C73F1"/>
    <w:rsid w:val="009C77AD"/>
    <w:rsid w:val="009C7CA5"/>
    <w:rsid w:val="009C7FB4"/>
    <w:rsid w:val="009D0005"/>
    <w:rsid w:val="009D0381"/>
    <w:rsid w:val="009D0401"/>
    <w:rsid w:val="009D09DE"/>
    <w:rsid w:val="009D0F56"/>
    <w:rsid w:val="009D0FBC"/>
    <w:rsid w:val="009D1345"/>
    <w:rsid w:val="009D1AA5"/>
    <w:rsid w:val="009D1B10"/>
    <w:rsid w:val="009D1B4D"/>
    <w:rsid w:val="009D1BEB"/>
    <w:rsid w:val="009D1D9E"/>
    <w:rsid w:val="009D1EFB"/>
    <w:rsid w:val="009D2583"/>
    <w:rsid w:val="009D2869"/>
    <w:rsid w:val="009D2B4D"/>
    <w:rsid w:val="009D2E2E"/>
    <w:rsid w:val="009D2FEA"/>
    <w:rsid w:val="009D30B8"/>
    <w:rsid w:val="009D33C8"/>
    <w:rsid w:val="009D369A"/>
    <w:rsid w:val="009D3812"/>
    <w:rsid w:val="009D389E"/>
    <w:rsid w:val="009D39A3"/>
    <w:rsid w:val="009D3E83"/>
    <w:rsid w:val="009D3EA0"/>
    <w:rsid w:val="009D4125"/>
    <w:rsid w:val="009D45B4"/>
    <w:rsid w:val="009D464A"/>
    <w:rsid w:val="009D4FA5"/>
    <w:rsid w:val="009D54EE"/>
    <w:rsid w:val="009D5924"/>
    <w:rsid w:val="009D5A0A"/>
    <w:rsid w:val="009D5E11"/>
    <w:rsid w:val="009D5F15"/>
    <w:rsid w:val="009D602B"/>
    <w:rsid w:val="009D60F8"/>
    <w:rsid w:val="009D6224"/>
    <w:rsid w:val="009D66CB"/>
    <w:rsid w:val="009D6ED0"/>
    <w:rsid w:val="009D7154"/>
    <w:rsid w:val="009D7586"/>
    <w:rsid w:val="009D7B33"/>
    <w:rsid w:val="009D7C46"/>
    <w:rsid w:val="009D7F6D"/>
    <w:rsid w:val="009E04E5"/>
    <w:rsid w:val="009E0563"/>
    <w:rsid w:val="009E05AB"/>
    <w:rsid w:val="009E062E"/>
    <w:rsid w:val="009E08ED"/>
    <w:rsid w:val="009E0B4F"/>
    <w:rsid w:val="009E0E19"/>
    <w:rsid w:val="009E0EDE"/>
    <w:rsid w:val="009E0EFA"/>
    <w:rsid w:val="009E0FB7"/>
    <w:rsid w:val="009E1069"/>
    <w:rsid w:val="009E109C"/>
    <w:rsid w:val="009E11E0"/>
    <w:rsid w:val="009E16FF"/>
    <w:rsid w:val="009E1DC9"/>
    <w:rsid w:val="009E1E23"/>
    <w:rsid w:val="009E2093"/>
    <w:rsid w:val="009E23EC"/>
    <w:rsid w:val="009E2568"/>
    <w:rsid w:val="009E2775"/>
    <w:rsid w:val="009E28FB"/>
    <w:rsid w:val="009E2A02"/>
    <w:rsid w:val="009E2AA0"/>
    <w:rsid w:val="009E2DCD"/>
    <w:rsid w:val="009E311C"/>
    <w:rsid w:val="009E3455"/>
    <w:rsid w:val="009E3744"/>
    <w:rsid w:val="009E3B03"/>
    <w:rsid w:val="009E3C71"/>
    <w:rsid w:val="009E3D74"/>
    <w:rsid w:val="009E4005"/>
    <w:rsid w:val="009E4A9A"/>
    <w:rsid w:val="009E4E44"/>
    <w:rsid w:val="009E510C"/>
    <w:rsid w:val="009E5298"/>
    <w:rsid w:val="009E541D"/>
    <w:rsid w:val="009E54BA"/>
    <w:rsid w:val="009E5652"/>
    <w:rsid w:val="009E5686"/>
    <w:rsid w:val="009E581B"/>
    <w:rsid w:val="009E594C"/>
    <w:rsid w:val="009E5A1B"/>
    <w:rsid w:val="009E5A7B"/>
    <w:rsid w:val="009E6235"/>
    <w:rsid w:val="009E6280"/>
    <w:rsid w:val="009E629E"/>
    <w:rsid w:val="009E6391"/>
    <w:rsid w:val="009E639F"/>
    <w:rsid w:val="009E6E82"/>
    <w:rsid w:val="009E6F82"/>
    <w:rsid w:val="009E709E"/>
    <w:rsid w:val="009E7720"/>
    <w:rsid w:val="009E7F0F"/>
    <w:rsid w:val="009F0532"/>
    <w:rsid w:val="009F05D2"/>
    <w:rsid w:val="009F0679"/>
    <w:rsid w:val="009F06D5"/>
    <w:rsid w:val="009F0889"/>
    <w:rsid w:val="009F101E"/>
    <w:rsid w:val="009F164D"/>
    <w:rsid w:val="009F194C"/>
    <w:rsid w:val="009F1A86"/>
    <w:rsid w:val="009F1B86"/>
    <w:rsid w:val="009F2529"/>
    <w:rsid w:val="009F2613"/>
    <w:rsid w:val="009F26D7"/>
    <w:rsid w:val="009F2742"/>
    <w:rsid w:val="009F28F0"/>
    <w:rsid w:val="009F290B"/>
    <w:rsid w:val="009F2BD4"/>
    <w:rsid w:val="009F2EE0"/>
    <w:rsid w:val="009F3055"/>
    <w:rsid w:val="009F318D"/>
    <w:rsid w:val="009F330C"/>
    <w:rsid w:val="009F33C7"/>
    <w:rsid w:val="009F3490"/>
    <w:rsid w:val="009F3A08"/>
    <w:rsid w:val="009F3A4C"/>
    <w:rsid w:val="009F3CD0"/>
    <w:rsid w:val="009F41A7"/>
    <w:rsid w:val="009F4406"/>
    <w:rsid w:val="009F45D2"/>
    <w:rsid w:val="009F4F42"/>
    <w:rsid w:val="009F4F91"/>
    <w:rsid w:val="009F5422"/>
    <w:rsid w:val="009F54A5"/>
    <w:rsid w:val="009F56AE"/>
    <w:rsid w:val="009F585C"/>
    <w:rsid w:val="009F5B98"/>
    <w:rsid w:val="009F5D08"/>
    <w:rsid w:val="009F5DDD"/>
    <w:rsid w:val="009F60AE"/>
    <w:rsid w:val="009F617B"/>
    <w:rsid w:val="009F6608"/>
    <w:rsid w:val="009F6D97"/>
    <w:rsid w:val="009F7268"/>
    <w:rsid w:val="009F72A6"/>
    <w:rsid w:val="009F772D"/>
    <w:rsid w:val="009F77DA"/>
    <w:rsid w:val="009F79D1"/>
    <w:rsid w:val="009F7D84"/>
    <w:rsid w:val="009F7D8A"/>
    <w:rsid w:val="00A003DF"/>
    <w:rsid w:val="00A005B0"/>
    <w:rsid w:val="00A0089A"/>
    <w:rsid w:val="00A00A6D"/>
    <w:rsid w:val="00A00C1F"/>
    <w:rsid w:val="00A010D5"/>
    <w:rsid w:val="00A0135F"/>
    <w:rsid w:val="00A01AEF"/>
    <w:rsid w:val="00A01B53"/>
    <w:rsid w:val="00A01BF8"/>
    <w:rsid w:val="00A02ABF"/>
    <w:rsid w:val="00A02BA6"/>
    <w:rsid w:val="00A02D45"/>
    <w:rsid w:val="00A02D50"/>
    <w:rsid w:val="00A02E80"/>
    <w:rsid w:val="00A03099"/>
    <w:rsid w:val="00A0372E"/>
    <w:rsid w:val="00A03790"/>
    <w:rsid w:val="00A039E5"/>
    <w:rsid w:val="00A0427D"/>
    <w:rsid w:val="00A04552"/>
    <w:rsid w:val="00A0483B"/>
    <w:rsid w:val="00A0498A"/>
    <w:rsid w:val="00A04ECE"/>
    <w:rsid w:val="00A05866"/>
    <w:rsid w:val="00A059A5"/>
    <w:rsid w:val="00A05B27"/>
    <w:rsid w:val="00A05DD5"/>
    <w:rsid w:val="00A0612B"/>
    <w:rsid w:val="00A061CF"/>
    <w:rsid w:val="00A064A1"/>
    <w:rsid w:val="00A0666B"/>
    <w:rsid w:val="00A067E4"/>
    <w:rsid w:val="00A070CA"/>
    <w:rsid w:val="00A074A5"/>
    <w:rsid w:val="00A076CF"/>
    <w:rsid w:val="00A07A55"/>
    <w:rsid w:val="00A07BBD"/>
    <w:rsid w:val="00A07BC7"/>
    <w:rsid w:val="00A07C10"/>
    <w:rsid w:val="00A07E12"/>
    <w:rsid w:val="00A07E1C"/>
    <w:rsid w:val="00A10006"/>
    <w:rsid w:val="00A10250"/>
    <w:rsid w:val="00A105F7"/>
    <w:rsid w:val="00A10866"/>
    <w:rsid w:val="00A1089D"/>
    <w:rsid w:val="00A10BBD"/>
    <w:rsid w:val="00A10D3B"/>
    <w:rsid w:val="00A10F4B"/>
    <w:rsid w:val="00A11054"/>
    <w:rsid w:val="00A110FE"/>
    <w:rsid w:val="00A11322"/>
    <w:rsid w:val="00A11641"/>
    <w:rsid w:val="00A11B56"/>
    <w:rsid w:val="00A11E62"/>
    <w:rsid w:val="00A12601"/>
    <w:rsid w:val="00A12636"/>
    <w:rsid w:val="00A12C39"/>
    <w:rsid w:val="00A1318E"/>
    <w:rsid w:val="00A1331F"/>
    <w:rsid w:val="00A13D6A"/>
    <w:rsid w:val="00A13D9A"/>
    <w:rsid w:val="00A1427A"/>
    <w:rsid w:val="00A14585"/>
    <w:rsid w:val="00A146DE"/>
    <w:rsid w:val="00A14704"/>
    <w:rsid w:val="00A14A7C"/>
    <w:rsid w:val="00A14B47"/>
    <w:rsid w:val="00A14FD1"/>
    <w:rsid w:val="00A150B8"/>
    <w:rsid w:val="00A15585"/>
    <w:rsid w:val="00A15A0E"/>
    <w:rsid w:val="00A15A53"/>
    <w:rsid w:val="00A15E10"/>
    <w:rsid w:val="00A16597"/>
    <w:rsid w:val="00A165D8"/>
    <w:rsid w:val="00A16D67"/>
    <w:rsid w:val="00A16DF5"/>
    <w:rsid w:val="00A16E53"/>
    <w:rsid w:val="00A17086"/>
    <w:rsid w:val="00A1758E"/>
    <w:rsid w:val="00A20093"/>
    <w:rsid w:val="00A204E8"/>
    <w:rsid w:val="00A20544"/>
    <w:rsid w:val="00A208CF"/>
    <w:rsid w:val="00A208D1"/>
    <w:rsid w:val="00A209FE"/>
    <w:rsid w:val="00A20BBB"/>
    <w:rsid w:val="00A20F98"/>
    <w:rsid w:val="00A212EB"/>
    <w:rsid w:val="00A21769"/>
    <w:rsid w:val="00A21852"/>
    <w:rsid w:val="00A22673"/>
    <w:rsid w:val="00A23297"/>
    <w:rsid w:val="00A23425"/>
    <w:rsid w:val="00A23A0B"/>
    <w:rsid w:val="00A23A5A"/>
    <w:rsid w:val="00A23CE3"/>
    <w:rsid w:val="00A24332"/>
    <w:rsid w:val="00A24902"/>
    <w:rsid w:val="00A24D4F"/>
    <w:rsid w:val="00A24F77"/>
    <w:rsid w:val="00A2504A"/>
    <w:rsid w:val="00A2528B"/>
    <w:rsid w:val="00A256CC"/>
    <w:rsid w:val="00A2584E"/>
    <w:rsid w:val="00A259FF"/>
    <w:rsid w:val="00A25B61"/>
    <w:rsid w:val="00A25C02"/>
    <w:rsid w:val="00A25DED"/>
    <w:rsid w:val="00A25ECE"/>
    <w:rsid w:val="00A2600A"/>
    <w:rsid w:val="00A2608A"/>
    <w:rsid w:val="00A26249"/>
    <w:rsid w:val="00A263F0"/>
    <w:rsid w:val="00A2648B"/>
    <w:rsid w:val="00A2651E"/>
    <w:rsid w:val="00A269D4"/>
    <w:rsid w:val="00A26B1A"/>
    <w:rsid w:val="00A27AC2"/>
    <w:rsid w:val="00A27EAA"/>
    <w:rsid w:val="00A3049D"/>
    <w:rsid w:val="00A304A7"/>
    <w:rsid w:val="00A30602"/>
    <w:rsid w:val="00A30A0C"/>
    <w:rsid w:val="00A31C7B"/>
    <w:rsid w:val="00A32067"/>
    <w:rsid w:val="00A324F8"/>
    <w:rsid w:val="00A324FB"/>
    <w:rsid w:val="00A32567"/>
    <w:rsid w:val="00A3263D"/>
    <w:rsid w:val="00A32AFF"/>
    <w:rsid w:val="00A32D2D"/>
    <w:rsid w:val="00A331EF"/>
    <w:rsid w:val="00A33627"/>
    <w:rsid w:val="00A33A05"/>
    <w:rsid w:val="00A33EEE"/>
    <w:rsid w:val="00A3405D"/>
    <w:rsid w:val="00A3426F"/>
    <w:rsid w:val="00A3444D"/>
    <w:rsid w:val="00A34C42"/>
    <w:rsid w:val="00A352AB"/>
    <w:rsid w:val="00A35361"/>
    <w:rsid w:val="00A35441"/>
    <w:rsid w:val="00A356CF"/>
    <w:rsid w:val="00A36071"/>
    <w:rsid w:val="00A3628B"/>
    <w:rsid w:val="00A3653C"/>
    <w:rsid w:val="00A36603"/>
    <w:rsid w:val="00A36CD1"/>
    <w:rsid w:val="00A37206"/>
    <w:rsid w:val="00A37558"/>
    <w:rsid w:val="00A376C3"/>
    <w:rsid w:val="00A3795A"/>
    <w:rsid w:val="00A379B2"/>
    <w:rsid w:val="00A37CD1"/>
    <w:rsid w:val="00A37DF1"/>
    <w:rsid w:val="00A37EEB"/>
    <w:rsid w:val="00A37FF5"/>
    <w:rsid w:val="00A40164"/>
    <w:rsid w:val="00A4049F"/>
    <w:rsid w:val="00A40CB0"/>
    <w:rsid w:val="00A410E1"/>
    <w:rsid w:val="00A41655"/>
    <w:rsid w:val="00A41BFF"/>
    <w:rsid w:val="00A41F95"/>
    <w:rsid w:val="00A4204C"/>
    <w:rsid w:val="00A42051"/>
    <w:rsid w:val="00A423B1"/>
    <w:rsid w:val="00A427CF"/>
    <w:rsid w:val="00A42B42"/>
    <w:rsid w:val="00A42E00"/>
    <w:rsid w:val="00A42E02"/>
    <w:rsid w:val="00A431FB"/>
    <w:rsid w:val="00A43267"/>
    <w:rsid w:val="00A434E3"/>
    <w:rsid w:val="00A43512"/>
    <w:rsid w:val="00A440A6"/>
    <w:rsid w:val="00A44A9D"/>
    <w:rsid w:val="00A44F13"/>
    <w:rsid w:val="00A44F4B"/>
    <w:rsid w:val="00A44F4D"/>
    <w:rsid w:val="00A45014"/>
    <w:rsid w:val="00A451C6"/>
    <w:rsid w:val="00A452E4"/>
    <w:rsid w:val="00A45381"/>
    <w:rsid w:val="00A454D5"/>
    <w:rsid w:val="00A45869"/>
    <w:rsid w:val="00A459F7"/>
    <w:rsid w:val="00A45B5A"/>
    <w:rsid w:val="00A461E7"/>
    <w:rsid w:val="00A46429"/>
    <w:rsid w:val="00A46662"/>
    <w:rsid w:val="00A46808"/>
    <w:rsid w:val="00A46A13"/>
    <w:rsid w:val="00A46AC0"/>
    <w:rsid w:val="00A46C98"/>
    <w:rsid w:val="00A46EAC"/>
    <w:rsid w:val="00A4710A"/>
    <w:rsid w:val="00A47128"/>
    <w:rsid w:val="00A475C9"/>
    <w:rsid w:val="00A4791F"/>
    <w:rsid w:val="00A47E80"/>
    <w:rsid w:val="00A47F8A"/>
    <w:rsid w:val="00A5055A"/>
    <w:rsid w:val="00A50B26"/>
    <w:rsid w:val="00A50D33"/>
    <w:rsid w:val="00A50D7F"/>
    <w:rsid w:val="00A51026"/>
    <w:rsid w:val="00A51343"/>
    <w:rsid w:val="00A5145E"/>
    <w:rsid w:val="00A514D2"/>
    <w:rsid w:val="00A51BA5"/>
    <w:rsid w:val="00A52207"/>
    <w:rsid w:val="00A5251C"/>
    <w:rsid w:val="00A5293D"/>
    <w:rsid w:val="00A52E17"/>
    <w:rsid w:val="00A52E4D"/>
    <w:rsid w:val="00A52E9E"/>
    <w:rsid w:val="00A52F5A"/>
    <w:rsid w:val="00A53458"/>
    <w:rsid w:val="00A53652"/>
    <w:rsid w:val="00A538DB"/>
    <w:rsid w:val="00A53CF5"/>
    <w:rsid w:val="00A53D0A"/>
    <w:rsid w:val="00A53D54"/>
    <w:rsid w:val="00A53E45"/>
    <w:rsid w:val="00A5428F"/>
    <w:rsid w:val="00A5487F"/>
    <w:rsid w:val="00A54E61"/>
    <w:rsid w:val="00A54FB1"/>
    <w:rsid w:val="00A551C0"/>
    <w:rsid w:val="00A552B6"/>
    <w:rsid w:val="00A55387"/>
    <w:rsid w:val="00A55502"/>
    <w:rsid w:val="00A55694"/>
    <w:rsid w:val="00A55717"/>
    <w:rsid w:val="00A55E17"/>
    <w:rsid w:val="00A55FFF"/>
    <w:rsid w:val="00A560FD"/>
    <w:rsid w:val="00A562CA"/>
    <w:rsid w:val="00A562FF"/>
    <w:rsid w:val="00A565D8"/>
    <w:rsid w:val="00A565EA"/>
    <w:rsid w:val="00A56771"/>
    <w:rsid w:val="00A56A06"/>
    <w:rsid w:val="00A56A3C"/>
    <w:rsid w:val="00A56EFB"/>
    <w:rsid w:val="00A57069"/>
    <w:rsid w:val="00A57485"/>
    <w:rsid w:val="00A57646"/>
    <w:rsid w:val="00A5778B"/>
    <w:rsid w:val="00A57AAF"/>
    <w:rsid w:val="00A57BCC"/>
    <w:rsid w:val="00A57C56"/>
    <w:rsid w:val="00A601B9"/>
    <w:rsid w:val="00A60AB9"/>
    <w:rsid w:val="00A60F4B"/>
    <w:rsid w:val="00A61481"/>
    <w:rsid w:val="00A6191A"/>
    <w:rsid w:val="00A61B8C"/>
    <w:rsid w:val="00A61DFB"/>
    <w:rsid w:val="00A61F58"/>
    <w:rsid w:val="00A61FBA"/>
    <w:rsid w:val="00A625C6"/>
    <w:rsid w:val="00A62CB1"/>
    <w:rsid w:val="00A62E90"/>
    <w:rsid w:val="00A62FC5"/>
    <w:rsid w:val="00A63020"/>
    <w:rsid w:val="00A63261"/>
    <w:rsid w:val="00A63320"/>
    <w:rsid w:val="00A63967"/>
    <w:rsid w:val="00A639E3"/>
    <w:rsid w:val="00A63AA9"/>
    <w:rsid w:val="00A63B2B"/>
    <w:rsid w:val="00A63DE4"/>
    <w:rsid w:val="00A63FF8"/>
    <w:rsid w:val="00A64187"/>
    <w:rsid w:val="00A6491E"/>
    <w:rsid w:val="00A64942"/>
    <w:rsid w:val="00A64B6E"/>
    <w:rsid w:val="00A64DE3"/>
    <w:rsid w:val="00A64EF2"/>
    <w:rsid w:val="00A64EF3"/>
    <w:rsid w:val="00A64F9C"/>
    <w:rsid w:val="00A651E9"/>
    <w:rsid w:val="00A653FD"/>
    <w:rsid w:val="00A654B5"/>
    <w:rsid w:val="00A65B07"/>
    <w:rsid w:val="00A65DBA"/>
    <w:rsid w:val="00A65E47"/>
    <w:rsid w:val="00A66360"/>
    <w:rsid w:val="00A6659C"/>
    <w:rsid w:val="00A666E1"/>
    <w:rsid w:val="00A6688D"/>
    <w:rsid w:val="00A670EB"/>
    <w:rsid w:val="00A674D2"/>
    <w:rsid w:val="00A67665"/>
    <w:rsid w:val="00A67AB5"/>
    <w:rsid w:val="00A67DEC"/>
    <w:rsid w:val="00A703D4"/>
    <w:rsid w:val="00A70987"/>
    <w:rsid w:val="00A70A26"/>
    <w:rsid w:val="00A70D42"/>
    <w:rsid w:val="00A70F18"/>
    <w:rsid w:val="00A712F1"/>
    <w:rsid w:val="00A71494"/>
    <w:rsid w:val="00A71A31"/>
    <w:rsid w:val="00A71A4D"/>
    <w:rsid w:val="00A71C76"/>
    <w:rsid w:val="00A720F7"/>
    <w:rsid w:val="00A72868"/>
    <w:rsid w:val="00A72D0C"/>
    <w:rsid w:val="00A72FFD"/>
    <w:rsid w:val="00A7303D"/>
    <w:rsid w:val="00A732E0"/>
    <w:rsid w:val="00A73767"/>
    <w:rsid w:val="00A737B9"/>
    <w:rsid w:val="00A741E5"/>
    <w:rsid w:val="00A74384"/>
    <w:rsid w:val="00A74EFA"/>
    <w:rsid w:val="00A74F56"/>
    <w:rsid w:val="00A75106"/>
    <w:rsid w:val="00A75367"/>
    <w:rsid w:val="00A75865"/>
    <w:rsid w:val="00A75F1E"/>
    <w:rsid w:val="00A767FC"/>
    <w:rsid w:val="00A76E68"/>
    <w:rsid w:val="00A76EE0"/>
    <w:rsid w:val="00A77484"/>
    <w:rsid w:val="00A774A9"/>
    <w:rsid w:val="00A77526"/>
    <w:rsid w:val="00A77A8F"/>
    <w:rsid w:val="00A80006"/>
    <w:rsid w:val="00A803CE"/>
    <w:rsid w:val="00A803E3"/>
    <w:rsid w:val="00A80A3D"/>
    <w:rsid w:val="00A813D5"/>
    <w:rsid w:val="00A828AE"/>
    <w:rsid w:val="00A82A8F"/>
    <w:rsid w:val="00A82B18"/>
    <w:rsid w:val="00A82C56"/>
    <w:rsid w:val="00A833ED"/>
    <w:rsid w:val="00A83434"/>
    <w:rsid w:val="00A84032"/>
    <w:rsid w:val="00A8468A"/>
    <w:rsid w:val="00A847AF"/>
    <w:rsid w:val="00A84CFB"/>
    <w:rsid w:val="00A84DFF"/>
    <w:rsid w:val="00A84F44"/>
    <w:rsid w:val="00A850CE"/>
    <w:rsid w:val="00A851A2"/>
    <w:rsid w:val="00A8530F"/>
    <w:rsid w:val="00A857E2"/>
    <w:rsid w:val="00A8636D"/>
    <w:rsid w:val="00A8667C"/>
    <w:rsid w:val="00A86776"/>
    <w:rsid w:val="00A86866"/>
    <w:rsid w:val="00A86C61"/>
    <w:rsid w:val="00A86E0A"/>
    <w:rsid w:val="00A86F0E"/>
    <w:rsid w:val="00A87084"/>
    <w:rsid w:val="00A87559"/>
    <w:rsid w:val="00A8755B"/>
    <w:rsid w:val="00A875A9"/>
    <w:rsid w:val="00A8776E"/>
    <w:rsid w:val="00A877BF"/>
    <w:rsid w:val="00A87881"/>
    <w:rsid w:val="00A8794A"/>
    <w:rsid w:val="00A87C69"/>
    <w:rsid w:val="00A87CC2"/>
    <w:rsid w:val="00A87D90"/>
    <w:rsid w:val="00A90182"/>
    <w:rsid w:val="00A9039A"/>
    <w:rsid w:val="00A90480"/>
    <w:rsid w:val="00A914F7"/>
    <w:rsid w:val="00A91611"/>
    <w:rsid w:val="00A91944"/>
    <w:rsid w:val="00A91A11"/>
    <w:rsid w:val="00A91AED"/>
    <w:rsid w:val="00A91BA2"/>
    <w:rsid w:val="00A91D62"/>
    <w:rsid w:val="00A9202F"/>
    <w:rsid w:val="00A9245D"/>
    <w:rsid w:val="00A926B2"/>
    <w:rsid w:val="00A92904"/>
    <w:rsid w:val="00A92C73"/>
    <w:rsid w:val="00A92C99"/>
    <w:rsid w:val="00A92F85"/>
    <w:rsid w:val="00A92FFC"/>
    <w:rsid w:val="00A930DF"/>
    <w:rsid w:val="00A9315F"/>
    <w:rsid w:val="00A93237"/>
    <w:rsid w:val="00A9341F"/>
    <w:rsid w:val="00A94297"/>
    <w:rsid w:val="00A949B7"/>
    <w:rsid w:val="00A94F1C"/>
    <w:rsid w:val="00A95257"/>
    <w:rsid w:val="00A9567F"/>
    <w:rsid w:val="00A95938"/>
    <w:rsid w:val="00A959AD"/>
    <w:rsid w:val="00A959BC"/>
    <w:rsid w:val="00A95A75"/>
    <w:rsid w:val="00A96016"/>
    <w:rsid w:val="00A96107"/>
    <w:rsid w:val="00A961F0"/>
    <w:rsid w:val="00A96247"/>
    <w:rsid w:val="00A96321"/>
    <w:rsid w:val="00A96520"/>
    <w:rsid w:val="00A965C0"/>
    <w:rsid w:val="00A96750"/>
    <w:rsid w:val="00A96BAB"/>
    <w:rsid w:val="00A96E03"/>
    <w:rsid w:val="00A97309"/>
    <w:rsid w:val="00A97B38"/>
    <w:rsid w:val="00A97E6E"/>
    <w:rsid w:val="00AA01D5"/>
    <w:rsid w:val="00AA020A"/>
    <w:rsid w:val="00AA0548"/>
    <w:rsid w:val="00AA07B4"/>
    <w:rsid w:val="00AA089B"/>
    <w:rsid w:val="00AA0C5B"/>
    <w:rsid w:val="00AA0D50"/>
    <w:rsid w:val="00AA1169"/>
    <w:rsid w:val="00AA127B"/>
    <w:rsid w:val="00AA15C6"/>
    <w:rsid w:val="00AA1624"/>
    <w:rsid w:val="00AA1924"/>
    <w:rsid w:val="00AA1AA4"/>
    <w:rsid w:val="00AA1D2C"/>
    <w:rsid w:val="00AA1F3C"/>
    <w:rsid w:val="00AA2007"/>
    <w:rsid w:val="00AA2166"/>
    <w:rsid w:val="00AA278A"/>
    <w:rsid w:val="00AA31AC"/>
    <w:rsid w:val="00AA31B7"/>
    <w:rsid w:val="00AA341C"/>
    <w:rsid w:val="00AA3B05"/>
    <w:rsid w:val="00AA3F81"/>
    <w:rsid w:val="00AA440F"/>
    <w:rsid w:val="00AA4541"/>
    <w:rsid w:val="00AA4640"/>
    <w:rsid w:val="00AA466A"/>
    <w:rsid w:val="00AA4698"/>
    <w:rsid w:val="00AA46AC"/>
    <w:rsid w:val="00AA48A7"/>
    <w:rsid w:val="00AA4956"/>
    <w:rsid w:val="00AA4DE5"/>
    <w:rsid w:val="00AA4E3D"/>
    <w:rsid w:val="00AA510F"/>
    <w:rsid w:val="00AA5645"/>
    <w:rsid w:val="00AA57A9"/>
    <w:rsid w:val="00AA5CD9"/>
    <w:rsid w:val="00AA6206"/>
    <w:rsid w:val="00AA63C8"/>
    <w:rsid w:val="00AA6686"/>
    <w:rsid w:val="00AA6C03"/>
    <w:rsid w:val="00AA6D03"/>
    <w:rsid w:val="00AA6DA6"/>
    <w:rsid w:val="00AA710C"/>
    <w:rsid w:val="00AA7C54"/>
    <w:rsid w:val="00AB0261"/>
    <w:rsid w:val="00AB07FE"/>
    <w:rsid w:val="00AB08DA"/>
    <w:rsid w:val="00AB0CA3"/>
    <w:rsid w:val="00AB0FFC"/>
    <w:rsid w:val="00AB120F"/>
    <w:rsid w:val="00AB1A8E"/>
    <w:rsid w:val="00AB1B09"/>
    <w:rsid w:val="00AB1B9E"/>
    <w:rsid w:val="00AB1BE5"/>
    <w:rsid w:val="00AB222A"/>
    <w:rsid w:val="00AB2279"/>
    <w:rsid w:val="00AB253A"/>
    <w:rsid w:val="00AB33C1"/>
    <w:rsid w:val="00AB3779"/>
    <w:rsid w:val="00AB3A90"/>
    <w:rsid w:val="00AB3E07"/>
    <w:rsid w:val="00AB3E68"/>
    <w:rsid w:val="00AB4A53"/>
    <w:rsid w:val="00AB4B68"/>
    <w:rsid w:val="00AB4F20"/>
    <w:rsid w:val="00AB4FAB"/>
    <w:rsid w:val="00AB550D"/>
    <w:rsid w:val="00AB5531"/>
    <w:rsid w:val="00AB56D4"/>
    <w:rsid w:val="00AB5C54"/>
    <w:rsid w:val="00AB6000"/>
    <w:rsid w:val="00AB61FF"/>
    <w:rsid w:val="00AB6303"/>
    <w:rsid w:val="00AB687C"/>
    <w:rsid w:val="00AB7216"/>
    <w:rsid w:val="00AB7259"/>
    <w:rsid w:val="00AB7280"/>
    <w:rsid w:val="00AB72B1"/>
    <w:rsid w:val="00AB77B6"/>
    <w:rsid w:val="00AB77FF"/>
    <w:rsid w:val="00AB7964"/>
    <w:rsid w:val="00AB7A9F"/>
    <w:rsid w:val="00AB7C25"/>
    <w:rsid w:val="00AC017B"/>
    <w:rsid w:val="00AC0248"/>
    <w:rsid w:val="00AC09F0"/>
    <w:rsid w:val="00AC0A9F"/>
    <w:rsid w:val="00AC0AB2"/>
    <w:rsid w:val="00AC0AD1"/>
    <w:rsid w:val="00AC0B3A"/>
    <w:rsid w:val="00AC0EA2"/>
    <w:rsid w:val="00AC0F22"/>
    <w:rsid w:val="00AC109D"/>
    <w:rsid w:val="00AC15A9"/>
    <w:rsid w:val="00AC16F5"/>
    <w:rsid w:val="00AC18F3"/>
    <w:rsid w:val="00AC1E0C"/>
    <w:rsid w:val="00AC1EB9"/>
    <w:rsid w:val="00AC206A"/>
    <w:rsid w:val="00AC250C"/>
    <w:rsid w:val="00AC2653"/>
    <w:rsid w:val="00AC277F"/>
    <w:rsid w:val="00AC2990"/>
    <w:rsid w:val="00AC2A12"/>
    <w:rsid w:val="00AC2CFF"/>
    <w:rsid w:val="00AC399A"/>
    <w:rsid w:val="00AC3ECC"/>
    <w:rsid w:val="00AC456D"/>
    <w:rsid w:val="00AC4842"/>
    <w:rsid w:val="00AC4954"/>
    <w:rsid w:val="00AC498E"/>
    <w:rsid w:val="00AC4BBE"/>
    <w:rsid w:val="00AC4C69"/>
    <w:rsid w:val="00AC4FBE"/>
    <w:rsid w:val="00AC55D9"/>
    <w:rsid w:val="00AC571F"/>
    <w:rsid w:val="00AC5847"/>
    <w:rsid w:val="00AC5EC0"/>
    <w:rsid w:val="00AC5F03"/>
    <w:rsid w:val="00AC61D8"/>
    <w:rsid w:val="00AC679C"/>
    <w:rsid w:val="00AC70B2"/>
    <w:rsid w:val="00AC724A"/>
    <w:rsid w:val="00AC754E"/>
    <w:rsid w:val="00AC7B20"/>
    <w:rsid w:val="00AC7EC6"/>
    <w:rsid w:val="00AD0245"/>
    <w:rsid w:val="00AD0849"/>
    <w:rsid w:val="00AD0EA6"/>
    <w:rsid w:val="00AD1003"/>
    <w:rsid w:val="00AD1206"/>
    <w:rsid w:val="00AD1350"/>
    <w:rsid w:val="00AD1747"/>
    <w:rsid w:val="00AD174D"/>
    <w:rsid w:val="00AD193A"/>
    <w:rsid w:val="00AD1F4E"/>
    <w:rsid w:val="00AD2070"/>
    <w:rsid w:val="00AD21D2"/>
    <w:rsid w:val="00AD2629"/>
    <w:rsid w:val="00AD26FD"/>
    <w:rsid w:val="00AD29A0"/>
    <w:rsid w:val="00AD29BD"/>
    <w:rsid w:val="00AD2AEB"/>
    <w:rsid w:val="00AD2D1C"/>
    <w:rsid w:val="00AD326C"/>
    <w:rsid w:val="00AD32BD"/>
    <w:rsid w:val="00AD34AD"/>
    <w:rsid w:val="00AD34E6"/>
    <w:rsid w:val="00AD424C"/>
    <w:rsid w:val="00AD4706"/>
    <w:rsid w:val="00AD4F3B"/>
    <w:rsid w:val="00AD52FA"/>
    <w:rsid w:val="00AD536F"/>
    <w:rsid w:val="00AD5461"/>
    <w:rsid w:val="00AD596F"/>
    <w:rsid w:val="00AD615B"/>
    <w:rsid w:val="00AD64B3"/>
    <w:rsid w:val="00AD6542"/>
    <w:rsid w:val="00AD65B9"/>
    <w:rsid w:val="00AD680D"/>
    <w:rsid w:val="00AD6E1F"/>
    <w:rsid w:val="00AD70FE"/>
    <w:rsid w:val="00AD74D8"/>
    <w:rsid w:val="00AD7727"/>
    <w:rsid w:val="00AD7742"/>
    <w:rsid w:val="00AD79B6"/>
    <w:rsid w:val="00AD7A6A"/>
    <w:rsid w:val="00AE0156"/>
    <w:rsid w:val="00AE04AC"/>
    <w:rsid w:val="00AE04D4"/>
    <w:rsid w:val="00AE055C"/>
    <w:rsid w:val="00AE057F"/>
    <w:rsid w:val="00AE0A3A"/>
    <w:rsid w:val="00AE0B0C"/>
    <w:rsid w:val="00AE1005"/>
    <w:rsid w:val="00AE16D4"/>
    <w:rsid w:val="00AE1BD3"/>
    <w:rsid w:val="00AE1C0E"/>
    <w:rsid w:val="00AE1D94"/>
    <w:rsid w:val="00AE1E92"/>
    <w:rsid w:val="00AE1F96"/>
    <w:rsid w:val="00AE2049"/>
    <w:rsid w:val="00AE23D7"/>
    <w:rsid w:val="00AE3023"/>
    <w:rsid w:val="00AE32EC"/>
    <w:rsid w:val="00AE3636"/>
    <w:rsid w:val="00AE36F1"/>
    <w:rsid w:val="00AE3755"/>
    <w:rsid w:val="00AE3A1E"/>
    <w:rsid w:val="00AE3A3D"/>
    <w:rsid w:val="00AE3DCD"/>
    <w:rsid w:val="00AE3FE4"/>
    <w:rsid w:val="00AE4201"/>
    <w:rsid w:val="00AE4250"/>
    <w:rsid w:val="00AE4261"/>
    <w:rsid w:val="00AE459E"/>
    <w:rsid w:val="00AE471A"/>
    <w:rsid w:val="00AE4880"/>
    <w:rsid w:val="00AE492A"/>
    <w:rsid w:val="00AE517B"/>
    <w:rsid w:val="00AE578E"/>
    <w:rsid w:val="00AE5BF3"/>
    <w:rsid w:val="00AE5DA5"/>
    <w:rsid w:val="00AE5DF5"/>
    <w:rsid w:val="00AE61F3"/>
    <w:rsid w:val="00AE6525"/>
    <w:rsid w:val="00AE687D"/>
    <w:rsid w:val="00AE6BA4"/>
    <w:rsid w:val="00AE6D56"/>
    <w:rsid w:val="00AE7423"/>
    <w:rsid w:val="00AE7825"/>
    <w:rsid w:val="00AE7C86"/>
    <w:rsid w:val="00AF0916"/>
    <w:rsid w:val="00AF0A63"/>
    <w:rsid w:val="00AF0B40"/>
    <w:rsid w:val="00AF0FF2"/>
    <w:rsid w:val="00AF1350"/>
    <w:rsid w:val="00AF1AF2"/>
    <w:rsid w:val="00AF20F4"/>
    <w:rsid w:val="00AF2190"/>
    <w:rsid w:val="00AF26BA"/>
    <w:rsid w:val="00AF2C1E"/>
    <w:rsid w:val="00AF324B"/>
    <w:rsid w:val="00AF3444"/>
    <w:rsid w:val="00AF375F"/>
    <w:rsid w:val="00AF37C7"/>
    <w:rsid w:val="00AF3DEE"/>
    <w:rsid w:val="00AF3E9A"/>
    <w:rsid w:val="00AF4046"/>
    <w:rsid w:val="00AF4222"/>
    <w:rsid w:val="00AF432B"/>
    <w:rsid w:val="00AF43FA"/>
    <w:rsid w:val="00AF456E"/>
    <w:rsid w:val="00AF4ABF"/>
    <w:rsid w:val="00AF4FF8"/>
    <w:rsid w:val="00AF549A"/>
    <w:rsid w:val="00AF6CEC"/>
    <w:rsid w:val="00AF70B4"/>
    <w:rsid w:val="00AF7443"/>
    <w:rsid w:val="00AF78C6"/>
    <w:rsid w:val="00AF795D"/>
    <w:rsid w:val="00AF7A66"/>
    <w:rsid w:val="00AF7ED6"/>
    <w:rsid w:val="00B0076C"/>
    <w:rsid w:val="00B00934"/>
    <w:rsid w:val="00B00AD9"/>
    <w:rsid w:val="00B00DFD"/>
    <w:rsid w:val="00B0108B"/>
    <w:rsid w:val="00B010B8"/>
    <w:rsid w:val="00B01290"/>
    <w:rsid w:val="00B015E7"/>
    <w:rsid w:val="00B01674"/>
    <w:rsid w:val="00B01905"/>
    <w:rsid w:val="00B01C16"/>
    <w:rsid w:val="00B01CF2"/>
    <w:rsid w:val="00B02372"/>
    <w:rsid w:val="00B02402"/>
    <w:rsid w:val="00B0250A"/>
    <w:rsid w:val="00B027D1"/>
    <w:rsid w:val="00B029F4"/>
    <w:rsid w:val="00B02A70"/>
    <w:rsid w:val="00B02A94"/>
    <w:rsid w:val="00B02ECD"/>
    <w:rsid w:val="00B03273"/>
    <w:rsid w:val="00B0365F"/>
    <w:rsid w:val="00B04192"/>
    <w:rsid w:val="00B046F1"/>
    <w:rsid w:val="00B04C29"/>
    <w:rsid w:val="00B04C43"/>
    <w:rsid w:val="00B04E43"/>
    <w:rsid w:val="00B04EEC"/>
    <w:rsid w:val="00B04F64"/>
    <w:rsid w:val="00B04FED"/>
    <w:rsid w:val="00B050E8"/>
    <w:rsid w:val="00B050F3"/>
    <w:rsid w:val="00B05344"/>
    <w:rsid w:val="00B057EB"/>
    <w:rsid w:val="00B05802"/>
    <w:rsid w:val="00B05807"/>
    <w:rsid w:val="00B05A5E"/>
    <w:rsid w:val="00B05C07"/>
    <w:rsid w:val="00B05C5C"/>
    <w:rsid w:val="00B06359"/>
    <w:rsid w:val="00B065E4"/>
    <w:rsid w:val="00B066EA"/>
    <w:rsid w:val="00B06769"/>
    <w:rsid w:val="00B0687A"/>
    <w:rsid w:val="00B06AA5"/>
    <w:rsid w:val="00B06B38"/>
    <w:rsid w:val="00B06F36"/>
    <w:rsid w:val="00B07329"/>
    <w:rsid w:val="00B07570"/>
    <w:rsid w:val="00B07B26"/>
    <w:rsid w:val="00B07EBB"/>
    <w:rsid w:val="00B10027"/>
    <w:rsid w:val="00B1006D"/>
    <w:rsid w:val="00B10280"/>
    <w:rsid w:val="00B104C9"/>
    <w:rsid w:val="00B1051E"/>
    <w:rsid w:val="00B1081B"/>
    <w:rsid w:val="00B10821"/>
    <w:rsid w:val="00B10B84"/>
    <w:rsid w:val="00B10E06"/>
    <w:rsid w:val="00B10ECA"/>
    <w:rsid w:val="00B110B8"/>
    <w:rsid w:val="00B11290"/>
    <w:rsid w:val="00B116FD"/>
    <w:rsid w:val="00B11D28"/>
    <w:rsid w:val="00B11F38"/>
    <w:rsid w:val="00B12584"/>
    <w:rsid w:val="00B125CE"/>
    <w:rsid w:val="00B12847"/>
    <w:rsid w:val="00B129E3"/>
    <w:rsid w:val="00B131FF"/>
    <w:rsid w:val="00B13620"/>
    <w:rsid w:val="00B13752"/>
    <w:rsid w:val="00B13792"/>
    <w:rsid w:val="00B13A47"/>
    <w:rsid w:val="00B13D2D"/>
    <w:rsid w:val="00B13F02"/>
    <w:rsid w:val="00B143A9"/>
    <w:rsid w:val="00B1483A"/>
    <w:rsid w:val="00B14871"/>
    <w:rsid w:val="00B14965"/>
    <w:rsid w:val="00B14B79"/>
    <w:rsid w:val="00B14D30"/>
    <w:rsid w:val="00B15031"/>
    <w:rsid w:val="00B151C6"/>
    <w:rsid w:val="00B151F2"/>
    <w:rsid w:val="00B156D9"/>
    <w:rsid w:val="00B15CA5"/>
    <w:rsid w:val="00B162E7"/>
    <w:rsid w:val="00B1630F"/>
    <w:rsid w:val="00B16401"/>
    <w:rsid w:val="00B165D3"/>
    <w:rsid w:val="00B1686C"/>
    <w:rsid w:val="00B16AA2"/>
    <w:rsid w:val="00B16C7F"/>
    <w:rsid w:val="00B16E5F"/>
    <w:rsid w:val="00B170F9"/>
    <w:rsid w:val="00B1741F"/>
    <w:rsid w:val="00B175B7"/>
    <w:rsid w:val="00B17952"/>
    <w:rsid w:val="00B17D04"/>
    <w:rsid w:val="00B17E31"/>
    <w:rsid w:val="00B2066F"/>
    <w:rsid w:val="00B20C6F"/>
    <w:rsid w:val="00B21020"/>
    <w:rsid w:val="00B21196"/>
    <w:rsid w:val="00B211EA"/>
    <w:rsid w:val="00B2186D"/>
    <w:rsid w:val="00B21CB7"/>
    <w:rsid w:val="00B21E86"/>
    <w:rsid w:val="00B21EE1"/>
    <w:rsid w:val="00B21F50"/>
    <w:rsid w:val="00B221CC"/>
    <w:rsid w:val="00B22379"/>
    <w:rsid w:val="00B22B82"/>
    <w:rsid w:val="00B22CE4"/>
    <w:rsid w:val="00B22D0F"/>
    <w:rsid w:val="00B23085"/>
    <w:rsid w:val="00B23988"/>
    <w:rsid w:val="00B24591"/>
    <w:rsid w:val="00B24906"/>
    <w:rsid w:val="00B24A8E"/>
    <w:rsid w:val="00B24D3B"/>
    <w:rsid w:val="00B24E20"/>
    <w:rsid w:val="00B24FB6"/>
    <w:rsid w:val="00B253A6"/>
    <w:rsid w:val="00B25584"/>
    <w:rsid w:val="00B25708"/>
    <w:rsid w:val="00B258DF"/>
    <w:rsid w:val="00B25A32"/>
    <w:rsid w:val="00B25BBD"/>
    <w:rsid w:val="00B25CC5"/>
    <w:rsid w:val="00B25D09"/>
    <w:rsid w:val="00B26461"/>
    <w:rsid w:val="00B2659F"/>
    <w:rsid w:val="00B2680A"/>
    <w:rsid w:val="00B26BDE"/>
    <w:rsid w:val="00B27084"/>
    <w:rsid w:val="00B27192"/>
    <w:rsid w:val="00B271C5"/>
    <w:rsid w:val="00B27667"/>
    <w:rsid w:val="00B2767F"/>
    <w:rsid w:val="00B278DA"/>
    <w:rsid w:val="00B27C7A"/>
    <w:rsid w:val="00B27C99"/>
    <w:rsid w:val="00B27EBB"/>
    <w:rsid w:val="00B27F57"/>
    <w:rsid w:val="00B30F17"/>
    <w:rsid w:val="00B30F24"/>
    <w:rsid w:val="00B30F53"/>
    <w:rsid w:val="00B3114D"/>
    <w:rsid w:val="00B311F1"/>
    <w:rsid w:val="00B31398"/>
    <w:rsid w:val="00B31493"/>
    <w:rsid w:val="00B315CF"/>
    <w:rsid w:val="00B31E54"/>
    <w:rsid w:val="00B3211B"/>
    <w:rsid w:val="00B32188"/>
    <w:rsid w:val="00B32257"/>
    <w:rsid w:val="00B32540"/>
    <w:rsid w:val="00B32844"/>
    <w:rsid w:val="00B32868"/>
    <w:rsid w:val="00B32B5F"/>
    <w:rsid w:val="00B32B95"/>
    <w:rsid w:val="00B32D32"/>
    <w:rsid w:val="00B33162"/>
    <w:rsid w:val="00B3319A"/>
    <w:rsid w:val="00B3394A"/>
    <w:rsid w:val="00B33AB0"/>
    <w:rsid w:val="00B33C35"/>
    <w:rsid w:val="00B33C9C"/>
    <w:rsid w:val="00B33DF0"/>
    <w:rsid w:val="00B33DFA"/>
    <w:rsid w:val="00B33F0F"/>
    <w:rsid w:val="00B3473B"/>
    <w:rsid w:val="00B3473D"/>
    <w:rsid w:val="00B347F4"/>
    <w:rsid w:val="00B3484E"/>
    <w:rsid w:val="00B354D0"/>
    <w:rsid w:val="00B3565C"/>
    <w:rsid w:val="00B35F73"/>
    <w:rsid w:val="00B36017"/>
    <w:rsid w:val="00B36598"/>
    <w:rsid w:val="00B36825"/>
    <w:rsid w:val="00B36ADB"/>
    <w:rsid w:val="00B36D5C"/>
    <w:rsid w:val="00B36EFD"/>
    <w:rsid w:val="00B36F5D"/>
    <w:rsid w:val="00B375A2"/>
    <w:rsid w:val="00B37C1D"/>
    <w:rsid w:val="00B37F2C"/>
    <w:rsid w:val="00B37FEB"/>
    <w:rsid w:val="00B400B6"/>
    <w:rsid w:val="00B40161"/>
    <w:rsid w:val="00B403CF"/>
    <w:rsid w:val="00B40817"/>
    <w:rsid w:val="00B40B41"/>
    <w:rsid w:val="00B40F63"/>
    <w:rsid w:val="00B412AE"/>
    <w:rsid w:val="00B41AFC"/>
    <w:rsid w:val="00B41B37"/>
    <w:rsid w:val="00B41C59"/>
    <w:rsid w:val="00B4217D"/>
    <w:rsid w:val="00B4288E"/>
    <w:rsid w:val="00B42CE2"/>
    <w:rsid w:val="00B42FAD"/>
    <w:rsid w:val="00B432E9"/>
    <w:rsid w:val="00B4352C"/>
    <w:rsid w:val="00B436D1"/>
    <w:rsid w:val="00B43B99"/>
    <w:rsid w:val="00B442C4"/>
    <w:rsid w:val="00B442C9"/>
    <w:rsid w:val="00B444C5"/>
    <w:rsid w:val="00B4452D"/>
    <w:rsid w:val="00B446D0"/>
    <w:rsid w:val="00B4471F"/>
    <w:rsid w:val="00B44B52"/>
    <w:rsid w:val="00B44D47"/>
    <w:rsid w:val="00B45065"/>
    <w:rsid w:val="00B4552D"/>
    <w:rsid w:val="00B4564A"/>
    <w:rsid w:val="00B45956"/>
    <w:rsid w:val="00B45AE8"/>
    <w:rsid w:val="00B45DB3"/>
    <w:rsid w:val="00B45F64"/>
    <w:rsid w:val="00B46051"/>
    <w:rsid w:val="00B460D3"/>
    <w:rsid w:val="00B461D4"/>
    <w:rsid w:val="00B46504"/>
    <w:rsid w:val="00B46739"/>
    <w:rsid w:val="00B46A01"/>
    <w:rsid w:val="00B46D69"/>
    <w:rsid w:val="00B471B5"/>
    <w:rsid w:val="00B472AE"/>
    <w:rsid w:val="00B47478"/>
    <w:rsid w:val="00B47654"/>
    <w:rsid w:val="00B47871"/>
    <w:rsid w:val="00B4C454"/>
    <w:rsid w:val="00B50096"/>
    <w:rsid w:val="00B500E4"/>
    <w:rsid w:val="00B50890"/>
    <w:rsid w:val="00B50910"/>
    <w:rsid w:val="00B50B73"/>
    <w:rsid w:val="00B511DC"/>
    <w:rsid w:val="00B512AB"/>
    <w:rsid w:val="00B51447"/>
    <w:rsid w:val="00B51566"/>
    <w:rsid w:val="00B5176A"/>
    <w:rsid w:val="00B51AE5"/>
    <w:rsid w:val="00B51DE5"/>
    <w:rsid w:val="00B51F28"/>
    <w:rsid w:val="00B52306"/>
    <w:rsid w:val="00B52508"/>
    <w:rsid w:val="00B52F61"/>
    <w:rsid w:val="00B5330E"/>
    <w:rsid w:val="00B53A9B"/>
    <w:rsid w:val="00B542B7"/>
    <w:rsid w:val="00B54494"/>
    <w:rsid w:val="00B54871"/>
    <w:rsid w:val="00B54936"/>
    <w:rsid w:val="00B551B6"/>
    <w:rsid w:val="00B55303"/>
    <w:rsid w:val="00B554ED"/>
    <w:rsid w:val="00B555D5"/>
    <w:rsid w:val="00B5566B"/>
    <w:rsid w:val="00B55EA0"/>
    <w:rsid w:val="00B55F1E"/>
    <w:rsid w:val="00B56366"/>
    <w:rsid w:val="00B56505"/>
    <w:rsid w:val="00B56CA5"/>
    <w:rsid w:val="00B56D11"/>
    <w:rsid w:val="00B56D43"/>
    <w:rsid w:val="00B56F43"/>
    <w:rsid w:val="00B56F99"/>
    <w:rsid w:val="00B57D80"/>
    <w:rsid w:val="00B60A92"/>
    <w:rsid w:val="00B60C99"/>
    <w:rsid w:val="00B60DA4"/>
    <w:rsid w:val="00B613A0"/>
    <w:rsid w:val="00B6162E"/>
    <w:rsid w:val="00B616DF"/>
    <w:rsid w:val="00B61883"/>
    <w:rsid w:val="00B618B5"/>
    <w:rsid w:val="00B61D47"/>
    <w:rsid w:val="00B61D59"/>
    <w:rsid w:val="00B62050"/>
    <w:rsid w:val="00B626AA"/>
    <w:rsid w:val="00B62E5A"/>
    <w:rsid w:val="00B636E1"/>
    <w:rsid w:val="00B6381E"/>
    <w:rsid w:val="00B63905"/>
    <w:rsid w:val="00B63F05"/>
    <w:rsid w:val="00B6401B"/>
    <w:rsid w:val="00B640F2"/>
    <w:rsid w:val="00B641DF"/>
    <w:rsid w:val="00B643F0"/>
    <w:rsid w:val="00B646C3"/>
    <w:rsid w:val="00B646F1"/>
    <w:rsid w:val="00B64A3B"/>
    <w:rsid w:val="00B64C06"/>
    <w:rsid w:val="00B64D51"/>
    <w:rsid w:val="00B652ED"/>
    <w:rsid w:val="00B657F8"/>
    <w:rsid w:val="00B65B8A"/>
    <w:rsid w:val="00B65DC1"/>
    <w:rsid w:val="00B65E15"/>
    <w:rsid w:val="00B65FE6"/>
    <w:rsid w:val="00B66008"/>
    <w:rsid w:val="00B66EB1"/>
    <w:rsid w:val="00B67000"/>
    <w:rsid w:val="00B6729B"/>
    <w:rsid w:val="00B67396"/>
    <w:rsid w:val="00B67BE9"/>
    <w:rsid w:val="00B70478"/>
    <w:rsid w:val="00B70C44"/>
    <w:rsid w:val="00B70E94"/>
    <w:rsid w:val="00B70F7A"/>
    <w:rsid w:val="00B710C7"/>
    <w:rsid w:val="00B7124F"/>
    <w:rsid w:val="00B713D6"/>
    <w:rsid w:val="00B719FE"/>
    <w:rsid w:val="00B71C77"/>
    <w:rsid w:val="00B72009"/>
    <w:rsid w:val="00B72303"/>
    <w:rsid w:val="00B72B5F"/>
    <w:rsid w:val="00B72DAF"/>
    <w:rsid w:val="00B730AC"/>
    <w:rsid w:val="00B732AD"/>
    <w:rsid w:val="00B73312"/>
    <w:rsid w:val="00B737BB"/>
    <w:rsid w:val="00B73A05"/>
    <w:rsid w:val="00B73A71"/>
    <w:rsid w:val="00B73FF2"/>
    <w:rsid w:val="00B746C5"/>
    <w:rsid w:val="00B748F4"/>
    <w:rsid w:val="00B7490B"/>
    <w:rsid w:val="00B74918"/>
    <w:rsid w:val="00B74CFA"/>
    <w:rsid w:val="00B74D78"/>
    <w:rsid w:val="00B74DF5"/>
    <w:rsid w:val="00B74FD2"/>
    <w:rsid w:val="00B75A4F"/>
    <w:rsid w:val="00B75D83"/>
    <w:rsid w:val="00B760E4"/>
    <w:rsid w:val="00B76346"/>
    <w:rsid w:val="00B763C3"/>
    <w:rsid w:val="00B76479"/>
    <w:rsid w:val="00B76B15"/>
    <w:rsid w:val="00B76C82"/>
    <w:rsid w:val="00B76CC8"/>
    <w:rsid w:val="00B76F6D"/>
    <w:rsid w:val="00B76FAF"/>
    <w:rsid w:val="00B772A7"/>
    <w:rsid w:val="00B77B29"/>
    <w:rsid w:val="00B77C3C"/>
    <w:rsid w:val="00B77DB0"/>
    <w:rsid w:val="00B77E33"/>
    <w:rsid w:val="00B77EAE"/>
    <w:rsid w:val="00B81919"/>
    <w:rsid w:val="00B81967"/>
    <w:rsid w:val="00B81D03"/>
    <w:rsid w:val="00B81F0F"/>
    <w:rsid w:val="00B8213C"/>
    <w:rsid w:val="00B82861"/>
    <w:rsid w:val="00B82870"/>
    <w:rsid w:val="00B82CEE"/>
    <w:rsid w:val="00B82D38"/>
    <w:rsid w:val="00B833BC"/>
    <w:rsid w:val="00B83487"/>
    <w:rsid w:val="00B83704"/>
    <w:rsid w:val="00B83A1B"/>
    <w:rsid w:val="00B83AC9"/>
    <w:rsid w:val="00B83C81"/>
    <w:rsid w:val="00B83CA7"/>
    <w:rsid w:val="00B83D8E"/>
    <w:rsid w:val="00B8403A"/>
    <w:rsid w:val="00B84098"/>
    <w:rsid w:val="00B840E4"/>
    <w:rsid w:val="00B845BF"/>
    <w:rsid w:val="00B848C8"/>
    <w:rsid w:val="00B848E3"/>
    <w:rsid w:val="00B84A64"/>
    <w:rsid w:val="00B84A7F"/>
    <w:rsid w:val="00B84B75"/>
    <w:rsid w:val="00B84F63"/>
    <w:rsid w:val="00B84FD4"/>
    <w:rsid w:val="00B850DE"/>
    <w:rsid w:val="00B85177"/>
    <w:rsid w:val="00B8548E"/>
    <w:rsid w:val="00B8550E"/>
    <w:rsid w:val="00B85585"/>
    <w:rsid w:val="00B855CE"/>
    <w:rsid w:val="00B8574E"/>
    <w:rsid w:val="00B85993"/>
    <w:rsid w:val="00B85A58"/>
    <w:rsid w:val="00B85CC2"/>
    <w:rsid w:val="00B85E17"/>
    <w:rsid w:val="00B85E34"/>
    <w:rsid w:val="00B865C8"/>
    <w:rsid w:val="00B86831"/>
    <w:rsid w:val="00B86DFD"/>
    <w:rsid w:val="00B86F64"/>
    <w:rsid w:val="00B8737B"/>
    <w:rsid w:val="00B873DB"/>
    <w:rsid w:val="00B9024C"/>
    <w:rsid w:val="00B90915"/>
    <w:rsid w:val="00B90C03"/>
    <w:rsid w:val="00B90D75"/>
    <w:rsid w:val="00B914B5"/>
    <w:rsid w:val="00B917B2"/>
    <w:rsid w:val="00B91A94"/>
    <w:rsid w:val="00B91BA6"/>
    <w:rsid w:val="00B92056"/>
    <w:rsid w:val="00B9207B"/>
    <w:rsid w:val="00B921CB"/>
    <w:rsid w:val="00B92902"/>
    <w:rsid w:val="00B937BD"/>
    <w:rsid w:val="00B93912"/>
    <w:rsid w:val="00B939B6"/>
    <w:rsid w:val="00B93E3A"/>
    <w:rsid w:val="00B94338"/>
    <w:rsid w:val="00B947F3"/>
    <w:rsid w:val="00B9527E"/>
    <w:rsid w:val="00B95322"/>
    <w:rsid w:val="00B9561C"/>
    <w:rsid w:val="00B95816"/>
    <w:rsid w:val="00B95969"/>
    <w:rsid w:val="00B959D3"/>
    <w:rsid w:val="00B96265"/>
    <w:rsid w:val="00B96383"/>
    <w:rsid w:val="00B963AD"/>
    <w:rsid w:val="00B963DB"/>
    <w:rsid w:val="00B96C69"/>
    <w:rsid w:val="00B96E86"/>
    <w:rsid w:val="00B97413"/>
    <w:rsid w:val="00B97652"/>
    <w:rsid w:val="00B979F9"/>
    <w:rsid w:val="00B97E91"/>
    <w:rsid w:val="00B97EE6"/>
    <w:rsid w:val="00B97F12"/>
    <w:rsid w:val="00BA011F"/>
    <w:rsid w:val="00BA0354"/>
    <w:rsid w:val="00BA0670"/>
    <w:rsid w:val="00BA06BE"/>
    <w:rsid w:val="00BA0882"/>
    <w:rsid w:val="00BA09CC"/>
    <w:rsid w:val="00BA17D7"/>
    <w:rsid w:val="00BA1969"/>
    <w:rsid w:val="00BA19B3"/>
    <w:rsid w:val="00BA1ABA"/>
    <w:rsid w:val="00BA1B66"/>
    <w:rsid w:val="00BA1C03"/>
    <w:rsid w:val="00BA1C4A"/>
    <w:rsid w:val="00BA1F30"/>
    <w:rsid w:val="00BA1F60"/>
    <w:rsid w:val="00BA245F"/>
    <w:rsid w:val="00BA29A0"/>
    <w:rsid w:val="00BA2D7C"/>
    <w:rsid w:val="00BA3052"/>
    <w:rsid w:val="00BA3A86"/>
    <w:rsid w:val="00BA3CFD"/>
    <w:rsid w:val="00BA3E26"/>
    <w:rsid w:val="00BA413C"/>
    <w:rsid w:val="00BA443C"/>
    <w:rsid w:val="00BA4A69"/>
    <w:rsid w:val="00BA4ACD"/>
    <w:rsid w:val="00BA4BBA"/>
    <w:rsid w:val="00BA4CFF"/>
    <w:rsid w:val="00BA4D17"/>
    <w:rsid w:val="00BA4E14"/>
    <w:rsid w:val="00BA5A6F"/>
    <w:rsid w:val="00BA61D0"/>
    <w:rsid w:val="00BA668B"/>
    <w:rsid w:val="00BA703B"/>
    <w:rsid w:val="00BA7527"/>
    <w:rsid w:val="00BA7655"/>
    <w:rsid w:val="00BA7872"/>
    <w:rsid w:val="00BA7B8D"/>
    <w:rsid w:val="00BA7E02"/>
    <w:rsid w:val="00BA7E82"/>
    <w:rsid w:val="00BA7EC8"/>
    <w:rsid w:val="00BA7ED0"/>
    <w:rsid w:val="00BB0192"/>
    <w:rsid w:val="00BB03D0"/>
    <w:rsid w:val="00BB03F9"/>
    <w:rsid w:val="00BB04DD"/>
    <w:rsid w:val="00BB05F8"/>
    <w:rsid w:val="00BB06E1"/>
    <w:rsid w:val="00BB083F"/>
    <w:rsid w:val="00BB0A20"/>
    <w:rsid w:val="00BB147C"/>
    <w:rsid w:val="00BB1529"/>
    <w:rsid w:val="00BB1689"/>
    <w:rsid w:val="00BB17ED"/>
    <w:rsid w:val="00BB1C4E"/>
    <w:rsid w:val="00BB1D87"/>
    <w:rsid w:val="00BB1F63"/>
    <w:rsid w:val="00BB345C"/>
    <w:rsid w:val="00BB3582"/>
    <w:rsid w:val="00BB37D3"/>
    <w:rsid w:val="00BB3EB4"/>
    <w:rsid w:val="00BB3F90"/>
    <w:rsid w:val="00BB3FCC"/>
    <w:rsid w:val="00BB40C8"/>
    <w:rsid w:val="00BB42C0"/>
    <w:rsid w:val="00BB48B5"/>
    <w:rsid w:val="00BB48CE"/>
    <w:rsid w:val="00BB4F46"/>
    <w:rsid w:val="00BB51C1"/>
    <w:rsid w:val="00BB565A"/>
    <w:rsid w:val="00BB5A59"/>
    <w:rsid w:val="00BB5B26"/>
    <w:rsid w:val="00BB5CC9"/>
    <w:rsid w:val="00BB5DC4"/>
    <w:rsid w:val="00BB612E"/>
    <w:rsid w:val="00BB632D"/>
    <w:rsid w:val="00BB666D"/>
    <w:rsid w:val="00BB670A"/>
    <w:rsid w:val="00BB682C"/>
    <w:rsid w:val="00BB6C6C"/>
    <w:rsid w:val="00BB6FF5"/>
    <w:rsid w:val="00BB70C2"/>
    <w:rsid w:val="00BB721E"/>
    <w:rsid w:val="00BB76A6"/>
    <w:rsid w:val="00BB7877"/>
    <w:rsid w:val="00BB78D3"/>
    <w:rsid w:val="00BB7C1A"/>
    <w:rsid w:val="00BC00B1"/>
    <w:rsid w:val="00BC0490"/>
    <w:rsid w:val="00BC050C"/>
    <w:rsid w:val="00BC0FFC"/>
    <w:rsid w:val="00BC119F"/>
    <w:rsid w:val="00BC14DA"/>
    <w:rsid w:val="00BC1890"/>
    <w:rsid w:val="00BC1897"/>
    <w:rsid w:val="00BC1A6F"/>
    <w:rsid w:val="00BC1CD0"/>
    <w:rsid w:val="00BC1CE6"/>
    <w:rsid w:val="00BC1E94"/>
    <w:rsid w:val="00BC21E6"/>
    <w:rsid w:val="00BC2734"/>
    <w:rsid w:val="00BC28F4"/>
    <w:rsid w:val="00BC351A"/>
    <w:rsid w:val="00BC35DF"/>
    <w:rsid w:val="00BC3BE8"/>
    <w:rsid w:val="00BC413F"/>
    <w:rsid w:val="00BC4178"/>
    <w:rsid w:val="00BC437B"/>
    <w:rsid w:val="00BC4C57"/>
    <w:rsid w:val="00BC4C70"/>
    <w:rsid w:val="00BC4F6D"/>
    <w:rsid w:val="00BC50B0"/>
    <w:rsid w:val="00BC51EB"/>
    <w:rsid w:val="00BC5289"/>
    <w:rsid w:val="00BC574B"/>
    <w:rsid w:val="00BC5754"/>
    <w:rsid w:val="00BC5894"/>
    <w:rsid w:val="00BC5A0C"/>
    <w:rsid w:val="00BC5BAE"/>
    <w:rsid w:val="00BC5C36"/>
    <w:rsid w:val="00BC5C7D"/>
    <w:rsid w:val="00BC610C"/>
    <w:rsid w:val="00BC62BF"/>
    <w:rsid w:val="00BC6411"/>
    <w:rsid w:val="00BC67DD"/>
    <w:rsid w:val="00BC682E"/>
    <w:rsid w:val="00BC6864"/>
    <w:rsid w:val="00BC68D8"/>
    <w:rsid w:val="00BC7058"/>
    <w:rsid w:val="00BC7304"/>
    <w:rsid w:val="00BC75E5"/>
    <w:rsid w:val="00BC76F0"/>
    <w:rsid w:val="00BC79B8"/>
    <w:rsid w:val="00BC7AEB"/>
    <w:rsid w:val="00BC7D2B"/>
    <w:rsid w:val="00BC7FFB"/>
    <w:rsid w:val="00BD05EC"/>
    <w:rsid w:val="00BD08F1"/>
    <w:rsid w:val="00BD0B3A"/>
    <w:rsid w:val="00BD0EFC"/>
    <w:rsid w:val="00BD118E"/>
    <w:rsid w:val="00BD1595"/>
    <w:rsid w:val="00BD15B2"/>
    <w:rsid w:val="00BD160C"/>
    <w:rsid w:val="00BD1BE5"/>
    <w:rsid w:val="00BD2156"/>
    <w:rsid w:val="00BD22EA"/>
    <w:rsid w:val="00BD2981"/>
    <w:rsid w:val="00BD2A49"/>
    <w:rsid w:val="00BD3176"/>
    <w:rsid w:val="00BD317F"/>
    <w:rsid w:val="00BD319D"/>
    <w:rsid w:val="00BD3252"/>
    <w:rsid w:val="00BD3405"/>
    <w:rsid w:val="00BD341F"/>
    <w:rsid w:val="00BD378D"/>
    <w:rsid w:val="00BD37E9"/>
    <w:rsid w:val="00BD39F3"/>
    <w:rsid w:val="00BD3C14"/>
    <w:rsid w:val="00BD3C92"/>
    <w:rsid w:val="00BD41F3"/>
    <w:rsid w:val="00BD44FD"/>
    <w:rsid w:val="00BD454E"/>
    <w:rsid w:val="00BD5458"/>
    <w:rsid w:val="00BD59D9"/>
    <w:rsid w:val="00BD5A39"/>
    <w:rsid w:val="00BD5BDF"/>
    <w:rsid w:val="00BD6182"/>
    <w:rsid w:val="00BD6288"/>
    <w:rsid w:val="00BD651D"/>
    <w:rsid w:val="00BD6926"/>
    <w:rsid w:val="00BD69C0"/>
    <w:rsid w:val="00BD6A95"/>
    <w:rsid w:val="00BD6BCB"/>
    <w:rsid w:val="00BD6BDE"/>
    <w:rsid w:val="00BD6CE6"/>
    <w:rsid w:val="00BD7064"/>
    <w:rsid w:val="00BD742E"/>
    <w:rsid w:val="00BD75BB"/>
    <w:rsid w:val="00BD77ED"/>
    <w:rsid w:val="00BD7948"/>
    <w:rsid w:val="00BD7A85"/>
    <w:rsid w:val="00BD7C68"/>
    <w:rsid w:val="00BE0BF4"/>
    <w:rsid w:val="00BE0DA4"/>
    <w:rsid w:val="00BE0E9D"/>
    <w:rsid w:val="00BE1196"/>
    <w:rsid w:val="00BE120A"/>
    <w:rsid w:val="00BE15B6"/>
    <w:rsid w:val="00BE1652"/>
    <w:rsid w:val="00BE1B7F"/>
    <w:rsid w:val="00BE1C89"/>
    <w:rsid w:val="00BE1E38"/>
    <w:rsid w:val="00BE2169"/>
    <w:rsid w:val="00BE256F"/>
    <w:rsid w:val="00BE26DA"/>
    <w:rsid w:val="00BE30E6"/>
    <w:rsid w:val="00BE3235"/>
    <w:rsid w:val="00BE3D65"/>
    <w:rsid w:val="00BE3D82"/>
    <w:rsid w:val="00BE4250"/>
    <w:rsid w:val="00BE42F1"/>
    <w:rsid w:val="00BE4407"/>
    <w:rsid w:val="00BE45C0"/>
    <w:rsid w:val="00BE493B"/>
    <w:rsid w:val="00BE4957"/>
    <w:rsid w:val="00BE4A97"/>
    <w:rsid w:val="00BE502E"/>
    <w:rsid w:val="00BE5892"/>
    <w:rsid w:val="00BE58C2"/>
    <w:rsid w:val="00BE5ADD"/>
    <w:rsid w:val="00BE5F83"/>
    <w:rsid w:val="00BE60A9"/>
    <w:rsid w:val="00BE6124"/>
    <w:rsid w:val="00BE639C"/>
    <w:rsid w:val="00BE69D7"/>
    <w:rsid w:val="00BE7116"/>
    <w:rsid w:val="00BE723D"/>
    <w:rsid w:val="00BE7FF7"/>
    <w:rsid w:val="00BF053D"/>
    <w:rsid w:val="00BF0857"/>
    <w:rsid w:val="00BF0D8B"/>
    <w:rsid w:val="00BF0F1D"/>
    <w:rsid w:val="00BF11C0"/>
    <w:rsid w:val="00BF1346"/>
    <w:rsid w:val="00BF1384"/>
    <w:rsid w:val="00BF17EA"/>
    <w:rsid w:val="00BF1A80"/>
    <w:rsid w:val="00BF1D32"/>
    <w:rsid w:val="00BF1FDE"/>
    <w:rsid w:val="00BF2188"/>
    <w:rsid w:val="00BF24CA"/>
    <w:rsid w:val="00BF2648"/>
    <w:rsid w:val="00BF2AF3"/>
    <w:rsid w:val="00BF3011"/>
    <w:rsid w:val="00BF35F8"/>
    <w:rsid w:val="00BF372F"/>
    <w:rsid w:val="00BF3A84"/>
    <w:rsid w:val="00BF3D47"/>
    <w:rsid w:val="00BF486D"/>
    <w:rsid w:val="00BF49B5"/>
    <w:rsid w:val="00BF4C3B"/>
    <w:rsid w:val="00BF4C60"/>
    <w:rsid w:val="00BF5055"/>
    <w:rsid w:val="00BF5120"/>
    <w:rsid w:val="00BF51C7"/>
    <w:rsid w:val="00BF55AB"/>
    <w:rsid w:val="00BF5678"/>
    <w:rsid w:val="00BF582D"/>
    <w:rsid w:val="00BF5935"/>
    <w:rsid w:val="00BF5CC9"/>
    <w:rsid w:val="00BF5F15"/>
    <w:rsid w:val="00BF60E5"/>
    <w:rsid w:val="00BF6458"/>
    <w:rsid w:val="00BF64C0"/>
    <w:rsid w:val="00BF6DFA"/>
    <w:rsid w:val="00BF7013"/>
    <w:rsid w:val="00BF7154"/>
    <w:rsid w:val="00BF72C8"/>
    <w:rsid w:val="00BF73CC"/>
    <w:rsid w:val="00BF7657"/>
    <w:rsid w:val="00BF7900"/>
    <w:rsid w:val="00BF79A8"/>
    <w:rsid w:val="00BF7A5D"/>
    <w:rsid w:val="00BF7CE5"/>
    <w:rsid w:val="00BF7DB3"/>
    <w:rsid w:val="00C003D9"/>
    <w:rsid w:val="00C00441"/>
    <w:rsid w:val="00C00477"/>
    <w:rsid w:val="00C0057B"/>
    <w:rsid w:val="00C008AE"/>
    <w:rsid w:val="00C008E1"/>
    <w:rsid w:val="00C00C5A"/>
    <w:rsid w:val="00C0141A"/>
    <w:rsid w:val="00C01837"/>
    <w:rsid w:val="00C01E29"/>
    <w:rsid w:val="00C01F3E"/>
    <w:rsid w:val="00C02BA0"/>
    <w:rsid w:val="00C02D10"/>
    <w:rsid w:val="00C02E76"/>
    <w:rsid w:val="00C0364F"/>
    <w:rsid w:val="00C0398E"/>
    <w:rsid w:val="00C039E1"/>
    <w:rsid w:val="00C03DDA"/>
    <w:rsid w:val="00C03E33"/>
    <w:rsid w:val="00C04015"/>
    <w:rsid w:val="00C04941"/>
    <w:rsid w:val="00C04D03"/>
    <w:rsid w:val="00C055CE"/>
    <w:rsid w:val="00C057B5"/>
    <w:rsid w:val="00C05A6A"/>
    <w:rsid w:val="00C06466"/>
    <w:rsid w:val="00C06476"/>
    <w:rsid w:val="00C065A8"/>
    <w:rsid w:val="00C06654"/>
    <w:rsid w:val="00C066C2"/>
    <w:rsid w:val="00C066F9"/>
    <w:rsid w:val="00C0677C"/>
    <w:rsid w:val="00C068D6"/>
    <w:rsid w:val="00C06DB4"/>
    <w:rsid w:val="00C07172"/>
    <w:rsid w:val="00C073AB"/>
    <w:rsid w:val="00C073B5"/>
    <w:rsid w:val="00C073E2"/>
    <w:rsid w:val="00C07588"/>
    <w:rsid w:val="00C07BE8"/>
    <w:rsid w:val="00C07C70"/>
    <w:rsid w:val="00C07F26"/>
    <w:rsid w:val="00C07FAF"/>
    <w:rsid w:val="00C1002E"/>
    <w:rsid w:val="00C10054"/>
    <w:rsid w:val="00C102E6"/>
    <w:rsid w:val="00C10569"/>
    <w:rsid w:val="00C1064B"/>
    <w:rsid w:val="00C10ABB"/>
    <w:rsid w:val="00C10E41"/>
    <w:rsid w:val="00C10F7A"/>
    <w:rsid w:val="00C10F7B"/>
    <w:rsid w:val="00C110DA"/>
    <w:rsid w:val="00C11646"/>
    <w:rsid w:val="00C1175C"/>
    <w:rsid w:val="00C118CF"/>
    <w:rsid w:val="00C11B46"/>
    <w:rsid w:val="00C11BD9"/>
    <w:rsid w:val="00C11C6D"/>
    <w:rsid w:val="00C12679"/>
    <w:rsid w:val="00C126FD"/>
    <w:rsid w:val="00C12BB0"/>
    <w:rsid w:val="00C12C9E"/>
    <w:rsid w:val="00C12F79"/>
    <w:rsid w:val="00C13606"/>
    <w:rsid w:val="00C13C8E"/>
    <w:rsid w:val="00C13DB5"/>
    <w:rsid w:val="00C13FAA"/>
    <w:rsid w:val="00C14410"/>
    <w:rsid w:val="00C144F6"/>
    <w:rsid w:val="00C147D8"/>
    <w:rsid w:val="00C14E35"/>
    <w:rsid w:val="00C150A0"/>
    <w:rsid w:val="00C150DD"/>
    <w:rsid w:val="00C15376"/>
    <w:rsid w:val="00C1570C"/>
    <w:rsid w:val="00C15802"/>
    <w:rsid w:val="00C15874"/>
    <w:rsid w:val="00C159E8"/>
    <w:rsid w:val="00C15D2B"/>
    <w:rsid w:val="00C15DF7"/>
    <w:rsid w:val="00C15E95"/>
    <w:rsid w:val="00C15EE1"/>
    <w:rsid w:val="00C15EE7"/>
    <w:rsid w:val="00C15EE8"/>
    <w:rsid w:val="00C163AB"/>
    <w:rsid w:val="00C16416"/>
    <w:rsid w:val="00C1656B"/>
    <w:rsid w:val="00C168CA"/>
    <w:rsid w:val="00C16A3A"/>
    <w:rsid w:val="00C16A49"/>
    <w:rsid w:val="00C16E96"/>
    <w:rsid w:val="00C173EF"/>
    <w:rsid w:val="00C17419"/>
    <w:rsid w:val="00C17557"/>
    <w:rsid w:val="00C178A4"/>
    <w:rsid w:val="00C17E26"/>
    <w:rsid w:val="00C17F87"/>
    <w:rsid w:val="00C2052D"/>
    <w:rsid w:val="00C20A43"/>
    <w:rsid w:val="00C20E35"/>
    <w:rsid w:val="00C21472"/>
    <w:rsid w:val="00C21762"/>
    <w:rsid w:val="00C2181E"/>
    <w:rsid w:val="00C21871"/>
    <w:rsid w:val="00C21C34"/>
    <w:rsid w:val="00C21CD1"/>
    <w:rsid w:val="00C21D76"/>
    <w:rsid w:val="00C21EED"/>
    <w:rsid w:val="00C21FB0"/>
    <w:rsid w:val="00C22493"/>
    <w:rsid w:val="00C224CD"/>
    <w:rsid w:val="00C2289D"/>
    <w:rsid w:val="00C22A42"/>
    <w:rsid w:val="00C2327C"/>
    <w:rsid w:val="00C234CA"/>
    <w:rsid w:val="00C2387C"/>
    <w:rsid w:val="00C23E10"/>
    <w:rsid w:val="00C23EA2"/>
    <w:rsid w:val="00C242FA"/>
    <w:rsid w:val="00C24574"/>
    <w:rsid w:val="00C249B2"/>
    <w:rsid w:val="00C24B7A"/>
    <w:rsid w:val="00C24EA8"/>
    <w:rsid w:val="00C2562F"/>
    <w:rsid w:val="00C25938"/>
    <w:rsid w:val="00C25C70"/>
    <w:rsid w:val="00C261B2"/>
    <w:rsid w:val="00C26312"/>
    <w:rsid w:val="00C264B2"/>
    <w:rsid w:val="00C265B7"/>
    <w:rsid w:val="00C268EE"/>
    <w:rsid w:val="00C2692F"/>
    <w:rsid w:val="00C26A0B"/>
    <w:rsid w:val="00C26A36"/>
    <w:rsid w:val="00C26BBC"/>
    <w:rsid w:val="00C26C01"/>
    <w:rsid w:val="00C26D7D"/>
    <w:rsid w:val="00C275C3"/>
    <w:rsid w:val="00C27754"/>
    <w:rsid w:val="00C27CF7"/>
    <w:rsid w:val="00C3043A"/>
    <w:rsid w:val="00C30544"/>
    <w:rsid w:val="00C30885"/>
    <w:rsid w:val="00C30A0D"/>
    <w:rsid w:val="00C30B26"/>
    <w:rsid w:val="00C30D7A"/>
    <w:rsid w:val="00C31205"/>
    <w:rsid w:val="00C313EC"/>
    <w:rsid w:val="00C319D4"/>
    <w:rsid w:val="00C3206B"/>
    <w:rsid w:val="00C320D6"/>
    <w:rsid w:val="00C32386"/>
    <w:rsid w:val="00C32483"/>
    <w:rsid w:val="00C32484"/>
    <w:rsid w:val="00C324B0"/>
    <w:rsid w:val="00C32529"/>
    <w:rsid w:val="00C3270D"/>
    <w:rsid w:val="00C3274D"/>
    <w:rsid w:val="00C32C64"/>
    <w:rsid w:val="00C32F9D"/>
    <w:rsid w:val="00C3308C"/>
    <w:rsid w:val="00C3323A"/>
    <w:rsid w:val="00C334A5"/>
    <w:rsid w:val="00C3352F"/>
    <w:rsid w:val="00C33659"/>
    <w:rsid w:val="00C33676"/>
    <w:rsid w:val="00C33C5A"/>
    <w:rsid w:val="00C33C74"/>
    <w:rsid w:val="00C340F4"/>
    <w:rsid w:val="00C343BE"/>
    <w:rsid w:val="00C34754"/>
    <w:rsid w:val="00C34756"/>
    <w:rsid w:val="00C349C2"/>
    <w:rsid w:val="00C34F54"/>
    <w:rsid w:val="00C357EF"/>
    <w:rsid w:val="00C35BE7"/>
    <w:rsid w:val="00C35E75"/>
    <w:rsid w:val="00C35FC6"/>
    <w:rsid w:val="00C361FB"/>
    <w:rsid w:val="00C367DA"/>
    <w:rsid w:val="00C36EB0"/>
    <w:rsid w:val="00C371F5"/>
    <w:rsid w:val="00C37436"/>
    <w:rsid w:val="00C3775E"/>
    <w:rsid w:val="00C377DF"/>
    <w:rsid w:val="00C4008E"/>
    <w:rsid w:val="00C40352"/>
    <w:rsid w:val="00C40503"/>
    <w:rsid w:val="00C40752"/>
    <w:rsid w:val="00C407F3"/>
    <w:rsid w:val="00C408D8"/>
    <w:rsid w:val="00C40A6E"/>
    <w:rsid w:val="00C40C72"/>
    <w:rsid w:val="00C40F7C"/>
    <w:rsid w:val="00C41015"/>
    <w:rsid w:val="00C4150D"/>
    <w:rsid w:val="00C4219B"/>
    <w:rsid w:val="00C42335"/>
    <w:rsid w:val="00C429B3"/>
    <w:rsid w:val="00C4313F"/>
    <w:rsid w:val="00C431E6"/>
    <w:rsid w:val="00C434EA"/>
    <w:rsid w:val="00C4371C"/>
    <w:rsid w:val="00C437FA"/>
    <w:rsid w:val="00C438E2"/>
    <w:rsid w:val="00C43C17"/>
    <w:rsid w:val="00C43C88"/>
    <w:rsid w:val="00C44146"/>
    <w:rsid w:val="00C446C4"/>
    <w:rsid w:val="00C447EB"/>
    <w:rsid w:val="00C44DC9"/>
    <w:rsid w:val="00C44E39"/>
    <w:rsid w:val="00C44FAC"/>
    <w:rsid w:val="00C4522F"/>
    <w:rsid w:val="00C453CB"/>
    <w:rsid w:val="00C456C4"/>
    <w:rsid w:val="00C45898"/>
    <w:rsid w:val="00C45B9D"/>
    <w:rsid w:val="00C45D84"/>
    <w:rsid w:val="00C45E11"/>
    <w:rsid w:val="00C45E75"/>
    <w:rsid w:val="00C466B8"/>
    <w:rsid w:val="00C46A4D"/>
    <w:rsid w:val="00C46FCF"/>
    <w:rsid w:val="00C470E3"/>
    <w:rsid w:val="00C4752C"/>
    <w:rsid w:val="00C50038"/>
    <w:rsid w:val="00C50232"/>
    <w:rsid w:val="00C505B7"/>
    <w:rsid w:val="00C50614"/>
    <w:rsid w:val="00C50D26"/>
    <w:rsid w:val="00C50EC7"/>
    <w:rsid w:val="00C50F03"/>
    <w:rsid w:val="00C5152E"/>
    <w:rsid w:val="00C516C3"/>
    <w:rsid w:val="00C51857"/>
    <w:rsid w:val="00C519FB"/>
    <w:rsid w:val="00C51B0C"/>
    <w:rsid w:val="00C521DA"/>
    <w:rsid w:val="00C523F3"/>
    <w:rsid w:val="00C525A4"/>
    <w:rsid w:val="00C525D8"/>
    <w:rsid w:val="00C53642"/>
    <w:rsid w:val="00C53756"/>
    <w:rsid w:val="00C53A5A"/>
    <w:rsid w:val="00C53B30"/>
    <w:rsid w:val="00C53BD3"/>
    <w:rsid w:val="00C54465"/>
    <w:rsid w:val="00C544C3"/>
    <w:rsid w:val="00C54B9A"/>
    <w:rsid w:val="00C54B9C"/>
    <w:rsid w:val="00C54BD4"/>
    <w:rsid w:val="00C54D25"/>
    <w:rsid w:val="00C54F02"/>
    <w:rsid w:val="00C54F08"/>
    <w:rsid w:val="00C551F4"/>
    <w:rsid w:val="00C552CE"/>
    <w:rsid w:val="00C554B3"/>
    <w:rsid w:val="00C55615"/>
    <w:rsid w:val="00C55972"/>
    <w:rsid w:val="00C5616E"/>
    <w:rsid w:val="00C561A6"/>
    <w:rsid w:val="00C56267"/>
    <w:rsid w:val="00C564D3"/>
    <w:rsid w:val="00C56682"/>
    <w:rsid w:val="00C568E3"/>
    <w:rsid w:val="00C56A52"/>
    <w:rsid w:val="00C5702A"/>
    <w:rsid w:val="00C57054"/>
    <w:rsid w:val="00C57915"/>
    <w:rsid w:val="00C57AB1"/>
    <w:rsid w:val="00C57C65"/>
    <w:rsid w:val="00C60068"/>
    <w:rsid w:val="00C60190"/>
    <w:rsid w:val="00C601D1"/>
    <w:rsid w:val="00C609A5"/>
    <w:rsid w:val="00C60EDF"/>
    <w:rsid w:val="00C610E8"/>
    <w:rsid w:val="00C61A00"/>
    <w:rsid w:val="00C61A85"/>
    <w:rsid w:val="00C61AA9"/>
    <w:rsid w:val="00C61DF6"/>
    <w:rsid w:val="00C622E6"/>
    <w:rsid w:val="00C62667"/>
    <w:rsid w:val="00C63515"/>
    <w:rsid w:val="00C6364F"/>
    <w:rsid w:val="00C63807"/>
    <w:rsid w:val="00C63B50"/>
    <w:rsid w:val="00C63B69"/>
    <w:rsid w:val="00C63BE8"/>
    <w:rsid w:val="00C648AF"/>
    <w:rsid w:val="00C64BF2"/>
    <w:rsid w:val="00C651CA"/>
    <w:rsid w:val="00C652CA"/>
    <w:rsid w:val="00C65317"/>
    <w:rsid w:val="00C65514"/>
    <w:rsid w:val="00C657A6"/>
    <w:rsid w:val="00C658E5"/>
    <w:rsid w:val="00C6592B"/>
    <w:rsid w:val="00C6596C"/>
    <w:rsid w:val="00C6597E"/>
    <w:rsid w:val="00C65EB1"/>
    <w:rsid w:val="00C663F2"/>
    <w:rsid w:val="00C666C3"/>
    <w:rsid w:val="00C66757"/>
    <w:rsid w:val="00C66A1C"/>
    <w:rsid w:val="00C66B66"/>
    <w:rsid w:val="00C66DB3"/>
    <w:rsid w:val="00C675F7"/>
    <w:rsid w:val="00C67733"/>
    <w:rsid w:val="00C67848"/>
    <w:rsid w:val="00C67B59"/>
    <w:rsid w:val="00C67FB2"/>
    <w:rsid w:val="00C7008B"/>
    <w:rsid w:val="00C7013F"/>
    <w:rsid w:val="00C70186"/>
    <w:rsid w:val="00C70306"/>
    <w:rsid w:val="00C70953"/>
    <w:rsid w:val="00C709DE"/>
    <w:rsid w:val="00C70B44"/>
    <w:rsid w:val="00C71209"/>
    <w:rsid w:val="00C713A3"/>
    <w:rsid w:val="00C71D11"/>
    <w:rsid w:val="00C71D42"/>
    <w:rsid w:val="00C72B37"/>
    <w:rsid w:val="00C72BE5"/>
    <w:rsid w:val="00C72C83"/>
    <w:rsid w:val="00C7316A"/>
    <w:rsid w:val="00C7344F"/>
    <w:rsid w:val="00C73509"/>
    <w:rsid w:val="00C739B8"/>
    <w:rsid w:val="00C73C20"/>
    <w:rsid w:val="00C73C88"/>
    <w:rsid w:val="00C73CBF"/>
    <w:rsid w:val="00C74363"/>
    <w:rsid w:val="00C74422"/>
    <w:rsid w:val="00C74683"/>
    <w:rsid w:val="00C74A11"/>
    <w:rsid w:val="00C7556A"/>
    <w:rsid w:val="00C755DD"/>
    <w:rsid w:val="00C75900"/>
    <w:rsid w:val="00C75E5E"/>
    <w:rsid w:val="00C75E94"/>
    <w:rsid w:val="00C7664F"/>
    <w:rsid w:val="00C76DB1"/>
    <w:rsid w:val="00C76EB9"/>
    <w:rsid w:val="00C76FD2"/>
    <w:rsid w:val="00C77C9E"/>
    <w:rsid w:val="00C77E43"/>
    <w:rsid w:val="00C77F7E"/>
    <w:rsid w:val="00C77F9E"/>
    <w:rsid w:val="00C77FF8"/>
    <w:rsid w:val="00C801F7"/>
    <w:rsid w:val="00C80416"/>
    <w:rsid w:val="00C8051E"/>
    <w:rsid w:val="00C80703"/>
    <w:rsid w:val="00C80B1D"/>
    <w:rsid w:val="00C8130D"/>
    <w:rsid w:val="00C8189C"/>
    <w:rsid w:val="00C81BFD"/>
    <w:rsid w:val="00C81D06"/>
    <w:rsid w:val="00C82142"/>
    <w:rsid w:val="00C826D7"/>
    <w:rsid w:val="00C82748"/>
    <w:rsid w:val="00C82833"/>
    <w:rsid w:val="00C82AA2"/>
    <w:rsid w:val="00C82D89"/>
    <w:rsid w:val="00C8332B"/>
    <w:rsid w:val="00C8332E"/>
    <w:rsid w:val="00C833DC"/>
    <w:rsid w:val="00C83489"/>
    <w:rsid w:val="00C834CB"/>
    <w:rsid w:val="00C8357D"/>
    <w:rsid w:val="00C835AC"/>
    <w:rsid w:val="00C838B5"/>
    <w:rsid w:val="00C840CF"/>
    <w:rsid w:val="00C84519"/>
    <w:rsid w:val="00C8453E"/>
    <w:rsid w:val="00C846B2"/>
    <w:rsid w:val="00C84728"/>
    <w:rsid w:val="00C84A8C"/>
    <w:rsid w:val="00C84BB8"/>
    <w:rsid w:val="00C84C2F"/>
    <w:rsid w:val="00C84F87"/>
    <w:rsid w:val="00C85026"/>
    <w:rsid w:val="00C85100"/>
    <w:rsid w:val="00C8521D"/>
    <w:rsid w:val="00C852D0"/>
    <w:rsid w:val="00C85477"/>
    <w:rsid w:val="00C85604"/>
    <w:rsid w:val="00C85BCC"/>
    <w:rsid w:val="00C8608F"/>
    <w:rsid w:val="00C86272"/>
    <w:rsid w:val="00C8635F"/>
    <w:rsid w:val="00C86736"/>
    <w:rsid w:val="00C868F2"/>
    <w:rsid w:val="00C86BE5"/>
    <w:rsid w:val="00C8713A"/>
    <w:rsid w:val="00C87304"/>
    <w:rsid w:val="00C875E2"/>
    <w:rsid w:val="00C87F5C"/>
    <w:rsid w:val="00C87F62"/>
    <w:rsid w:val="00C87FCC"/>
    <w:rsid w:val="00C905EA"/>
    <w:rsid w:val="00C9076C"/>
    <w:rsid w:val="00C90958"/>
    <w:rsid w:val="00C90AAB"/>
    <w:rsid w:val="00C90C94"/>
    <w:rsid w:val="00C90CAE"/>
    <w:rsid w:val="00C910B6"/>
    <w:rsid w:val="00C9152F"/>
    <w:rsid w:val="00C915DB"/>
    <w:rsid w:val="00C9169F"/>
    <w:rsid w:val="00C917C1"/>
    <w:rsid w:val="00C917E2"/>
    <w:rsid w:val="00C91B67"/>
    <w:rsid w:val="00C91BCB"/>
    <w:rsid w:val="00C92553"/>
    <w:rsid w:val="00C9293A"/>
    <w:rsid w:val="00C92A03"/>
    <w:rsid w:val="00C92E3F"/>
    <w:rsid w:val="00C92F8A"/>
    <w:rsid w:val="00C932B5"/>
    <w:rsid w:val="00C93508"/>
    <w:rsid w:val="00C935C2"/>
    <w:rsid w:val="00C936D1"/>
    <w:rsid w:val="00C93F21"/>
    <w:rsid w:val="00C94247"/>
    <w:rsid w:val="00C943E8"/>
    <w:rsid w:val="00C9462B"/>
    <w:rsid w:val="00C9469E"/>
    <w:rsid w:val="00C9487D"/>
    <w:rsid w:val="00C94B46"/>
    <w:rsid w:val="00C94C2D"/>
    <w:rsid w:val="00C9514A"/>
    <w:rsid w:val="00C952C5"/>
    <w:rsid w:val="00C9539A"/>
    <w:rsid w:val="00C9547B"/>
    <w:rsid w:val="00C957D5"/>
    <w:rsid w:val="00C95810"/>
    <w:rsid w:val="00C95E48"/>
    <w:rsid w:val="00C962C6"/>
    <w:rsid w:val="00C9670A"/>
    <w:rsid w:val="00C968AB"/>
    <w:rsid w:val="00C96B42"/>
    <w:rsid w:val="00C96F51"/>
    <w:rsid w:val="00C97032"/>
    <w:rsid w:val="00C97053"/>
    <w:rsid w:val="00C9721E"/>
    <w:rsid w:val="00C9730E"/>
    <w:rsid w:val="00C974D2"/>
    <w:rsid w:val="00C9750D"/>
    <w:rsid w:val="00CA02DE"/>
    <w:rsid w:val="00CA04AF"/>
    <w:rsid w:val="00CA061D"/>
    <w:rsid w:val="00CA06C7"/>
    <w:rsid w:val="00CA06DE"/>
    <w:rsid w:val="00CA07DB"/>
    <w:rsid w:val="00CA1028"/>
    <w:rsid w:val="00CA109C"/>
    <w:rsid w:val="00CA1393"/>
    <w:rsid w:val="00CA1699"/>
    <w:rsid w:val="00CA1C77"/>
    <w:rsid w:val="00CA211C"/>
    <w:rsid w:val="00CA26F2"/>
    <w:rsid w:val="00CA2702"/>
    <w:rsid w:val="00CA2ECD"/>
    <w:rsid w:val="00CA3DBF"/>
    <w:rsid w:val="00CA41E6"/>
    <w:rsid w:val="00CA427D"/>
    <w:rsid w:val="00CA46CF"/>
    <w:rsid w:val="00CA4E98"/>
    <w:rsid w:val="00CA4F3E"/>
    <w:rsid w:val="00CA5082"/>
    <w:rsid w:val="00CA529C"/>
    <w:rsid w:val="00CA5595"/>
    <w:rsid w:val="00CA5B4D"/>
    <w:rsid w:val="00CA5CE6"/>
    <w:rsid w:val="00CA6087"/>
    <w:rsid w:val="00CA62F6"/>
    <w:rsid w:val="00CA6377"/>
    <w:rsid w:val="00CA6472"/>
    <w:rsid w:val="00CA652F"/>
    <w:rsid w:val="00CA67F2"/>
    <w:rsid w:val="00CA68F3"/>
    <w:rsid w:val="00CA6C05"/>
    <w:rsid w:val="00CA6E91"/>
    <w:rsid w:val="00CA769B"/>
    <w:rsid w:val="00CA7A5A"/>
    <w:rsid w:val="00CA7B4F"/>
    <w:rsid w:val="00CA7BAE"/>
    <w:rsid w:val="00CA7F1E"/>
    <w:rsid w:val="00CB02A3"/>
    <w:rsid w:val="00CB049C"/>
    <w:rsid w:val="00CB065A"/>
    <w:rsid w:val="00CB07DD"/>
    <w:rsid w:val="00CB0990"/>
    <w:rsid w:val="00CB0E22"/>
    <w:rsid w:val="00CB0ECD"/>
    <w:rsid w:val="00CB0F08"/>
    <w:rsid w:val="00CB11C6"/>
    <w:rsid w:val="00CB11E8"/>
    <w:rsid w:val="00CB13D3"/>
    <w:rsid w:val="00CB1511"/>
    <w:rsid w:val="00CB18CA"/>
    <w:rsid w:val="00CB1970"/>
    <w:rsid w:val="00CB1D6F"/>
    <w:rsid w:val="00CB1FB3"/>
    <w:rsid w:val="00CB2322"/>
    <w:rsid w:val="00CB28E3"/>
    <w:rsid w:val="00CB347A"/>
    <w:rsid w:val="00CB37BA"/>
    <w:rsid w:val="00CB3AE0"/>
    <w:rsid w:val="00CB3B14"/>
    <w:rsid w:val="00CB4E7F"/>
    <w:rsid w:val="00CB4EEB"/>
    <w:rsid w:val="00CB5047"/>
    <w:rsid w:val="00CB5347"/>
    <w:rsid w:val="00CB540D"/>
    <w:rsid w:val="00CB54D3"/>
    <w:rsid w:val="00CB5E89"/>
    <w:rsid w:val="00CB5EDD"/>
    <w:rsid w:val="00CB6557"/>
    <w:rsid w:val="00CB6E5C"/>
    <w:rsid w:val="00CB737E"/>
    <w:rsid w:val="00CB754C"/>
    <w:rsid w:val="00CB77EF"/>
    <w:rsid w:val="00CB7F04"/>
    <w:rsid w:val="00CC0203"/>
    <w:rsid w:val="00CC03DE"/>
    <w:rsid w:val="00CC0412"/>
    <w:rsid w:val="00CC0FDF"/>
    <w:rsid w:val="00CC17BA"/>
    <w:rsid w:val="00CC1807"/>
    <w:rsid w:val="00CC1B38"/>
    <w:rsid w:val="00CC1BB8"/>
    <w:rsid w:val="00CC1E70"/>
    <w:rsid w:val="00CC1FFD"/>
    <w:rsid w:val="00CC225A"/>
    <w:rsid w:val="00CC2A10"/>
    <w:rsid w:val="00CC2AEB"/>
    <w:rsid w:val="00CC2CFD"/>
    <w:rsid w:val="00CC3250"/>
    <w:rsid w:val="00CC32E5"/>
    <w:rsid w:val="00CC33E5"/>
    <w:rsid w:val="00CC35D6"/>
    <w:rsid w:val="00CC3A87"/>
    <w:rsid w:val="00CC3C33"/>
    <w:rsid w:val="00CC3CBC"/>
    <w:rsid w:val="00CC3E1B"/>
    <w:rsid w:val="00CC41E4"/>
    <w:rsid w:val="00CC4494"/>
    <w:rsid w:val="00CC453C"/>
    <w:rsid w:val="00CC4555"/>
    <w:rsid w:val="00CC492A"/>
    <w:rsid w:val="00CC4945"/>
    <w:rsid w:val="00CC4E2F"/>
    <w:rsid w:val="00CC4E71"/>
    <w:rsid w:val="00CC55A4"/>
    <w:rsid w:val="00CC5AA0"/>
    <w:rsid w:val="00CC5E18"/>
    <w:rsid w:val="00CC61A5"/>
    <w:rsid w:val="00CC6427"/>
    <w:rsid w:val="00CC697C"/>
    <w:rsid w:val="00CC7103"/>
    <w:rsid w:val="00CC711F"/>
    <w:rsid w:val="00CC73B4"/>
    <w:rsid w:val="00CC741D"/>
    <w:rsid w:val="00CC7BDE"/>
    <w:rsid w:val="00CC7C18"/>
    <w:rsid w:val="00CD0114"/>
    <w:rsid w:val="00CD031D"/>
    <w:rsid w:val="00CD051D"/>
    <w:rsid w:val="00CD0EBB"/>
    <w:rsid w:val="00CD10E9"/>
    <w:rsid w:val="00CD1112"/>
    <w:rsid w:val="00CD12B0"/>
    <w:rsid w:val="00CD1514"/>
    <w:rsid w:val="00CD182A"/>
    <w:rsid w:val="00CD1E52"/>
    <w:rsid w:val="00CD1EFB"/>
    <w:rsid w:val="00CD1F7B"/>
    <w:rsid w:val="00CD2464"/>
    <w:rsid w:val="00CD24CF"/>
    <w:rsid w:val="00CD2648"/>
    <w:rsid w:val="00CD2D30"/>
    <w:rsid w:val="00CD2F3A"/>
    <w:rsid w:val="00CD3033"/>
    <w:rsid w:val="00CD32CB"/>
    <w:rsid w:val="00CD3745"/>
    <w:rsid w:val="00CD3763"/>
    <w:rsid w:val="00CD37AF"/>
    <w:rsid w:val="00CD39AD"/>
    <w:rsid w:val="00CD3C07"/>
    <w:rsid w:val="00CD4058"/>
    <w:rsid w:val="00CD47DF"/>
    <w:rsid w:val="00CD48E3"/>
    <w:rsid w:val="00CD48EE"/>
    <w:rsid w:val="00CD4CFA"/>
    <w:rsid w:val="00CD576D"/>
    <w:rsid w:val="00CD5794"/>
    <w:rsid w:val="00CD5833"/>
    <w:rsid w:val="00CD594A"/>
    <w:rsid w:val="00CD62F4"/>
    <w:rsid w:val="00CD630E"/>
    <w:rsid w:val="00CD6769"/>
    <w:rsid w:val="00CD68CE"/>
    <w:rsid w:val="00CD68FD"/>
    <w:rsid w:val="00CD69D6"/>
    <w:rsid w:val="00CD6A42"/>
    <w:rsid w:val="00CD6A75"/>
    <w:rsid w:val="00CD6C4A"/>
    <w:rsid w:val="00CD6CDF"/>
    <w:rsid w:val="00CD6F2F"/>
    <w:rsid w:val="00CD790C"/>
    <w:rsid w:val="00CD799A"/>
    <w:rsid w:val="00CD7A1D"/>
    <w:rsid w:val="00CD7D8B"/>
    <w:rsid w:val="00CD7E78"/>
    <w:rsid w:val="00CD7F4F"/>
    <w:rsid w:val="00CE0691"/>
    <w:rsid w:val="00CE09AA"/>
    <w:rsid w:val="00CE0DDF"/>
    <w:rsid w:val="00CE12E2"/>
    <w:rsid w:val="00CE1403"/>
    <w:rsid w:val="00CE1577"/>
    <w:rsid w:val="00CE1842"/>
    <w:rsid w:val="00CE1A87"/>
    <w:rsid w:val="00CE1F1D"/>
    <w:rsid w:val="00CE1F9C"/>
    <w:rsid w:val="00CE205E"/>
    <w:rsid w:val="00CE2753"/>
    <w:rsid w:val="00CE292A"/>
    <w:rsid w:val="00CE2D1B"/>
    <w:rsid w:val="00CE3298"/>
    <w:rsid w:val="00CE352E"/>
    <w:rsid w:val="00CE3671"/>
    <w:rsid w:val="00CE3A47"/>
    <w:rsid w:val="00CE4673"/>
    <w:rsid w:val="00CE49EC"/>
    <w:rsid w:val="00CE4A53"/>
    <w:rsid w:val="00CE4AC2"/>
    <w:rsid w:val="00CE5054"/>
    <w:rsid w:val="00CE5445"/>
    <w:rsid w:val="00CE55B2"/>
    <w:rsid w:val="00CE571F"/>
    <w:rsid w:val="00CE593C"/>
    <w:rsid w:val="00CE5B74"/>
    <w:rsid w:val="00CE60E3"/>
    <w:rsid w:val="00CE61B4"/>
    <w:rsid w:val="00CE6592"/>
    <w:rsid w:val="00CE6699"/>
    <w:rsid w:val="00CE68A8"/>
    <w:rsid w:val="00CE7295"/>
    <w:rsid w:val="00CE73FA"/>
    <w:rsid w:val="00CE7590"/>
    <w:rsid w:val="00CE7D2D"/>
    <w:rsid w:val="00CF0131"/>
    <w:rsid w:val="00CF018F"/>
    <w:rsid w:val="00CF08E2"/>
    <w:rsid w:val="00CF0C26"/>
    <w:rsid w:val="00CF0C5F"/>
    <w:rsid w:val="00CF10AD"/>
    <w:rsid w:val="00CF12E5"/>
    <w:rsid w:val="00CF13D3"/>
    <w:rsid w:val="00CF14BB"/>
    <w:rsid w:val="00CF16B1"/>
    <w:rsid w:val="00CF183A"/>
    <w:rsid w:val="00CF1AB2"/>
    <w:rsid w:val="00CF1ABF"/>
    <w:rsid w:val="00CF21E5"/>
    <w:rsid w:val="00CF255A"/>
    <w:rsid w:val="00CF28BB"/>
    <w:rsid w:val="00CF2A69"/>
    <w:rsid w:val="00CF2A8D"/>
    <w:rsid w:val="00CF2BFB"/>
    <w:rsid w:val="00CF2F8A"/>
    <w:rsid w:val="00CF323A"/>
    <w:rsid w:val="00CF32C2"/>
    <w:rsid w:val="00CF334F"/>
    <w:rsid w:val="00CF3B16"/>
    <w:rsid w:val="00CF3BFF"/>
    <w:rsid w:val="00CF3F44"/>
    <w:rsid w:val="00CF3F68"/>
    <w:rsid w:val="00CF3FEE"/>
    <w:rsid w:val="00CF42D2"/>
    <w:rsid w:val="00CF4530"/>
    <w:rsid w:val="00CF467D"/>
    <w:rsid w:val="00CF4BC1"/>
    <w:rsid w:val="00CF4CF4"/>
    <w:rsid w:val="00CF4E91"/>
    <w:rsid w:val="00CF52BD"/>
    <w:rsid w:val="00CF5874"/>
    <w:rsid w:val="00CF5E4C"/>
    <w:rsid w:val="00CF6291"/>
    <w:rsid w:val="00CF62D0"/>
    <w:rsid w:val="00CF64F5"/>
    <w:rsid w:val="00CF6938"/>
    <w:rsid w:val="00CF6AE8"/>
    <w:rsid w:val="00CF6CA0"/>
    <w:rsid w:val="00CF7420"/>
    <w:rsid w:val="00CF7509"/>
    <w:rsid w:val="00CF76BC"/>
    <w:rsid w:val="00CF76BF"/>
    <w:rsid w:val="00D0039F"/>
    <w:rsid w:val="00D00490"/>
    <w:rsid w:val="00D00792"/>
    <w:rsid w:val="00D00B95"/>
    <w:rsid w:val="00D00E00"/>
    <w:rsid w:val="00D00E87"/>
    <w:rsid w:val="00D011A2"/>
    <w:rsid w:val="00D01685"/>
    <w:rsid w:val="00D01B16"/>
    <w:rsid w:val="00D01E08"/>
    <w:rsid w:val="00D01E75"/>
    <w:rsid w:val="00D023D6"/>
    <w:rsid w:val="00D025A1"/>
    <w:rsid w:val="00D02795"/>
    <w:rsid w:val="00D03902"/>
    <w:rsid w:val="00D0395F"/>
    <w:rsid w:val="00D03A0B"/>
    <w:rsid w:val="00D03B3F"/>
    <w:rsid w:val="00D03ECF"/>
    <w:rsid w:val="00D04040"/>
    <w:rsid w:val="00D04057"/>
    <w:rsid w:val="00D040A8"/>
    <w:rsid w:val="00D04136"/>
    <w:rsid w:val="00D04298"/>
    <w:rsid w:val="00D0440A"/>
    <w:rsid w:val="00D04756"/>
    <w:rsid w:val="00D04830"/>
    <w:rsid w:val="00D04D5F"/>
    <w:rsid w:val="00D04F88"/>
    <w:rsid w:val="00D05321"/>
    <w:rsid w:val="00D058B0"/>
    <w:rsid w:val="00D05AA0"/>
    <w:rsid w:val="00D068EA"/>
    <w:rsid w:val="00D068FB"/>
    <w:rsid w:val="00D068FE"/>
    <w:rsid w:val="00D06B7E"/>
    <w:rsid w:val="00D06E8F"/>
    <w:rsid w:val="00D072F5"/>
    <w:rsid w:val="00D07476"/>
    <w:rsid w:val="00D074E3"/>
    <w:rsid w:val="00D07539"/>
    <w:rsid w:val="00D0767C"/>
    <w:rsid w:val="00D077C4"/>
    <w:rsid w:val="00D07C77"/>
    <w:rsid w:val="00D07E17"/>
    <w:rsid w:val="00D07FBE"/>
    <w:rsid w:val="00D1022A"/>
    <w:rsid w:val="00D10526"/>
    <w:rsid w:val="00D10918"/>
    <w:rsid w:val="00D10B4D"/>
    <w:rsid w:val="00D10C88"/>
    <w:rsid w:val="00D10D38"/>
    <w:rsid w:val="00D11142"/>
    <w:rsid w:val="00D11209"/>
    <w:rsid w:val="00D121D9"/>
    <w:rsid w:val="00D1228B"/>
    <w:rsid w:val="00D1239C"/>
    <w:rsid w:val="00D127AC"/>
    <w:rsid w:val="00D127E1"/>
    <w:rsid w:val="00D1282B"/>
    <w:rsid w:val="00D12A0E"/>
    <w:rsid w:val="00D12AFF"/>
    <w:rsid w:val="00D12CA3"/>
    <w:rsid w:val="00D13242"/>
    <w:rsid w:val="00D13463"/>
    <w:rsid w:val="00D134D1"/>
    <w:rsid w:val="00D137DD"/>
    <w:rsid w:val="00D13B4A"/>
    <w:rsid w:val="00D13C5E"/>
    <w:rsid w:val="00D13D20"/>
    <w:rsid w:val="00D13F3C"/>
    <w:rsid w:val="00D14080"/>
    <w:rsid w:val="00D1417A"/>
    <w:rsid w:val="00D1424E"/>
    <w:rsid w:val="00D14365"/>
    <w:rsid w:val="00D14580"/>
    <w:rsid w:val="00D14815"/>
    <w:rsid w:val="00D14DC0"/>
    <w:rsid w:val="00D1548C"/>
    <w:rsid w:val="00D1560C"/>
    <w:rsid w:val="00D158BB"/>
    <w:rsid w:val="00D15E42"/>
    <w:rsid w:val="00D160A8"/>
    <w:rsid w:val="00D16699"/>
    <w:rsid w:val="00D166AC"/>
    <w:rsid w:val="00D1674A"/>
    <w:rsid w:val="00D16B81"/>
    <w:rsid w:val="00D17731"/>
    <w:rsid w:val="00D17DEC"/>
    <w:rsid w:val="00D17E41"/>
    <w:rsid w:val="00D17F14"/>
    <w:rsid w:val="00D17F2A"/>
    <w:rsid w:val="00D2001E"/>
    <w:rsid w:val="00D20269"/>
    <w:rsid w:val="00D20575"/>
    <w:rsid w:val="00D2077C"/>
    <w:rsid w:val="00D207DC"/>
    <w:rsid w:val="00D20FF7"/>
    <w:rsid w:val="00D212ED"/>
    <w:rsid w:val="00D21341"/>
    <w:rsid w:val="00D214F2"/>
    <w:rsid w:val="00D2180B"/>
    <w:rsid w:val="00D218AD"/>
    <w:rsid w:val="00D21F55"/>
    <w:rsid w:val="00D222FD"/>
    <w:rsid w:val="00D22672"/>
    <w:rsid w:val="00D22678"/>
    <w:rsid w:val="00D22C8E"/>
    <w:rsid w:val="00D22E63"/>
    <w:rsid w:val="00D230E2"/>
    <w:rsid w:val="00D2334A"/>
    <w:rsid w:val="00D2371E"/>
    <w:rsid w:val="00D23EE9"/>
    <w:rsid w:val="00D23FB0"/>
    <w:rsid w:val="00D24019"/>
    <w:rsid w:val="00D24637"/>
    <w:rsid w:val="00D246EF"/>
    <w:rsid w:val="00D24794"/>
    <w:rsid w:val="00D24B55"/>
    <w:rsid w:val="00D24D9F"/>
    <w:rsid w:val="00D251B9"/>
    <w:rsid w:val="00D2577D"/>
    <w:rsid w:val="00D25793"/>
    <w:rsid w:val="00D25805"/>
    <w:rsid w:val="00D25D3F"/>
    <w:rsid w:val="00D25FCA"/>
    <w:rsid w:val="00D26D05"/>
    <w:rsid w:val="00D26E18"/>
    <w:rsid w:val="00D26E6B"/>
    <w:rsid w:val="00D271DC"/>
    <w:rsid w:val="00D27617"/>
    <w:rsid w:val="00D2762B"/>
    <w:rsid w:val="00D27678"/>
    <w:rsid w:val="00D279BC"/>
    <w:rsid w:val="00D27A57"/>
    <w:rsid w:val="00D27E7D"/>
    <w:rsid w:val="00D300A7"/>
    <w:rsid w:val="00D3027A"/>
    <w:rsid w:val="00D3030B"/>
    <w:rsid w:val="00D307C4"/>
    <w:rsid w:val="00D3088A"/>
    <w:rsid w:val="00D309AF"/>
    <w:rsid w:val="00D30D0A"/>
    <w:rsid w:val="00D30F27"/>
    <w:rsid w:val="00D30FF1"/>
    <w:rsid w:val="00D310E7"/>
    <w:rsid w:val="00D3123F"/>
    <w:rsid w:val="00D3133B"/>
    <w:rsid w:val="00D31445"/>
    <w:rsid w:val="00D31569"/>
    <w:rsid w:val="00D31B2B"/>
    <w:rsid w:val="00D31DBD"/>
    <w:rsid w:val="00D322AF"/>
    <w:rsid w:val="00D32345"/>
    <w:rsid w:val="00D32939"/>
    <w:rsid w:val="00D32B5E"/>
    <w:rsid w:val="00D32E82"/>
    <w:rsid w:val="00D32F71"/>
    <w:rsid w:val="00D3305E"/>
    <w:rsid w:val="00D33599"/>
    <w:rsid w:val="00D33AEA"/>
    <w:rsid w:val="00D33C02"/>
    <w:rsid w:val="00D34253"/>
    <w:rsid w:val="00D343F5"/>
    <w:rsid w:val="00D34417"/>
    <w:rsid w:val="00D346AE"/>
    <w:rsid w:val="00D34C25"/>
    <w:rsid w:val="00D35071"/>
    <w:rsid w:val="00D3515E"/>
    <w:rsid w:val="00D354BA"/>
    <w:rsid w:val="00D354BE"/>
    <w:rsid w:val="00D3553D"/>
    <w:rsid w:val="00D355A0"/>
    <w:rsid w:val="00D355D4"/>
    <w:rsid w:val="00D358BC"/>
    <w:rsid w:val="00D35B1C"/>
    <w:rsid w:val="00D35E15"/>
    <w:rsid w:val="00D35F6C"/>
    <w:rsid w:val="00D36014"/>
    <w:rsid w:val="00D3601C"/>
    <w:rsid w:val="00D3716F"/>
    <w:rsid w:val="00D3738D"/>
    <w:rsid w:val="00D403CB"/>
    <w:rsid w:val="00D404B3"/>
    <w:rsid w:val="00D4061B"/>
    <w:rsid w:val="00D40831"/>
    <w:rsid w:val="00D40E02"/>
    <w:rsid w:val="00D41134"/>
    <w:rsid w:val="00D41644"/>
    <w:rsid w:val="00D417AF"/>
    <w:rsid w:val="00D41897"/>
    <w:rsid w:val="00D41B46"/>
    <w:rsid w:val="00D41C58"/>
    <w:rsid w:val="00D41F21"/>
    <w:rsid w:val="00D423F9"/>
    <w:rsid w:val="00D42623"/>
    <w:rsid w:val="00D42989"/>
    <w:rsid w:val="00D42A0E"/>
    <w:rsid w:val="00D42AF1"/>
    <w:rsid w:val="00D42D7B"/>
    <w:rsid w:val="00D43DDC"/>
    <w:rsid w:val="00D43F82"/>
    <w:rsid w:val="00D44380"/>
    <w:rsid w:val="00D4441E"/>
    <w:rsid w:val="00D44492"/>
    <w:rsid w:val="00D4458A"/>
    <w:rsid w:val="00D445A3"/>
    <w:rsid w:val="00D44635"/>
    <w:rsid w:val="00D4471E"/>
    <w:rsid w:val="00D44BB3"/>
    <w:rsid w:val="00D44C1A"/>
    <w:rsid w:val="00D44E49"/>
    <w:rsid w:val="00D44E58"/>
    <w:rsid w:val="00D44FF2"/>
    <w:rsid w:val="00D45224"/>
    <w:rsid w:val="00D4583B"/>
    <w:rsid w:val="00D45C4C"/>
    <w:rsid w:val="00D45D9E"/>
    <w:rsid w:val="00D4647E"/>
    <w:rsid w:val="00D46C32"/>
    <w:rsid w:val="00D46E47"/>
    <w:rsid w:val="00D4749C"/>
    <w:rsid w:val="00D4764F"/>
    <w:rsid w:val="00D47682"/>
    <w:rsid w:val="00D4791A"/>
    <w:rsid w:val="00D47D21"/>
    <w:rsid w:val="00D47D71"/>
    <w:rsid w:val="00D47DF3"/>
    <w:rsid w:val="00D47F5F"/>
    <w:rsid w:val="00D5044B"/>
    <w:rsid w:val="00D50545"/>
    <w:rsid w:val="00D50824"/>
    <w:rsid w:val="00D50D20"/>
    <w:rsid w:val="00D50D25"/>
    <w:rsid w:val="00D510F5"/>
    <w:rsid w:val="00D514DB"/>
    <w:rsid w:val="00D5160F"/>
    <w:rsid w:val="00D51A7D"/>
    <w:rsid w:val="00D51D27"/>
    <w:rsid w:val="00D527A1"/>
    <w:rsid w:val="00D529D2"/>
    <w:rsid w:val="00D529F6"/>
    <w:rsid w:val="00D52D78"/>
    <w:rsid w:val="00D52E93"/>
    <w:rsid w:val="00D535E2"/>
    <w:rsid w:val="00D53797"/>
    <w:rsid w:val="00D537A8"/>
    <w:rsid w:val="00D5421F"/>
    <w:rsid w:val="00D546DF"/>
    <w:rsid w:val="00D54B12"/>
    <w:rsid w:val="00D54F45"/>
    <w:rsid w:val="00D54F86"/>
    <w:rsid w:val="00D5506B"/>
    <w:rsid w:val="00D552D8"/>
    <w:rsid w:val="00D557FB"/>
    <w:rsid w:val="00D55CF3"/>
    <w:rsid w:val="00D5607C"/>
    <w:rsid w:val="00D56139"/>
    <w:rsid w:val="00D56C6E"/>
    <w:rsid w:val="00D56D8A"/>
    <w:rsid w:val="00D56E16"/>
    <w:rsid w:val="00D60031"/>
    <w:rsid w:val="00D601E8"/>
    <w:rsid w:val="00D60447"/>
    <w:rsid w:val="00D60B0C"/>
    <w:rsid w:val="00D60CD0"/>
    <w:rsid w:val="00D6112B"/>
    <w:rsid w:val="00D61254"/>
    <w:rsid w:val="00D61964"/>
    <w:rsid w:val="00D61E12"/>
    <w:rsid w:val="00D61EEA"/>
    <w:rsid w:val="00D61FE5"/>
    <w:rsid w:val="00D62632"/>
    <w:rsid w:val="00D62757"/>
    <w:rsid w:val="00D62ACF"/>
    <w:rsid w:val="00D62CBF"/>
    <w:rsid w:val="00D62DD1"/>
    <w:rsid w:val="00D62E1D"/>
    <w:rsid w:val="00D62FE2"/>
    <w:rsid w:val="00D63015"/>
    <w:rsid w:val="00D63744"/>
    <w:rsid w:val="00D63F32"/>
    <w:rsid w:val="00D64025"/>
    <w:rsid w:val="00D64033"/>
    <w:rsid w:val="00D64302"/>
    <w:rsid w:val="00D64543"/>
    <w:rsid w:val="00D64682"/>
    <w:rsid w:val="00D64744"/>
    <w:rsid w:val="00D64950"/>
    <w:rsid w:val="00D64972"/>
    <w:rsid w:val="00D64A76"/>
    <w:rsid w:val="00D64B61"/>
    <w:rsid w:val="00D6502B"/>
    <w:rsid w:val="00D65208"/>
    <w:rsid w:val="00D65273"/>
    <w:rsid w:val="00D6541C"/>
    <w:rsid w:val="00D6579A"/>
    <w:rsid w:val="00D6594B"/>
    <w:rsid w:val="00D659AE"/>
    <w:rsid w:val="00D65D6B"/>
    <w:rsid w:val="00D65E38"/>
    <w:rsid w:val="00D66A00"/>
    <w:rsid w:val="00D66FF5"/>
    <w:rsid w:val="00D67097"/>
    <w:rsid w:val="00D671FE"/>
    <w:rsid w:val="00D67B71"/>
    <w:rsid w:val="00D67D26"/>
    <w:rsid w:val="00D67D75"/>
    <w:rsid w:val="00D67D86"/>
    <w:rsid w:val="00D7017D"/>
    <w:rsid w:val="00D702B5"/>
    <w:rsid w:val="00D70517"/>
    <w:rsid w:val="00D70A2F"/>
    <w:rsid w:val="00D70CA1"/>
    <w:rsid w:val="00D70E79"/>
    <w:rsid w:val="00D70F7B"/>
    <w:rsid w:val="00D71045"/>
    <w:rsid w:val="00D71134"/>
    <w:rsid w:val="00D71156"/>
    <w:rsid w:val="00D714CC"/>
    <w:rsid w:val="00D717CC"/>
    <w:rsid w:val="00D71A42"/>
    <w:rsid w:val="00D71D28"/>
    <w:rsid w:val="00D71E34"/>
    <w:rsid w:val="00D7255E"/>
    <w:rsid w:val="00D7267E"/>
    <w:rsid w:val="00D7269F"/>
    <w:rsid w:val="00D726F8"/>
    <w:rsid w:val="00D72C71"/>
    <w:rsid w:val="00D72D1D"/>
    <w:rsid w:val="00D72E74"/>
    <w:rsid w:val="00D72F83"/>
    <w:rsid w:val="00D73393"/>
    <w:rsid w:val="00D73712"/>
    <w:rsid w:val="00D7379E"/>
    <w:rsid w:val="00D73908"/>
    <w:rsid w:val="00D73B56"/>
    <w:rsid w:val="00D73E2E"/>
    <w:rsid w:val="00D740CB"/>
    <w:rsid w:val="00D74163"/>
    <w:rsid w:val="00D744F1"/>
    <w:rsid w:val="00D745BF"/>
    <w:rsid w:val="00D74742"/>
    <w:rsid w:val="00D74AB7"/>
    <w:rsid w:val="00D74B56"/>
    <w:rsid w:val="00D7533A"/>
    <w:rsid w:val="00D753CF"/>
    <w:rsid w:val="00D75C37"/>
    <w:rsid w:val="00D75D71"/>
    <w:rsid w:val="00D763AD"/>
    <w:rsid w:val="00D7661B"/>
    <w:rsid w:val="00D7697F"/>
    <w:rsid w:val="00D76BCF"/>
    <w:rsid w:val="00D76CEE"/>
    <w:rsid w:val="00D76F1E"/>
    <w:rsid w:val="00D770BF"/>
    <w:rsid w:val="00D77341"/>
    <w:rsid w:val="00D77350"/>
    <w:rsid w:val="00D776ED"/>
    <w:rsid w:val="00D777F0"/>
    <w:rsid w:val="00D77D69"/>
    <w:rsid w:val="00D80741"/>
    <w:rsid w:val="00D80BDA"/>
    <w:rsid w:val="00D80FBB"/>
    <w:rsid w:val="00D810A8"/>
    <w:rsid w:val="00D81143"/>
    <w:rsid w:val="00D81618"/>
    <w:rsid w:val="00D817D1"/>
    <w:rsid w:val="00D818FA"/>
    <w:rsid w:val="00D81B71"/>
    <w:rsid w:val="00D81E36"/>
    <w:rsid w:val="00D81F64"/>
    <w:rsid w:val="00D82724"/>
    <w:rsid w:val="00D827A5"/>
    <w:rsid w:val="00D83224"/>
    <w:rsid w:val="00D83977"/>
    <w:rsid w:val="00D83ACD"/>
    <w:rsid w:val="00D83BB6"/>
    <w:rsid w:val="00D83D30"/>
    <w:rsid w:val="00D83F15"/>
    <w:rsid w:val="00D84050"/>
    <w:rsid w:val="00D8426F"/>
    <w:rsid w:val="00D844A0"/>
    <w:rsid w:val="00D84E4E"/>
    <w:rsid w:val="00D8511B"/>
    <w:rsid w:val="00D85226"/>
    <w:rsid w:val="00D853B6"/>
    <w:rsid w:val="00D8549E"/>
    <w:rsid w:val="00D85B79"/>
    <w:rsid w:val="00D85BC1"/>
    <w:rsid w:val="00D85D70"/>
    <w:rsid w:val="00D8697F"/>
    <w:rsid w:val="00D86B33"/>
    <w:rsid w:val="00D86C59"/>
    <w:rsid w:val="00D86E38"/>
    <w:rsid w:val="00D86E65"/>
    <w:rsid w:val="00D86EF6"/>
    <w:rsid w:val="00D87083"/>
    <w:rsid w:val="00D870AF"/>
    <w:rsid w:val="00D87410"/>
    <w:rsid w:val="00D87E15"/>
    <w:rsid w:val="00D90427"/>
    <w:rsid w:val="00D907C4"/>
    <w:rsid w:val="00D90852"/>
    <w:rsid w:val="00D90C4C"/>
    <w:rsid w:val="00D90C99"/>
    <w:rsid w:val="00D90CE2"/>
    <w:rsid w:val="00D90F84"/>
    <w:rsid w:val="00D91230"/>
    <w:rsid w:val="00D91313"/>
    <w:rsid w:val="00D9132E"/>
    <w:rsid w:val="00D9318C"/>
    <w:rsid w:val="00D93198"/>
    <w:rsid w:val="00D9332A"/>
    <w:rsid w:val="00D9343C"/>
    <w:rsid w:val="00D93B48"/>
    <w:rsid w:val="00D93DD6"/>
    <w:rsid w:val="00D93F8C"/>
    <w:rsid w:val="00D94075"/>
    <w:rsid w:val="00D94447"/>
    <w:rsid w:val="00D945A0"/>
    <w:rsid w:val="00D94BB3"/>
    <w:rsid w:val="00D94C99"/>
    <w:rsid w:val="00D94F81"/>
    <w:rsid w:val="00D95614"/>
    <w:rsid w:val="00D9561E"/>
    <w:rsid w:val="00D95723"/>
    <w:rsid w:val="00D95AF0"/>
    <w:rsid w:val="00D95E58"/>
    <w:rsid w:val="00D96401"/>
    <w:rsid w:val="00D968C7"/>
    <w:rsid w:val="00D97576"/>
    <w:rsid w:val="00D977CE"/>
    <w:rsid w:val="00D97F9E"/>
    <w:rsid w:val="00D97FE9"/>
    <w:rsid w:val="00DA007F"/>
    <w:rsid w:val="00DA00F8"/>
    <w:rsid w:val="00DA0D98"/>
    <w:rsid w:val="00DA0DA2"/>
    <w:rsid w:val="00DA0E2F"/>
    <w:rsid w:val="00DA0F47"/>
    <w:rsid w:val="00DA1066"/>
    <w:rsid w:val="00DA2573"/>
    <w:rsid w:val="00DA2BF2"/>
    <w:rsid w:val="00DA2CAA"/>
    <w:rsid w:val="00DA348E"/>
    <w:rsid w:val="00DA35FB"/>
    <w:rsid w:val="00DA3B52"/>
    <w:rsid w:val="00DA4432"/>
    <w:rsid w:val="00DA45C0"/>
    <w:rsid w:val="00DA4895"/>
    <w:rsid w:val="00DA4A00"/>
    <w:rsid w:val="00DA4ABB"/>
    <w:rsid w:val="00DA51B3"/>
    <w:rsid w:val="00DA5307"/>
    <w:rsid w:val="00DA58AC"/>
    <w:rsid w:val="00DA639D"/>
    <w:rsid w:val="00DA6793"/>
    <w:rsid w:val="00DA6A66"/>
    <w:rsid w:val="00DA6A73"/>
    <w:rsid w:val="00DA6B7D"/>
    <w:rsid w:val="00DA6BC4"/>
    <w:rsid w:val="00DA6EA5"/>
    <w:rsid w:val="00DA6F4C"/>
    <w:rsid w:val="00DA70F0"/>
    <w:rsid w:val="00DA7323"/>
    <w:rsid w:val="00DA7545"/>
    <w:rsid w:val="00DA78E4"/>
    <w:rsid w:val="00DA7AD9"/>
    <w:rsid w:val="00DB02BA"/>
    <w:rsid w:val="00DB0436"/>
    <w:rsid w:val="00DB048E"/>
    <w:rsid w:val="00DB057A"/>
    <w:rsid w:val="00DB0602"/>
    <w:rsid w:val="00DB06B3"/>
    <w:rsid w:val="00DB0BD6"/>
    <w:rsid w:val="00DB0E23"/>
    <w:rsid w:val="00DB10D3"/>
    <w:rsid w:val="00DB1500"/>
    <w:rsid w:val="00DB161C"/>
    <w:rsid w:val="00DB1BAA"/>
    <w:rsid w:val="00DB1D98"/>
    <w:rsid w:val="00DB1DDB"/>
    <w:rsid w:val="00DB209E"/>
    <w:rsid w:val="00DB20F5"/>
    <w:rsid w:val="00DB21A2"/>
    <w:rsid w:val="00DB2543"/>
    <w:rsid w:val="00DB2918"/>
    <w:rsid w:val="00DB293B"/>
    <w:rsid w:val="00DB2B1A"/>
    <w:rsid w:val="00DB2E9B"/>
    <w:rsid w:val="00DB3640"/>
    <w:rsid w:val="00DB36E8"/>
    <w:rsid w:val="00DB3C9E"/>
    <w:rsid w:val="00DB475A"/>
    <w:rsid w:val="00DB4B6E"/>
    <w:rsid w:val="00DB4BE4"/>
    <w:rsid w:val="00DB4D21"/>
    <w:rsid w:val="00DB5AD2"/>
    <w:rsid w:val="00DB603B"/>
    <w:rsid w:val="00DB612B"/>
    <w:rsid w:val="00DB63C6"/>
    <w:rsid w:val="00DB648A"/>
    <w:rsid w:val="00DB667E"/>
    <w:rsid w:val="00DB67CC"/>
    <w:rsid w:val="00DB6931"/>
    <w:rsid w:val="00DB6DD4"/>
    <w:rsid w:val="00DB714C"/>
    <w:rsid w:val="00DB71DF"/>
    <w:rsid w:val="00DB7321"/>
    <w:rsid w:val="00DB7552"/>
    <w:rsid w:val="00DB7591"/>
    <w:rsid w:val="00DB76F6"/>
    <w:rsid w:val="00DB7AD1"/>
    <w:rsid w:val="00DC0317"/>
    <w:rsid w:val="00DC0622"/>
    <w:rsid w:val="00DC079E"/>
    <w:rsid w:val="00DC07F7"/>
    <w:rsid w:val="00DC0832"/>
    <w:rsid w:val="00DC0838"/>
    <w:rsid w:val="00DC0AA4"/>
    <w:rsid w:val="00DC1129"/>
    <w:rsid w:val="00DC1371"/>
    <w:rsid w:val="00DC13A3"/>
    <w:rsid w:val="00DC13B0"/>
    <w:rsid w:val="00DC1A31"/>
    <w:rsid w:val="00DC1B98"/>
    <w:rsid w:val="00DC1DED"/>
    <w:rsid w:val="00DC2099"/>
    <w:rsid w:val="00DC2286"/>
    <w:rsid w:val="00DC23F0"/>
    <w:rsid w:val="00DC2412"/>
    <w:rsid w:val="00DC2B83"/>
    <w:rsid w:val="00DC2DCD"/>
    <w:rsid w:val="00DC2ED2"/>
    <w:rsid w:val="00DC2F33"/>
    <w:rsid w:val="00DC3255"/>
    <w:rsid w:val="00DC32F9"/>
    <w:rsid w:val="00DC33E4"/>
    <w:rsid w:val="00DC34AC"/>
    <w:rsid w:val="00DC4134"/>
    <w:rsid w:val="00DC4269"/>
    <w:rsid w:val="00DC4963"/>
    <w:rsid w:val="00DC4B3A"/>
    <w:rsid w:val="00DC4D70"/>
    <w:rsid w:val="00DC4E36"/>
    <w:rsid w:val="00DC5352"/>
    <w:rsid w:val="00DC5513"/>
    <w:rsid w:val="00DC56FC"/>
    <w:rsid w:val="00DC5D9E"/>
    <w:rsid w:val="00DC5F5A"/>
    <w:rsid w:val="00DC6299"/>
    <w:rsid w:val="00DC635D"/>
    <w:rsid w:val="00DC6424"/>
    <w:rsid w:val="00DC6829"/>
    <w:rsid w:val="00DC6CED"/>
    <w:rsid w:val="00DC731B"/>
    <w:rsid w:val="00DC7565"/>
    <w:rsid w:val="00DC7695"/>
    <w:rsid w:val="00DC79B6"/>
    <w:rsid w:val="00DC7A87"/>
    <w:rsid w:val="00DC7D45"/>
    <w:rsid w:val="00DC7E76"/>
    <w:rsid w:val="00DD015B"/>
    <w:rsid w:val="00DD048F"/>
    <w:rsid w:val="00DD06B8"/>
    <w:rsid w:val="00DD0AB8"/>
    <w:rsid w:val="00DD0E1E"/>
    <w:rsid w:val="00DD14E0"/>
    <w:rsid w:val="00DD19C4"/>
    <w:rsid w:val="00DD1C18"/>
    <w:rsid w:val="00DD2069"/>
    <w:rsid w:val="00DD225E"/>
    <w:rsid w:val="00DD2336"/>
    <w:rsid w:val="00DD2AD8"/>
    <w:rsid w:val="00DD3239"/>
    <w:rsid w:val="00DD341F"/>
    <w:rsid w:val="00DD3459"/>
    <w:rsid w:val="00DD3522"/>
    <w:rsid w:val="00DD36CC"/>
    <w:rsid w:val="00DD36DC"/>
    <w:rsid w:val="00DD392E"/>
    <w:rsid w:val="00DD39C7"/>
    <w:rsid w:val="00DD3B02"/>
    <w:rsid w:val="00DD413F"/>
    <w:rsid w:val="00DD452E"/>
    <w:rsid w:val="00DD4B52"/>
    <w:rsid w:val="00DD4C83"/>
    <w:rsid w:val="00DD4D3B"/>
    <w:rsid w:val="00DD57BF"/>
    <w:rsid w:val="00DD5939"/>
    <w:rsid w:val="00DD5943"/>
    <w:rsid w:val="00DD5A9E"/>
    <w:rsid w:val="00DD6401"/>
    <w:rsid w:val="00DD6B22"/>
    <w:rsid w:val="00DD7480"/>
    <w:rsid w:val="00DE01FE"/>
    <w:rsid w:val="00DE02DE"/>
    <w:rsid w:val="00DE0402"/>
    <w:rsid w:val="00DE068D"/>
    <w:rsid w:val="00DE07F9"/>
    <w:rsid w:val="00DE093C"/>
    <w:rsid w:val="00DE09A0"/>
    <w:rsid w:val="00DE0CF7"/>
    <w:rsid w:val="00DE0F3E"/>
    <w:rsid w:val="00DE1067"/>
    <w:rsid w:val="00DE1461"/>
    <w:rsid w:val="00DE16B0"/>
    <w:rsid w:val="00DE1B0F"/>
    <w:rsid w:val="00DE1C7B"/>
    <w:rsid w:val="00DE1CA1"/>
    <w:rsid w:val="00DE1CFE"/>
    <w:rsid w:val="00DE1E7E"/>
    <w:rsid w:val="00DE2350"/>
    <w:rsid w:val="00DE29F2"/>
    <w:rsid w:val="00DE3AD9"/>
    <w:rsid w:val="00DE3BF9"/>
    <w:rsid w:val="00DE4768"/>
    <w:rsid w:val="00DE4A50"/>
    <w:rsid w:val="00DE4E77"/>
    <w:rsid w:val="00DE5198"/>
    <w:rsid w:val="00DE53FA"/>
    <w:rsid w:val="00DE5514"/>
    <w:rsid w:val="00DE5AC7"/>
    <w:rsid w:val="00DE62D4"/>
    <w:rsid w:val="00DE6312"/>
    <w:rsid w:val="00DE653C"/>
    <w:rsid w:val="00DE66CF"/>
    <w:rsid w:val="00DE6780"/>
    <w:rsid w:val="00DE6806"/>
    <w:rsid w:val="00DE6BE2"/>
    <w:rsid w:val="00DE6CBB"/>
    <w:rsid w:val="00DE6D06"/>
    <w:rsid w:val="00DE6E87"/>
    <w:rsid w:val="00DE73CF"/>
    <w:rsid w:val="00DE75F8"/>
    <w:rsid w:val="00DE7843"/>
    <w:rsid w:val="00DE7ADF"/>
    <w:rsid w:val="00DE7C04"/>
    <w:rsid w:val="00DF0205"/>
    <w:rsid w:val="00DF03D2"/>
    <w:rsid w:val="00DF04B1"/>
    <w:rsid w:val="00DF06E6"/>
    <w:rsid w:val="00DF0907"/>
    <w:rsid w:val="00DF0A8B"/>
    <w:rsid w:val="00DF1028"/>
    <w:rsid w:val="00DF150A"/>
    <w:rsid w:val="00DF209C"/>
    <w:rsid w:val="00DF2C64"/>
    <w:rsid w:val="00DF2EB4"/>
    <w:rsid w:val="00DF36F8"/>
    <w:rsid w:val="00DF3B58"/>
    <w:rsid w:val="00DF3B97"/>
    <w:rsid w:val="00DF3DB2"/>
    <w:rsid w:val="00DF4B43"/>
    <w:rsid w:val="00DF4ED7"/>
    <w:rsid w:val="00DF4F44"/>
    <w:rsid w:val="00DF509F"/>
    <w:rsid w:val="00DF5232"/>
    <w:rsid w:val="00DF5367"/>
    <w:rsid w:val="00DF5D16"/>
    <w:rsid w:val="00DF5EAA"/>
    <w:rsid w:val="00DF61AA"/>
    <w:rsid w:val="00DF664A"/>
    <w:rsid w:val="00DF6804"/>
    <w:rsid w:val="00DF6A4A"/>
    <w:rsid w:val="00DF769C"/>
    <w:rsid w:val="00DF7A30"/>
    <w:rsid w:val="00DF7A58"/>
    <w:rsid w:val="00DF7C2E"/>
    <w:rsid w:val="00E001C0"/>
    <w:rsid w:val="00E00203"/>
    <w:rsid w:val="00E00419"/>
    <w:rsid w:val="00E00500"/>
    <w:rsid w:val="00E00538"/>
    <w:rsid w:val="00E0071F"/>
    <w:rsid w:val="00E00AC4"/>
    <w:rsid w:val="00E00C5D"/>
    <w:rsid w:val="00E00CB2"/>
    <w:rsid w:val="00E00DA0"/>
    <w:rsid w:val="00E00F09"/>
    <w:rsid w:val="00E00F4C"/>
    <w:rsid w:val="00E010E7"/>
    <w:rsid w:val="00E013A3"/>
    <w:rsid w:val="00E01805"/>
    <w:rsid w:val="00E01FAE"/>
    <w:rsid w:val="00E022E2"/>
    <w:rsid w:val="00E028DD"/>
    <w:rsid w:val="00E02E51"/>
    <w:rsid w:val="00E0335F"/>
    <w:rsid w:val="00E0366E"/>
    <w:rsid w:val="00E03687"/>
    <w:rsid w:val="00E037EA"/>
    <w:rsid w:val="00E03950"/>
    <w:rsid w:val="00E039CF"/>
    <w:rsid w:val="00E03C0C"/>
    <w:rsid w:val="00E041A8"/>
    <w:rsid w:val="00E0453D"/>
    <w:rsid w:val="00E04823"/>
    <w:rsid w:val="00E04B03"/>
    <w:rsid w:val="00E04EF7"/>
    <w:rsid w:val="00E05052"/>
    <w:rsid w:val="00E0530B"/>
    <w:rsid w:val="00E054B7"/>
    <w:rsid w:val="00E05BA2"/>
    <w:rsid w:val="00E05E3F"/>
    <w:rsid w:val="00E0618D"/>
    <w:rsid w:val="00E06C25"/>
    <w:rsid w:val="00E07230"/>
    <w:rsid w:val="00E07370"/>
    <w:rsid w:val="00E073CC"/>
    <w:rsid w:val="00E076BE"/>
    <w:rsid w:val="00E10281"/>
    <w:rsid w:val="00E103FF"/>
    <w:rsid w:val="00E1086B"/>
    <w:rsid w:val="00E10A13"/>
    <w:rsid w:val="00E10C6B"/>
    <w:rsid w:val="00E10E67"/>
    <w:rsid w:val="00E10E6B"/>
    <w:rsid w:val="00E11222"/>
    <w:rsid w:val="00E1174E"/>
    <w:rsid w:val="00E125F5"/>
    <w:rsid w:val="00E12B5D"/>
    <w:rsid w:val="00E12B86"/>
    <w:rsid w:val="00E12F70"/>
    <w:rsid w:val="00E1301E"/>
    <w:rsid w:val="00E13191"/>
    <w:rsid w:val="00E1322D"/>
    <w:rsid w:val="00E132C3"/>
    <w:rsid w:val="00E13E48"/>
    <w:rsid w:val="00E14046"/>
    <w:rsid w:val="00E141CD"/>
    <w:rsid w:val="00E14316"/>
    <w:rsid w:val="00E14607"/>
    <w:rsid w:val="00E146CE"/>
    <w:rsid w:val="00E14C47"/>
    <w:rsid w:val="00E15228"/>
    <w:rsid w:val="00E1531C"/>
    <w:rsid w:val="00E15451"/>
    <w:rsid w:val="00E155C9"/>
    <w:rsid w:val="00E158E5"/>
    <w:rsid w:val="00E15A0A"/>
    <w:rsid w:val="00E15B80"/>
    <w:rsid w:val="00E15F71"/>
    <w:rsid w:val="00E16156"/>
    <w:rsid w:val="00E16284"/>
    <w:rsid w:val="00E16709"/>
    <w:rsid w:val="00E168C5"/>
    <w:rsid w:val="00E16D1F"/>
    <w:rsid w:val="00E16E66"/>
    <w:rsid w:val="00E17025"/>
    <w:rsid w:val="00E171B0"/>
    <w:rsid w:val="00E17366"/>
    <w:rsid w:val="00E173C3"/>
    <w:rsid w:val="00E173DA"/>
    <w:rsid w:val="00E17C54"/>
    <w:rsid w:val="00E17C73"/>
    <w:rsid w:val="00E17E62"/>
    <w:rsid w:val="00E17E67"/>
    <w:rsid w:val="00E17FEF"/>
    <w:rsid w:val="00E20200"/>
    <w:rsid w:val="00E2078C"/>
    <w:rsid w:val="00E2079C"/>
    <w:rsid w:val="00E20E60"/>
    <w:rsid w:val="00E20EB8"/>
    <w:rsid w:val="00E20F2F"/>
    <w:rsid w:val="00E212AB"/>
    <w:rsid w:val="00E212CE"/>
    <w:rsid w:val="00E223B3"/>
    <w:rsid w:val="00E223E1"/>
    <w:rsid w:val="00E223F0"/>
    <w:rsid w:val="00E225CC"/>
    <w:rsid w:val="00E22B4F"/>
    <w:rsid w:val="00E23EA0"/>
    <w:rsid w:val="00E23F47"/>
    <w:rsid w:val="00E240AE"/>
    <w:rsid w:val="00E2499A"/>
    <w:rsid w:val="00E24BF2"/>
    <w:rsid w:val="00E24FBD"/>
    <w:rsid w:val="00E2534F"/>
    <w:rsid w:val="00E258B6"/>
    <w:rsid w:val="00E258F5"/>
    <w:rsid w:val="00E25A5F"/>
    <w:rsid w:val="00E25D61"/>
    <w:rsid w:val="00E25D84"/>
    <w:rsid w:val="00E26B23"/>
    <w:rsid w:val="00E26E1F"/>
    <w:rsid w:val="00E27544"/>
    <w:rsid w:val="00E277C2"/>
    <w:rsid w:val="00E27CB0"/>
    <w:rsid w:val="00E27E17"/>
    <w:rsid w:val="00E30034"/>
    <w:rsid w:val="00E300A0"/>
    <w:rsid w:val="00E3038D"/>
    <w:rsid w:val="00E3038F"/>
    <w:rsid w:val="00E30688"/>
    <w:rsid w:val="00E307FA"/>
    <w:rsid w:val="00E3097A"/>
    <w:rsid w:val="00E30A9C"/>
    <w:rsid w:val="00E30BF7"/>
    <w:rsid w:val="00E30CEC"/>
    <w:rsid w:val="00E30F2D"/>
    <w:rsid w:val="00E3110E"/>
    <w:rsid w:val="00E313DA"/>
    <w:rsid w:val="00E318FB"/>
    <w:rsid w:val="00E3191C"/>
    <w:rsid w:val="00E32916"/>
    <w:rsid w:val="00E32923"/>
    <w:rsid w:val="00E32982"/>
    <w:rsid w:val="00E32B56"/>
    <w:rsid w:val="00E32C04"/>
    <w:rsid w:val="00E33174"/>
    <w:rsid w:val="00E331EC"/>
    <w:rsid w:val="00E3334C"/>
    <w:rsid w:val="00E333E0"/>
    <w:rsid w:val="00E3350C"/>
    <w:rsid w:val="00E33624"/>
    <w:rsid w:val="00E33A13"/>
    <w:rsid w:val="00E33CF6"/>
    <w:rsid w:val="00E33E63"/>
    <w:rsid w:val="00E34178"/>
    <w:rsid w:val="00E349C2"/>
    <w:rsid w:val="00E349C9"/>
    <w:rsid w:val="00E34A7C"/>
    <w:rsid w:val="00E34CC7"/>
    <w:rsid w:val="00E34DD0"/>
    <w:rsid w:val="00E35828"/>
    <w:rsid w:val="00E35869"/>
    <w:rsid w:val="00E35BAA"/>
    <w:rsid w:val="00E35E37"/>
    <w:rsid w:val="00E35F03"/>
    <w:rsid w:val="00E35F6D"/>
    <w:rsid w:val="00E36DAD"/>
    <w:rsid w:val="00E371A7"/>
    <w:rsid w:val="00E371BF"/>
    <w:rsid w:val="00E3746B"/>
    <w:rsid w:val="00E37B36"/>
    <w:rsid w:val="00E40834"/>
    <w:rsid w:val="00E40A47"/>
    <w:rsid w:val="00E40AC1"/>
    <w:rsid w:val="00E40F53"/>
    <w:rsid w:val="00E4120D"/>
    <w:rsid w:val="00E412AE"/>
    <w:rsid w:val="00E414F4"/>
    <w:rsid w:val="00E415B0"/>
    <w:rsid w:val="00E416C6"/>
    <w:rsid w:val="00E417BB"/>
    <w:rsid w:val="00E4193C"/>
    <w:rsid w:val="00E4208B"/>
    <w:rsid w:val="00E42592"/>
    <w:rsid w:val="00E4278E"/>
    <w:rsid w:val="00E42B1A"/>
    <w:rsid w:val="00E42BD4"/>
    <w:rsid w:val="00E42D76"/>
    <w:rsid w:val="00E42DF0"/>
    <w:rsid w:val="00E42F2E"/>
    <w:rsid w:val="00E432E0"/>
    <w:rsid w:val="00E433A2"/>
    <w:rsid w:val="00E433E0"/>
    <w:rsid w:val="00E43E99"/>
    <w:rsid w:val="00E44015"/>
    <w:rsid w:val="00E4473B"/>
    <w:rsid w:val="00E44896"/>
    <w:rsid w:val="00E44A36"/>
    <w:rsid w:val="00E44BB7"/>
    <w:rsid w:val="00E44D9F"/>
    <w:rsid w:val="00E452F6"/>
    <w:rsid w:val="00E4574A"/>
    <w:rsid w:val="00E4632B"/>
    <w:rsid w:val="00E468B6"/>
    <w:rsid w:val="00E46B50"/>
    <w:rsid w:val="00E46F92"/>
    <w:rsid w:val="00E4704A"/>
    <w:rsid w:val="00E4708B"/>
    <w:rsid w:val="00E473E3"/>
    <w:rsid w:val="00E47446"/>
    <w:rsid w:val="00E476F0"/>
    <w:rsid w:val="00E47FA3"/>
    <w:rsid w:val="00E50097"/>
    <w:rsid w:val="00E500A2"/>
    <w:rsid w:val="00E5027D"/>
    <w:rsid w:val="00E504AA"/>
    <w:rsid w:val="00E50735"/>
    <w:rsid w:val="00E50738"/>
    <w:rsid w:val="00E50981"/>
    <w:rsid w:val="00E51001"/>
    <w:rsid w:val="00E5105A"/>
    <w:rsid w:val="00E51354"/>
    <w:rsid w:val="00E514D4"/>
    <w:rsid w:val="00E515BE"/>
    <w:rsid w:val="00E516D3"/>
    <w:rsid w:val="00E5199C"/>
    <w:rsid w:val="00E51AA5"/>
    <w:rsid w:val="00E51DB5"/>
    <w:rsid w:val="00E52560"/>
    <w:rsid w:val="00E52585"/>
    <w:rsid w:val="00E52A71"/>
    <w:rsid w:val="00E52AD7"/>
    <w:rsid w:val="00E52BE9"/>
    <w:rsid w:val="00E53279"/>
    <w:rsid w:val="00E532C0"/>
    <w:rsid w:val="00E533B0"/>
    <w:rsid w:val="00E53841"/>
    <w:rsid w:val="00E53DF3"/>
    <w:rsid w:val="00E53EA9"/>
    <w:rsid w:val="00E540A7"/>
    <w:rsid w:val="00E540FD"/>
    <w:rsid w:val="00E543EC"/>
    <w:rsid w:val="00E54661"/>
    <w:rsid w:val="00E54E88"/>
    <w:rsid w:val="00E54EA9"/>
    <w:rsid w:val="00E5529D"/>
    <w:rsid w:val="00E5543F"/>
    <w:rsid w:val="00E55652"/>
    <w:rsid w:val="00E55F5B"/>
    <w:rsid w:val="00E560A9"/>
    <w:rsid w:val="00E56152"/>
    <w:rsid w:val="00E562B5"/>
    <w:rsid w:val="00E563E9"/>
    <w:rsid w:val="00E564D2"/>
    <w:rsid w:val="00E56A5C"/>
    <w:rsid w:val="00E56EF9"/>
    <w:rsid w:val="00E573BB"/>
    <w:rsid w:val="00E575E8"/>
    <w:rsid w:val="00E5778B"/>
    <w:rsid w:val="00E57CA0"/>
    <w:rsid w:val="00E60054"/>
    <w:rsid w:val="00E60187"/>
    <w:rsid w:val="00E60522"/>
    <w:rsid w:val="00E605D1"/>
    <w:rsid w:val="00E60FD5"/>
    <w:rsid w:val="00E610B4"/>
    <w:rsid w:val="00E612AD"/>
    <w:rsid w:val="00E61403"/>
    <w:rsid w:val="00E61468"/>
    <w:rsid w:val="00E615CA"/>
    <w:rsid w:val="00E617CC"/>
    <w:rsid w:val="00E61A52"/>
    <w:rsid w:val="00E61AE4"/>
    <w:rsid w:val="00E61ED4"/>
    <w:rsid w:val="00E62980"/>
    <w:rsid w:val="00E62D38"/>
    <w:rsid w:val="00E62EA5"/>
    <w:rsid w:val="00E62F5A"/>
    <w:rsid w:val="00E630EA"/>
    <w:rsid w:val="00E6350E"/>
    <w:rsid w:val="00E6392F"/>
    <w:rsid w:val="00E63DBF"/>
    <w:rsid w:val="00E644B6"/>
    <w:rsid w:val="00E6478A"/>
    <w:rsid w:val="00E649BC"/>
    <w:rsid w:val="00E64A7E"/>
    <w:rsid w:val="00E651B2"/>
    <w:rsid w:val="00E65211"/>
    <w:rsid w:val="00E65219"/>
    <w:rsid w:val="00E65705"/>
    <w:rsid w:val="00E65A05"/>
    <w:rsid w:val="00E65E50"/>
    <w:rsid w:val="00E65F0C"/>
    <w:rsid w:val="00E65F2A"/>
    <w:rsid w:val="00E660FF"/>
    <w:rsid w:val="00E6610D"/>
    <w:rsid w:val="00E66535"/>
    <w:rsid w:val="00E665DF"/>
    <w:rsid w:val="00E66FA7"/>
    <w:rsid w:val="00E6721A"/>
    <w:rsid w:val="00E7008E"/>
    <w:rsid w:val="00E70317"/>
    <w:rsid w:val="00E704D2"/>
    <w:rsid w:val="00E70DAD"/>
    <w:rsid w:val="00E71399"/>
    <w:rsid w:val="00E71FB6"/>
    <w:rsid w:val="00E7224F"/>
    <w:rsid w:val="00E72378"/>
    <w:rsid w:val="00E725B2"/>
    <w:rsid w:val="00E72644"/>
    <w:rsid w:val="00E7287E"/>
    <w:rsid w:val="00E7298D"/>
    <w:rsid w:val="00E72BB8"/>
    <w:rsid w:val="00E72F76"/>
    <w:rsid w:val="00E72FB0"/>
    <w:rsid w:val="00E73386"/>
    <w:rsid w:val="00E740CD"/>
    <w:rsid w:val="00E743DB"/>
    <w:rsid w:val="00E7471C"/>
    <w:rsid w:val="00E74A92"/>
    <w:rsid w:val="00E74C55"/>
    <w:rsid w:val="00E74C95"/>
    <w:rsid w:val="00E74F05"/>
    <w:rsid w:val="00E74F37"/>
    <w:rsid w:val="00E753E9"/>
    <w:rsid w:val="00E75469"/>
    <w:rsid w:val="00E75647"/>
    <w:rsid w:val="00E7567B"/>
    <w:rsid w:val="00E7598A"/>
    <w:rsid w:val="00E75C88"/>
    <w:rsid w:val="00E760DC"/>
    <w:rsid w:val="00E761A6"/>
    <w:rsid w:val="00E76815"/>
    <w:rsid w:val="00E7687F"/>
    <w:rsid w:val="00E76B88"/>
    <w:rsid w:val="00E76BD4"/>
    <w:rsid w:val="00E76E9B"/>
    <w:rsid w:val="00E76F47"/>
    <w:rsid w:val="00E770EE"/>
    <w:rsid w:val="00E77420"/>
    <w:rsid w:val="00E774DF"/>
    <w:rsid w:val="00E77787"/>
    <w:rsid w:val="00E77ADB"/>
    <w:rsid w:val="00E77E5D"/>
    <w:rsid w:val="00E77F17"/>
    <w:rsid w:val="00E800E0"/>
    <w:rsid w:val="00E80168"/>
    <w:rsid w:val="00E80235"/>
    <w:rsid w:val="00E804B6"/>
    <w:rsid w:val="00E8083E"/>
    <w:rsid w:val="00E81208"/>
    <w:rsid w:val="00E81593"/>
    <w:rsid w:val="00E81A13"/>
    <w:rsid w:val="00E81D04"/>
    <w:rsid w:val="00E81D2A"/>
    <w:rsid w:val="00E81E99"/>
    <w:rsid w:val="00E82302"/>
    <w:rsid w:val="00E825B5"/>
    <w:rsid w:val="00E826A9"/>
    <w:rsid w:val="00E82B4C"/>
    <w:rsid w:val="00E82E2F"/>
    <w:rsid w:val="00E82E87"/>
    <w:rsid w:val="00E83093"/>
    <w:rsid w:val="00E831E3"/>
    <w:rsid w:val="00E833EC"/>
    <w:rsid w:val="00E83735"/>
    <w:rsid w:val="00E8386B"/>
    <w:rsid w:val="00E83B09"/>
    <w:rsid w:val="00E83D2F"/>
    <w:rsid w:val="00E84392"/>
    <w:rsid w:val="00E845FB"/>
    <w:rsid w:val="00E84BA5"/>
    <w:rsid w:val="00E84C23"/>
    <w:rsid w:val="00E84E05"/>
    <w:rsid w:val="00E8512F"/>
    <w:rsid w:val="00E85219"/>
    <w:rsid w:val="00E8522A"/>
    <w:rsid w:val="00E85500"/>
    <w:rsid w:val="00E857BF"/>
    <w:rsid w:val="00E85FE5"/>
    <w:rsid w:val="00E861ED"/>
    <w:rsid w:val="00E864FF"/>
    <w:rsid w:val="00E86510"/>
    <w:rsid w:val="00E86642"/>
    <w:rsid w:val="00E866B4"/>
    <w:rsid w:val="00E86864"/>
    <w:rsid w:val="00E86BA0"/>
    <w:rsid w:val="00E86BB2"/>
    <w:rsid w:val="00E86DA1"/>
    <w:rsid w:val="00E87493"/>
    <w:rsid w:val="00E87A93"/>
    <w:rsid w:val="00E87AE2"/>
    <w:rsid w:val="00E87B83"/>
    <w:rsid w:val="00E87D2B"/>
    <w:rsid w:val="00E87E31"/>
    <w:rsid w:val="00E900D3"/>
    <w:rsid w:val="00E90309"/>
    <w:rsid w:val="00E905E1"/>
    <w:rsid w:val="00E90989"/>
    <w:rsid w:val="00E90C26"/>
    <w:rsid w:val="00E90D2F"/>
    <w:rsid w:val="00E91102"/>
    <w:rsid w:val="00E91115"/>
    <w:rsid w:val="00E91498"/>
    <w:rsid w:val="00E91609"/>
    <w:rsid w:val="00E917BB"/>
    <w:rsid w:val="00E91A08"/>
    <w:rsid w:val="00E91BDF"/>
    <w:rsid w:val="00E91C0B"/>
    <w:rsid w:val="00E91F2E"/>
    <w:rsid w:val="00E922CA"/>
    <w:rsid w:val="00E92481"/>
    <w:rsid w:val="00E9251E"/>
    <w:rsid w:val="00E92537"/>
    <w:rsid w:val="00E925DA"/>
    <w:rsid w:val="00E9286C"/>
    <w:rsid w:val="00E928AB"/>
    <w:rsid w:val="00E92FE9"/>
    <w:rsid w:val="00E93085"/>
    <w:rsid w:val="00E930A4"/>
    <w:rsid w:val="00E933F8"/>
    <w:rsid w:val="00E937CC"/>
    <w:rsid w:val="00E937F2"/>
    <w:rsid w:val="00E939B4"/>
    <w:rsid w:val="00E93C3E"/>
    <w:rsid w:val="00E94250"/>
    <w:rsid w:val="00E942C6"/>
    <w:rsid w:val="00E944D3"/>
    <w:rsid w:val="00E94E8E"/>
    <w:rsid w:val="00E9532E"/>
    <w:rsid w:val="00E95392"/>
    <w:rsid w:val="00E955C4"/>
    <w:rsid w:val="00E95CC7"/>
    <w:rsid w:val="00E95FC7"/>
    <w:rsid w:val="00E96918"/>
    <w:rsid w:val="00E96A00"/>
    <w:rsid w:val="00E96C96"/>
    <w:rsid w:val="00E96D88"/>
    <w:rsid w:val="00E96D9D"/>
    <w:rsid w:val="00E97363"/>
    <w:rsid w:val="00E973C8"/>
    <w:rsid w:val="00E977F0"/>
    <w:rsid w:val="00E97816"/>
    <w:rsid w:val="00EA03FB"/>
    <w:rsid w:val="00EA0473"/>
    <w:rsid w:val="00EA0C4D"/>
    <w:rsid w:val="00EA0CD9"/>
    <w:rsid w:val="00EA0FC7"/>
    <w:rsid w:val="00EA10B0"/>
    <w:rsid w:val="00EA115C"/>
    <w:rsid w:val="00EA120D"/>
    <w:rsid w:val="00EA17A6"/>
    <w:rsid w:val="00EA2306"/>
    <w:rsid w:val="00EA279D"/>
    <w:rsid w:val="00EA2CBD"/>
    <w:rsid w:val="00EA2DCF"/>
    <w:rsid w:val="00EA2EFB"/>
    <w:rsid w:val="00EA330C"/>
    <w:rsid w:val="00EA364F"/>
    <w:rsid w:val="00EA404B"/>
    <w:rsid w:val="00EA40C1"/>
    <w:rsid w:val="00EA41BB"/>
    <w:rsid w:val="00EA4350"/>
    <w:rsid w:val="00EA445B"/>
    <w:rsid w:val="00EA475B"/>
    <w:rsid w:val="00EA4B21"/>
    <w:rsid w:val="00EA4C42"/>
    <w:rsid w:val="00EA4F0A"/>
    <w:rsid w:val="00EA515C"/>
    <w:rsid w:val="00EA5263"/>
    <w:rsid w:val="00EA52A3"/>
    <w:rsid w:val="00EA52B1"/>
    <w:rsid w:val="00EA5335"/>
    <w:rsid w:val="00EA5F7B"/>
    <w:rsid w:val="00EA6065"/>
    <w:rsid w:val="00EA60EC"/>
    <w:rsid w:val="00EA61A4"/>
    <w:rsid w:val="00EA6479"/>
    <w:rsid w:val="00EA676A"/>
    <w:rsid w:val="00EA6865"/>
    <w:rsid w:val="00EA7CB6"/>
    <w:rsid w:val="00EA7EB9"/>
    <w:rsid w:val="00EB02CF"/>
    <w:rsid w:val="00EB04DD"/>
    <w:rsid w:val="00EB0FFC"/>
    <w:rsid w:val="00EB132E"/>
    <w:rsid w:val="00EB1330"/>
    <w:rsid w:val="00EB1566"/>
    <w:rsid w:val="00EB15AA"/>
    <w:rsid w:val="00EB18D8"/>
    <w:rsid w:val="00EB19E6"/>
    <w:rsid w:val="00EB1B9B"/>
    <w:rsid w:val="00EB2370"/>
    <w:rsid w:val="00EB279A"/>
    <w:rsid w:val="00EB3106"/>
    <w:rsid w:val="00EB3352"/>
    <w:rsid w:val="00EB348D"/>
    <w:rsid w:val="00EB37DB"/>
    <w:rsid w:val="00EB3804"/>
    <w:rsid w:val="00EB3835"/>
    <w:rsid w:val="00EB385A"/>
    <w:rsid w:val="00EB387F"/>
    <w:rsid w:val="00EB3FCA"/>
    <w:rsid w:val="00EB42A8"/>
    <w:rsid w:val="00EB4743"/>
    <w:rsid w:val="00EB478B"/>
    <w:rsid w:val="00EB48BB"/>
    <w:rsid w:val="00EB4E73"/>
    <w:rsid w:val="00EB4F27"/>
    <w:rsid w:val="00EB54FB"/>
    <w:rsid w:val="00EB567A"/>
    <w:rsid w:val="00EB58EC"/>
    <w:rsid w:val="00EB5CE9"/>
    <w:rsid w:val="00EB62AB"/>
    <w:rsid w:val="00EB65CB"/>
    <w:rsid w:val="00EB65F7"/>
    <w:rsid w:val="00EB664E"/>
    <w:rsid w:val="00EB6945"/>
    <w:rsid w:val="00EB6C85"/>
    <w:rsid w:val="00EB7178"/>
    <w:rsid w:val="00EB74BC"/>
    <w:rsid w:val="00EB77AB"/>
    <w:rsid w:val="00EB7ACA"/>
    <w:rsid w:val="00EB7CDF"/>
    <w:rsid w:val="00EB7CFD"/>
    <w:rsid w:val="00EB7DCA"/>
    <w:rsid w:val="00EC0639"/>
    <w:rsid w:val="00EC095D"/>
    <w:rsid w:val="00EC0963"/>
    <w:rsid w:val="00EC0968"/>
    <w:rsid w:val="00EC0B22"/>
    <w:rsid w:val="00EC0E54"/>
    <w:rsid w:val="00EC14E7"/>
    <w:rsid w:val="00EC16DB"/>
    <w:rsid w:val="00EC218F"/>
    <w:rsid w:val="00EC2B62"/>
    <w:rsid w:val="00EC2C5E"/>
    <w:rsid w:val="00EC2C6D"/>
    <w:rsid w:val="00EC2C8B"/>
    <w:rsid w:val="00EC2CDC"/>
    <w:rsid w:val="00EC2F56"/>
    <w:rsid w:val="00EC2FC6"/>
    <w:rsid w:val="00EC33A2"/>
    <w:rsid w:val="00EC35F8"/>
    <w:rsid w:val="00EC39B6"/>
    <w:rsid w:val="00EC3CEB"/>
    <w:rsid w:val="00EC45FE"/>
    <w:rsid w:val="00EC4957"/>
    <w:rsid w:val="00EC51D2"/>
    <w:rsid w:val="00EC522E"/>
    <w:rsid w:val="00EC5324"/>
    <w:rsid w:val="00EC5363"/>
    <w:rsid w:val="00EC592A"/>
    <w:rsid w:val="00EC5CD9"/>
    <w:rsid w:val="00EC5F2C"/>
    <w:rsid w:val="00EC66A6"/>
    <w:rsid w:val="00EC69A3"/>
    <w:rsid w:val="00EC6BC9"/>
    <w:rsid w:val="00EC6D13"/>
    <w:rsid w:val="00EC6EBE"/>
    <w:rsid w:val="00EC707E"/>
    <w:rsid w:val="00EC7414"/>
    <w:rsid w:val="00EC74D6"/>
    <w:rsid w:val="00EC76DD"/>
    <w:rsid w:val="00EC772D"/>
    <w:rsid w:val="00EC78FB"/>
    <w:rsid w:val="00EC7ABD"/>
    <w:rsid w:val="00EC7BE0"/>
    <w:rsid w:val="00EC7C71"/>
    <w:rsid w:val="00EC7FC9"/>
    <w:rsid w:val="00ED0108"/>
    <w:rsid w:val="00ED029E"/>
    <w:rsid w:val="00ED047D"/>
    <w:rsid w:val="00ED092F"/>
    <w:rsid w:val="00ED0A7D"/>
    <w:rsid w:val="00ED0B31"/>
    <w:rsid w:val="00ED0B88"/>
    <w:rsid w:val="00ED0C8D"/>
    <w:rsid w:val="00ED0CD0"/>
    <w:rsid w:val="00ED1156"/>
    <w:rsid w:val="00ED142E"/>
    <w:rsid w:val="00ED162E"/>
    <w:rsid w:val="00ED16EB"/>
    <w:rsid w:val="00ED1982"/>
    <w:rsid w:val="00ED1BB3"/>
    <w:rsid w:val="00ED1F7D"/>
    <w:rsid w:val="00ED2044"/>
    <w:rsid w:val="00ED2077"/>
    <w:rsid w:val="00ED20CA"/>
    <w:rsid w:val="00ED234E"/>
    <w:rsid w:val="00ED24AB"/>
    <w:rsid w:val="00ED277D"/>
    <w:rsid w:val="00ED2AB3"/>
    <w:rsid w:val="00ED2DA5"/>
    <w:rsid w:val="00ED32BF"/>
    <w:rsid w:val="00ED3598"/>
    <w:rsid w:val="00ED3AE6"/>
    <w:rsid w:val="00ED3FB2"/>
    <w:rsid w:val="00ED4279"/>
    <w:rsid w:val="00ED42C9"/>
    <w:rsid w:val="00ED439C"/>
    <w:rsid w:val="00ED4510"/>
    <w:rsid w:val="00ED4717"/>
    <w:rsid w:val="00ED51D2"/>
    <w:rsid w:val="00ED51E7"/>
    <w:rsid w:val="00ED5212"/>
    <w:rsid w:val="00ED5A23"/>
    <w:rsid w:val="00ED5A7D"/>
    <w:rsid w:val="00ED5F5E"/>
    <w:rsid w:val="00ED6010"/>
    <w:rsid w:val="00ED626E"/>
    <w:rsid w:val="00ED6349"/>
    <w:rsid w:val="00ED6485"/>
    <w:rsid w:val="00ED69A4"/>
    <w:rsid w:val="00ED6A7F"/>
    <w:rsid w:val="00ED71E9"/>
    <w:rsid w:val="00ED720A"/>
    <w:rsid w:val="00ED74E7"/>
    <w:rsid w:val="00ED76ED"/>
    <w:rsid w:val="00ED79AD"/>
    <w:rsid w:val="00ED7CC2"/>
    <w:rsid w:val="00ED7EC1"/>
    <w:rsid w:val="00ED7F59"/>
    <w:rsid w:val="00EE05AF"/>
    <w:rsid w:val="00EE092F"/>
    <w:rsid w:val="00EE0D75"/>
    <w:rsid w:val="00EE0FA4"/>
    <w:rsid w:val="00EE142F"/>
    <w:rsid w:val="00EE1567"/>
    <w:rsid w:val="00EE1630"/>
    <w:rsid w:val="00EE1918"/>
    <w:rsid w:val="00EE1D7B"/>
    <w:rsid w:val="00EE1F12"/>
    <w:rsid w:val="00EE2034"/>
    <w:rsid w:val="00EE21FA"/>
    <w:rsid w:val="00EE2270"/>
    <w:rsid w:val="00EE2689"/>
    <w:rsid w:val="00EE2AC8"/>
    <w:rsid w:val="00EE2EE2"/>
    <w:rsid w:val="00EE328A"/>
    <w:rsid w:val="00EE37B0"/>
    <w:rsid w:val="00EE38BE"/>
    <w:rsid w:val="00EE3947"/>
    <w:rsid w:val="00EE3BDC"/>
    <w:rsid w:val="00EE3D55"/>
    <w:rsid w:val="00EE3DCB"/>
    <w:rsid w:val="00EE3F43"/>
    <w:rsid w:val="00EE4AB5"/>
    <w:rsid w:val="00EE5171"/>
    <w:rsid w:val="00EE52E3"/>
    <w:rsid w:val="00EE57D8"/>
    <w:rsid w:val="00EE5994"/>
    <w:rsid w:val="00EE5B53"/>
    <w:rsid w:val="00EE5D9E"/>
    <w:rsid w:val="00EE5EF8"/>
    <w:rsid w:val="00EE61EF"/>
    <w:rsid w:val="00EE6260"/>
    <w:rsid w:val="00EE6800"/>
    <w:rsid w:val="00EE6957"/>
    <w:rsid w:val="00EE6AD0"/>
    <w:rsid w:val="00EE6B0A"/>
    <w:rsid w:val="00EE7DC7"/>
    <w:rsid w:val="00EE7FF9"/>
    <w:rsid w:val="00EF0FF1"/>
    <w:rsid w:val="00EF11A9"/>
    <w:rsid w:val="00EF121D"/>
    <w:rsid w:val="00EF142F"/>
    <w:rsid w:val="00EF1603"/>
    <w:rsid w:val="00EF16CD"/>
    <w:rsid w:val="00EF1D62"/>
    <w:rsid w:val="00EF1DC1"/>
    <w:rsid w:val="00EF1E21"/>
    <w:rsid w:val="00EF2361"/>
    <w:rsid w:val="00EF2593"/>
    <w:rsid w:val="00EF2733"/>
    <w:rsid w:val="00EF2893"/>
    <w:rsid w:val="00EF3F3B"/>
    <w:rsid w:val="00EF3FD3"/>
    <w:rsid w:val="00EF4188"/>
    <w:rsid w:val="00EF42C8"/>
    <w:rsid w:val="00EF4678"/>
    <w:rsid w:val="00EF4A25"/>
    <w:rsid w:val="00EF4AE1"/>
    <w:rsid w:val="00EF4DD6"/>
    <w:rsid w:val="00EF4DDB"/>
    <w:rsid w:val="00EF53C6"/>
    <w:rsid w:val="00EF5A68"/>
    <w:rsid w:val="00EF5E6B"/>
    <w:rsid w:val="00EF614B"/>
    <w:rsid w:val="00EF629C"/>
    <w:rsid w:val="00EF65B3"/>
    <w:rsid w:val="00EF683E"/>
    <w:rsid w:val="00EF703F"/>
    <w:rsid w:val="00EF7059"/>
    <w:rsid w:val="00EF70E4"/>
    <w:rsid w:val="00EF75EB"/>
    <w:rsid w:val="00EF7999"/>
    <w:rsid w:val="00EF7A20"/>
    <w:rsid w:val="00EF7AD6"/>
    <w:rsid w:val="00EF7E0B"/>
    <w:rsid w:val="00F00481"/>
    <w:rsid w:val="00F008FE"/>
    <w:rsid w:val="00F00978"/>
    <w:rsid w:val="00F01D3E"/>
    <w:rsid w:val="00F020C9"/>
    <w:rsid w:val="00F0398E"/>
    <w:rsid w:val="00F03BED"/>
    <w:rsid w:val="00F03C29"/>
    <w:rsid w:val="00F03E00"/>
    <w:rsid w:val="00F03F2F"/>
    <w:rsid w:val="00F040FB"/>
    <w:rsid w:val="00F04559"/>
    <w:rsid w:val="00F04A5E"/>
    <w:rsid w:val="00F04C09"/>
    <w:rsid w:val="00F05270"/>
    <w:rsid w:val="00F05A33"/>
    <w:rsid w:val="00F05E85"/>
    <w:rsid w:val="00F063BC"/>
    <w:rsid w:val="00F06778"/>
    <w:rsid w:val="00F070E2"/>
    <w:rsid w:val="00F074A6"/>
    <w:rsid w:val="00F077F7"/>
    <w:rsid w:val="00F07B2C"/>
    <w:rsid w:val="00F07D62"/>
    <w:rsid w:val="00F07E7B"/>
    <w:rsid w:val="00F07FFC"/>
    <w:rsid w:val="00F1070A"/>
    <w:rsid w:val="00F10988"/>
    <w:rsid w:val="00F10E56"/>
    <w:rsid w:val="00F10F81"/>
    <w:rsid w:val="00F10FAE"/>
    <w:rsid w:val="00F1165E"/>
    <w:rsid w:val="00F1190B"/>
    <w:rsid w:val="00F11C1F"/>
    <w:rsid w:val="00F120B1"/>
    <w:rsid w:val="00F12267"/>
    <w:rsid w:val="00F12933"/>
    <w:rsid w:val="00F12F2E"/>
    <w:rsid w:val="00F12F8D"/>
    <w:rsid w:val="00F137C5"/>
    <w:rsid w:val="00F14070"/>
    <w:rsid w:val="00F1471A"/>
    <w:rsid w:val="00F147AD"/>
    <w:rsid w:val="00F148D1"/>
    <w:rsid w:val="00F14B9F"/>
    <w:rsid w:val="00F14BB5"/>
    <w:rsid w:val="00F14D7E"/>
    <w:rsid w:val="00F14DBD"/>
    <w:rsid w:val="00F14F7B"/>
    <w:rsid w:val="00F1501D"/>
    <w:rsid w:val="00F1503A"/>
    <w:rsid w:val="00F151B7"/>
    <w:rsid w:val="00F154DD"/>
    <w:rsid w:val="00F159D8"/>
    <w:rsid w:val="00F15C4F"/>
    <w:rsid w:val="00F15D14"/>
    <w:rsid w:val="00F15DEC"/>
    <w:rsid w:val="00F15E5A"/>
    <w:rsid w:val="00F1605C"/>
    <w:rsid w:val="00F167CF"/>
    <w:rsid w:val="00F16A09"/>
    <w:rsid w:val="00F17279"/>
    <w:rsid w:val="00F177B6"/>
    <w:rsid w:val="00F17B0E"/>
    <w:rsid w:val="00F17BEF"/>
    <w:rsid w:val="00F17EF3"/>
    <w:rsid w:val="00F17F08"/>
    <w:rsid w:val="00F201A1"/>
    <w:rsid w:val="00F2073A"/>
    <w:rsid w:val="00F20F2D"/>
    <w:rsid w:val="00F2102C"/>
    <w:rsid w:val="00F21173"/>
    <w:rsid w:val="00F21276"/>
    <w:rsid w:val="00F219CB"/>
    <w:rsid w:val="00F21CE0"/>
    <w:rsid w:val="00F21D1D"/>
    <w:rsid w:val="00F2204F"/>
    <w:rsid w:val="00F222DE"/>
    <w:rsid w:val="00F224DD"/>
    <w:rsid w:val="00F22658"/>
    <w:rsid w:val="00F22BC3"/>
    <w:rsid w:val="00F22C73"/>
    <w:rsid w:val="00F22CFC"/>
    <w:rsid w:val="00F22D16"/>
    <w:rsid w:val="00F23311"/>
    <w:rsid w:val="00F23416"/>
    <w:rsid w:val="00F238C0"/>
    <w:rsid w:val="00F23E70"/>
    <w:rsid w:val="00F241E0"/>
    <w:rsid w:val="00F245D7"/>
    <w:rsid w:val="00F25263"/>
    <w:rsid w:val="00F25398"/>
    <w:rsid w:val="00F25713"/>
    <w:rsid w:val="00F25D35"/>
    <w:rsid w:val="00F25DD2"/>
    <w:rsid w:val="00F260DC"/>
    <w:rsid w:val="00F26B0D"/>
    <w:rsid w:val="00F2718F"/>
    <w:rsid w:val="00F277AE"/>
    <w:rsid w:val="00F278B1"/>
    <w:rsid w:val="00F27A0B"/>
    <w:rsid w:val="00F3052C"/>
    <w:rsid w:val="00F305EE"/>
    <w:rsid w:val="00F30664"/>
    <w:rsid w:val="00F30697"/>
    <w:rsid w:val="00F30796"/>
    <w:rsid w:val="00F30808"/>
    <w:rsid w:val="00F30932"/>
    <w:rsid w:val="00F30B00"/>
    <w:rsid w:val="00F30B58"/>
    <w:rsid w:val="00F30F6F"/>
    <w:rsid w:val="00F313CE"/>
    <w:rsid w:val="00F31585"/>
    <w:rsid w:val="00F31C24"/>
    <w:rsid w:val="00F32117"/>
    <w:rsid w:val="00F328A4"/>
    <w:rsid w:val="00F32983"/>
    <w:rsid w:val="00F32E5C"/>
    <w:rsid w:val="00F32EC0"/>
    <w:rsid w:val="00F333D6"/>
    <w:rsid w:val="00F334A8"/>
    <w:rsid w:val="00F337A4"/>
    <w:rsid w:val="00F33DE7"/>
    <w:rsid w:val="00F343B7"/>
    <w:rsid w:val="00F34556"/>
    <w:rsid w:val="00F34BA8"/>
    <w:rsid w:val="00F34BAF"/>
    <w:rsid w:val="00F34EF8"/>
    <w:rsid w:val="00F34F8C"/>
    <w:rsid w:val="00F35312"/>
    <w:rsid w:val="00F35320"/>
    <w:rsid w:val="00F353C5"/>
    <w:rsid w:val="00F35613"/>
    <w:rsid w:val="00F35A31"/>
    <w:rsid w:val="00F35A80"/>
    <w:rsid w:val="00F35F1F"/>
    <w:rsid w:val="00F35F60"/>
    <w:rsid w:val="00F35FB0"/>
    <w:rsid w:val="00F361A3"/>
    <w:rsid w:val="00F364A8"/>
    <w:rsid w:val="00F36B61"/>
    <w:rsid w:val="00F36C4D"/>
    <w:rsid w:val="00F36E76"/>
    <w:rsid w:val="00F37100"/>
    <w:rsid w:val="00F371EA"/>
    <w:rsid w:val="00F37399"/>
    <w:rsid w:val="00F378FC"/>
    <w:rsid w:val="00F37B54"/>
    <w:rsid w:val="00F37BEE"/>
    <w:rsid w:val="00F37F71"/>
    <w:rsid w:val="00F401C5"/>
    <w:rsid w:val="00F40DFF"/>
    <w:rsid w:val="00F40E28"/>
    <w:rsid w:val="00F4106B"/>
    <w:rsid w:val="00F41231"/>
    <w:rsid w:val="00F417A5"/>
    <w:rsid w:val="00F41982"/>
    <w:rsid w:val="00F41A3E"/>
    <w:rsid w:val="00F41CA6"/>
    <w:rsid w:val="00F42038"/>
    <w:rsid w:val="00F42148"/>
    <w:rsid w:val="00F42635"/>
    <w:rsid w:val="00F42D83"/>
    <w:rsid w:val="00F42FE0"/>
    <w:rsid w:val="00F43239"/>
    <w:rsid w:val="00F432D0"/>
    <w:rsid w:val="00F4342D"/>
    <w:rsid w:val="00F43444"/>
    <w:rsid w:val="00F43874"/>
    <w:rsid w:val="00F43A38"/>
    <w:rsid w:val="00F43C8D"/>
    <w:rsid w:val="00F43CCF"/>
    <w:rsid w:val="00F44380"/>
    <w:rsid w:val="00F44747"/>
    <w:rsid w:val="00F44FC3"/>
    <w:rsid w:val="00F455CD"/>
    <w:rsid w:val="00F45623"/>
    <w:rsid w:val="00F456B0"/>
    <w:rsid w:val="00F45AD3"/>
    <w:rsid w:val="00F46238"/>
    <w:rsid w:val="00F468D6"/>
    <w:rsid w:val="00F4691C"/>
    <w:rsid w:val="00F46938"/>
    <w:rsid w:val="00F47037"/>
    <w:rsid w:val="00F472BF"/>
    <w:rsid w:val="00F47326"/>
    <w:rsid w:val="00F476DA"/>
    <w:rsid w:val="00F47807"/>
    <w:rsid w:val="00F5015B"/>
    <w:rsid w:val="00F5030C"/>
    <w:rsid w:val="00F50A85"/>
    <w:rsid w:val="00F50B89"/>
    <w:rsid w:val="00F50F9E"/>
    <w:rsid w:val="00F515D4"/>
    <w:rsid w:val="00F518C6"/>
    <w:rsid w:val="00F51E3A"/>
    <w:rsid w:val="00F51F8F"/>
    <w:rsid w:val="00F52577"/>
    <w:rsid w:val="00F527E6"/>
    <w:rsid w:val="00F52C6F"/>
    <w:rsid w:val="00F53026"/>
    <w:rsid w:val="00F5324C"/>
    <w:rsid w:val="00F538DA"/>
    <w:rsid w:val="00F54F86"/>
    <w:rsid w:val="00F55371"/>
    <w:rsid w:val="00F55387"/>
    <w:rsid w:val="00F55431"/>
    <w:rsid w:val="00F555F8"/>
    <w:rsid w:val="00F55856"/>
    <w:rsid w:val="00F55A2C"/>
    <w:rsid w:val="00F55C39"/>
    <w:rsid w:val="00F56205"/>
    <w:rsid w:val="00F56B90"/>
    <w:rsid w:val="00F56C94"/>
    <w:rsid w:val="00F56F1A"/>
    <w:rsid w:val="00F573F5"/>
    <w:rsid w:val="00F576E2"/>
    <w:rsid w:val="00F578C9"/>
    <w:rsid w:val="00F57CEA"/>
    <w:rsid w:val="00F57E95"/>
    <w:rsid w:val="00F57F14"/>
    <w:rsid w:val="00F60285"/>
    <w:rsid w:val="00F602F2"/>
    <w:rsid w:val="00F60ABE"/>
    <w:rsid w:val="00F60B7C"/>
    <w:rsid w:val="00F60C31"/>
    <w:rsid w:val="00F60DE5"/>
    <w:rsid w:val="00F60E6E"/>
    <w:rsid w:val="00F60E9D"/>
    <w:rsid w:val="00F61173"/>
    <w:rsid w:val="00F6153F"/>
    <w:rsid w:val="00F61C29"/>
    <w:rsid w:val="00F61F6D"/>
    <w:rsid w:val="00F61FDC"/>
    <w:rsid w:val="00F6200F"/>
    <w:rsid w:val="00F621C1"/>
    <w:rsid w:val="00F621D2"/>
    <w:rsid w:val="00F62223"/>
    <w:rsid w:val="00F62862"/>
    <w:rsid w:val="00F62911"/>
    <w:rsid w:val="00F62960"/>
    <w:rsid w:val="00F62B85"/>
    <w:rsid w:val="00F62E73"/>
    <w:rsid w:val="00F62F27"/>
    <w:rsid w:val="00F634A8"/>
    <w:rsid w:val="00F63533"/>
    <w:rsid w:val="00F635AC"/>
    <w:rsid w:val="00F63B1F"/>
    <w:rsid w:val="00F63E5F"/>
    <w:rsid w:val="00F64344"/>
    <w:rsid w:val="00F644C8"/>
    <w:rsid w:val="00F645FB"/>
    <w:rsid w:val="00F64734"/>
    <w:rsid w:val="00F64C02"/>
    <w:rsid w:val="00F64DFE"/>
    <w:rsid w:val="00F6510D"/>
    <w:rsid w:val="00F65732"/>
    <w:rsid w:val="00F65A22"/>
    <w:rsid w:val="00F66013"/>
    <w:rsid w:val="00F662F4"/>
    <w:rsid w:val="00F66922"/>
    <w:rsid w:val="00F669B7"/>
    <w:rsid w:val="00F66AAD"/>
    <w:rsid w:val="00F66B37"/>
    <w:rsid w:val="00F66C07"/>
    <w:rsid w:val="00F66ECD"/>
    <w:rsid w:val="00F66FF6"/>
    <w:rsid w:val="00F67128"/>
    <w:rsid w:val="00F6714D"/>
    <w:rsid w:val="00F67281"/>
    <w:rsid w:val="00F674A8"/>
    <w:rsid w:val="00F67CF1"/>
    <w:rsid w:val="00F7007C"/>
    <w:rsid w:val="00F700C9"/>
    <w:rsid w:val="00F70137"/>
    <w:rsid w:val="00F702C7"/>
    <w:rsid w:val="00F70853"/>
    <w:rsid w:val="00F70CD8"/>
    <w:rsid w:val="00F71557"/>
    <w:rsid w:val="00F717EA"/>
    <w:rsid w:val="00F7198B"/>
    <w:rsid w:val="00F71D61"/>
    <w:rsid w:val="00F71EE3"/>
    <w:rsid w:val="00F72BF8"/>
    <w:rsid w:val="00F72E57"/>
    <w:rsid w:val="00F73190"/>
    <w:rsid w:val="00F73273"/>
    <w:rsid w:val="00F73C55"/>
    <w:rsid w:val="00F7441C"/>
    <w:rsid w:val="00F74E3C"/>
    <w:rsid w:val="00F752C6"/>
    <w:rsid w:val="00F75307"/>
    <w:rsid w:val="00F7531F"/>
    <w:rsid w:val="00F753EE"/>
    <w:rsid w:val="00F758D6"/>
    <w:rsid w:val="00F75F5F"/>
    <w:rsid w:val="00F76018"/>
    <w:rsid w:val="00F76055"/>
    <w:rsid w:val="00F7639F"/>
    <w:rsid w:val="00F7649B"/>
    <w:rsid w:val="00F76A66"/>
    <w:rsid w:val="00F76BEE"/>
    <w:rsid w:val="00F76C02"/>
    <w:rsid w:val="00F76D8D"/>
    <w:rsid w:val="00F76E4E"/>
    <w:rsid w:val="00F76ED8"/>
    <w:rsid w:val="00F770A4"/>
    <w:rsid w:val="00F77783"/>
    <w:rsid w:val="00F77945"/>
    <w:rsid w:val="00F779F3"/>
    <w:rsid w:val="00F77D1F"/>
    <w:rsid w:val="00F80656"/>
    <w:rsid w:val="00F80A2B"/>
    <w:rsid w:val="00F8113A"/>
    <w:rsid w:val="00F8134A"/>
    <w:rsid w:val="00F816DD"/>
    <w:rsid w:val="00F81C86"/>
    <w:rsid w:val="00F81E88"/>
    <w:rsid w:val="00F8203C"/>
    <w:rsid w:val="00F82158"/>
    <w:rsid w:val="00F826B2"/>
    <w:rsid w:val="00F829A9"/>
    <w:rsid w:val="00F82EC5"/>
    <w:rsid w:val="00F831C0"/>
    <w:rsid w:val="00F8353E"/>
    <w:rsid w:val="00F8385E"/>
    <w:rsid w:val="00F83997"/>
    <w:rsid w:val="00F83A51"/>
    <w:rsid w:val="00F8462F"/>
    <w:rsid w:val="00F84E3E"/>
    <w:rsid w:val="00F84F1C"/>
    <w:rsid w:val="00F85198"/>
    <w:rsid w:val="00F852DC"/>
    <w:rsid w:val="00F8561E"/>
    <w:rsid w:val="00F858D8"/>
    <w:rsid w:val="00F8597C"/>
    <w:rsid w:val="00F85B16"/>
    <w:rsid w:val="00F85D62"/>
    <w:rsid w:val="00F85F6C"/>
    <w:rsid w:val="00F864C7"/>
    <w:rsid w:val="00F86C26"/>
    <w:rsid w:val="00F87255"/>
    <w:rsid w:val="00F872DE"/>
    <w:rsid w:val="00F874DB"/>
    <w:rsid w:val="00F8792A"/>
    <w:rsid w:val="00F87A0A"/>
    <w:rsid w:val="00F87B65"/>
    <w:rsid w:val="00F87BB1"/>
    <w:rsid w:val="00F87C82"/>
    <w:rsid w:val="00F87FBF"/>
    <w:rsid w:val="00F900B5"/>
    <w:rsid w:val="00F9028A"/>
    <w:rsid w:val="00F90809"/>
    <w:rsid w:val="00F90964"/>
    <w:rsid w:val="00F90ABA"/>
    <w:rsid w:val="00F90B02"/>
    <w:rsid w:val="00F90C5A"/>
    <w:rsid w:val="00F90EF0"/>
    <w:rsid w:val="00F90F4F"/>
    <w:rsid w:val="00F9169E"/>
    <w:rsid w:val="00F9184A"/>
    <w:rsid w:val="00F91950"/>
    <w:rsid w:val="00F9273D"/>
    <w:rsid w:val="00F9274D"/>
    <w:rsid w:val="00F928D0"/>
    <w:rsid w:val="00F92D8C"/>
    <w:rsid w:val="00F93199"/>
    <w:rsid w:val="00F9342D"/>
    <w:rsid w:val="00F936CF"/>
    <w:rsid w:val="00F93BA0"/>
    <w:rsid w:val="00F93CE9"/>
    <w:rsid w:val="00F93EB1"/>
    <w:rsid w:val="00F93F79"/>
    <w:rsid w:val="00F94044"/>
    <w:rsid w:val="00F94CB3"/>
    <w:rsid w:val="00F956EC"/>
    <w:rsid w:val="00F95969"/>
    <w:rsid w:val="00F95D60"/>
    <w:rsid w:val="00F96433"/>
    <w:rsid w:val="00F96A87"/>
    <w:rsid w:val="00F96AE5"/>
    <w:rsid w:val="00F9702B"/>
    <w:rsid w:val="00F973BD"/>
    <w:rsid w:val="00F97849"/>
    <w:rsid w:val="00F97F05"/>
    <w:rsid w:val="00FA0183"/>
    <w:rsid w:val="00FA0334"/>
    <w:rsid w:val="00FA0503"/>
    <w:rsid w:val="00FA0530"/>
    <w:rsid w:val="00FA077F"/>
    <w:rsid w:val="00FA0928"/>
    <w:rsid w:val="00FA0ACE"/>
    <w:rsid w:val="00FA0F2E"/>
    <w:rsid w:val="00FA10BA"/>
    <w:rsid w:val="00FA1154"/>
    <w:rsid w:val="00FA169D"/>
    <w:rsid w:val="00FA173C"/>
    <w:rsid w:val="00FA186C"/>
    <w:rsid w:val="00FA18D1"/>
    <w:rsid w:val="00FA1AB2"/>
    <w:rsid w:val="00FA255A"/>
    <w:rsid w:val="00FA2957"/>
    <w:rsid w:val="00FA2A3A"/>
    <w:rsid w:val="00FA2E0C"/>
    <w:rsid w:val="00FA2F18"/>
    <w:rsid w:val="00FA3799"/>
    <w:rsid w:val="00FA37D0"/>
    <w:rsid w:val="00FA38A3"/>
    <w:rsid w:val="00FA3CF0"/>
    <w:rsid w:val="00FA3D05"/>
    <w:rsid w:val="00FA3ECE"/>
    <w:rsid w:val="00FA3EF9"/>
    <w:rsid w:val="00FA4093"/>
    <w:rsid w:val="00FA4245"/>
    <w:rsid w:val="00FA43A4"/>
    <w:rsid w:val="00FA45C3"/>
    <w:rsid w:val="00FA4837"/>
    <w:rsid w:val="00FA4A43"/>
    <w:rsid w:val="00FA4D07"/>
    <w:rsid w:val="00FA4EAE"/>
    <w:rsid w:val="00FA51B8"/>
    <w:rsid w:val="00FA5381"/>
    <w:rsid w:val="00FA56DE"/>
    <w:rsid w:val="00FA58D0"/>
    <w:rsid w:val="00FA5B97"/>
    <w:rsid w:val="00FA5E78"/>
    <w:rsid w:val="00FA5EFF"/>
    <w:rsid w:val="00FA6253"/>
    <w:rsid w:val="00FA627B"/>
    <w:rsid w:val="00FA62AB"/>
    <w:rsid w:val="00FA658D"/>
    <w:rsid w:val="00FA6797"/>
    <w:rsid w:val="00FA6A19"/>
    <w:rsid w:val="00FA6C28"/>
    <w:rsid w:val="00FA706A"/>
    <w:rsid w:val="00FA70A6"/>
    <w:rsid w:val="00FA71C7"/>
    <w:rsid w:val="00FA7A20"/>
    <w:rsid w:val="00FA7C81"/>
    <w:rsid w:val="00FA7CE3"/>
    <w:rsid w:val="00FB0F4F"/>
    <w:rsid w:val="00FB113C"/>
    <w:rsid w:val="00FB12BB"/>
    <w:rsid w:val="00FB1431"/>
    <w:rsid w:val="00FB15C9"/>
    <w:rsid w:val="00FB1764"/>
    <w:rsid w:val="00FB1B6F"/>
    <w:rsid w:val="00FB1BE0"/>
    <w:rsid w:val="00FB1DAD"/>
    <w:rsid w:val="00FB23E2"/>
    <w:rsid w:val="00FB2A4F"/>
    <w:rsid w:val="00FB2E77"/>
    <w:rsid w:val="00FB2E82"/>
    <w:rsid w:val="00FB2FB0"/>
    <w:rsid w:val="00FB2FE2"/>
    <w:rsid w:val="00FB315B"/>
    <w:rsid w:val="00FB31BE"/>
    <w:rsid w:val="00FB32F5"/>
    <w:rsid w:val="00FB3482"/>
    <w:rsid w:val="00FB351E"/>
    <w:rsid w:val="00FB35AA"/>
    <w:rsid w:val="00FB3B6A"/>
    <w:rsid w:val="00FB4125"/>
    <w:rsid w:val="00FB4238"/>
    <w:rsid w:val="00FB42D4"/>
    <w:rsid w:val="00FB4A8C"/>
    <w:rsid w:val="00FB4FEF"/>
    <w:rsid w:val="00FB508C"/>
    <w:rsid w:val="00FB521A"/>
    <w:rsid w:val="00FB5526"/>
    <w:rsid w:val="00FB5726"/>
    <w:rsid w:val="00FB585E"/>
    <w:rsid w:val="00FB5AAB"/>
    <w:rsid w:val="00FB5E78"/>
    <w:rsid w:val="00FB63F3"/>
    <w:rsid w:val="00FB6631"/>
    <w:rsid w:val="00FB6749"/>
    <w:rsid w:val="00FB6B1A"/>
    <w:rsid w:val="00FB6B6E"/>
    <w:rsid w:val="00FB70D4"/>
    <w:rsid w:val="00FB75FE"/>
    <w:rsid w:val="00FB7AAC"/>
    <w:rsid w:val="00FB7BF4"/>
    <w:rsid w:val="00FC01FB"/>
    <w:rsid w:val="00FC0287"/>
    <w:rsid w:val="00FC07CD"/>
    <w:rsid w:val="00FC084D"/>
    <w:rsid w:val="00FC0BB9"/>
    <w:rsid w:val="00FC0CE7"/>
    <w:rsid w:val="00FC0D1D"/>
    <w:rsid w:val="00FC1073"/>
    <w:rsid w:val="00FC1A5A"/>
    <w:rsid w:val="00FC215D"/>
    <w:rsid w:val="00FC2177"/>
    <w:rsid w:val="00FC2307"/>
    <w:rsid w:val="00FC2BF7"/>
    <w:rsid w:val="00FC2CE7"/>
    <w:rsid w:val="00FC2E90"/>
    <w:rsid w:val="00FC2FE5"/>
    <w:rsid w:val="00FC351C"/>
    <w:rsid w:val="00FC3682"/>
    <w:rsid w:val="00FC3726"/>
    <w:rsid w:val="00FC3853"/>
    <w:rsid w:val="00FC3A5B"/>
    <w:rsid w:val="00FC3A6A"/>
    <w:rsid w:val="00FC3A9E"/>
    <w:rsid w:val="00FC3D3F"/>
    <w:rsid w:val="00FC3F1C"/>
    <w:rsid w:val="00FC3F3B"/>
    <w:rsid w:val="00FC42F5"/>
    <w:rsid w:val="00FC4851"/>
    <w:rsid w:val="00FC4982"/>
    <w:rsid w:val="00FC4B85"/>
    <w:rsid w:val="00FC4C34"/>
    <w:rsid w:val="00FC4D43"/>
    <w:rsid w:val="00FC4E39"/>
    <w:rsid w:val="00FC4EC8"/>
    <w:rsid w:val="00FC4FBF"/>
    <w:rsid w:val="00FC5DC0"/>
    <w:rsid w:val="00FC5FEC"/>
    <w:rsid w:val="00FC6311"/>
    <w:rsid w:val="00FC63F5"/>
    <w:rsid w:val="00FC6736"/>
    <w:rsid w:val="00FC6988"/>
    <w:rsid w:val="00FC6A21"/>
    <w:rsid w:val="00FC6B81"/>
    <w:rsid w:val="00FC6D01"/>
    <w:rsid w:val="00FC7296"/>
    <w:rsid w:val="00FC7311"/>
    <w:rsid w:val="00FC767B"/>
    <w:rsid w:val="00FC76C4"/>
    <w:rsid w:val="00FC776E"/>
    <w:rsid w:val="00FC7B0B"/>
    <w:rsid w:val="00FD017B"/>
    <w:rsid w:val="00FD0276"/>
    <w:rsid w:val="00FD03EB"/>
    <w:rsid w:val="00FD0F2F"/>
    <w:rsid w:val="00FD0FDE"/>
    <w:rsid w:val="00FD10ED"/>
    <w:rsid w:val="00FD121B"/>
    <w:rsid w:val="00FD176E"/>
    <w:rsid w:val="00FD19CE"/>
    <w:rsid w:val="00FD1A37"/>
    <w:rsid w:val="00FD1FA2"/>
    <w:rsid w:val="00FD26B8"/>
    <w:rsid w:val="00FD2AD0"/>
    <w:rsid w:val="00FD2B7B"/>
    <w:rsid w:val="00FD2BD2"/>
    <w:rsid w:val="00FD2C86"/>
    <w:rsid w:val="00FD3178"/>
    <w:rsid w:val="00FD31AC"/>
    <w:rsid w:val="00FD3745"/>
    <w:rsid w:val="00FD3755"/>
    <w:rsid w:val="00FD3A46"/>
    <w:rsid w:val="00FD3B56"/>
    <w:rsid w:val="00FD3D3F"/>
    <w:rsid w:val="00FD3DAE"/>
    <w:rsid w:val="00FD4212"/>
    <w:rsid w:val="00FD44E6"/>
    <w:rsid w:val="00FD4E65"/>
    <w:rsid w:val="00FD5119"/>
    <w:rsid w:val="00FD5222"/>
    <w:rsid w:val="00FD548A"/>
    <w:rsid w:val="00FD553B"/>
    <w:rsid w:val="00FD5647"/>
    <w:rsid w:val="00FD5703"/>
    <w:rsid w:val="00FD5D64"/>
    <w:rsid w:val="00FD645D"/>
    <w:rsid w:val="00FD67A2"/>
    <w:rsid w:val="00FD6F94"/>
    <w:rsid w:val="00FD739C"/>
    <w:rsid w:val="00FD75CC"/>
    <w:rsid w:val="00FD7624"/>
    <w:rsid w:val="00FD762E"/>
    <w:rsid w:val="00FD7649"/>
    <w:rsid w:val="00FD7707"/>
    <w:rsid w:val="00FD7AF0"/>
    <w:rsid w:val="00FD7B65"/>
    <w:rsid w:val="00FD7C7F"/>
    <w:rsid w:val="00FE024D"/>
    <w:rsid w:val="00FE03C8"/>
    <w:rsid w:val="00FE06F8"/>
    <w:rsid w:val="00FE0E57"/>
    <w:rsid w:val="00FE0FC9"/>
    <w:rsid w:val="00FE119A"/>
    <w:rsid w:val="00FE1347"/>
    <w:rsid w:val="00FE1632"/>
    <w:rsid w:val="00FE1735"/>
    <w:rsid w:val="00FE1A8C"/>
    <w:rsid w:val="00FE1C0F"/>
    <w:rsid w:val="00FE1EA3"/>
    <w:rsid w:val="00FE220A"/>
    <w:rsid w:val="00FE22BC"/>
    <w:rsid w:val="00FE259B"/>
    <w:rsid w:val="00FE26BE"/>
    <w:rsid w:val="00FE2A35"/>
    <w:rsid w:val="00FE2C68"/>
    <w:rsid w:val="00FE3281"/>
    <w:rsid w:val="00FE3567"/>
    <w:rsid w:val="00FE3762"/>
    <w:rsid w:val="00FE3C14"/>
    <w:rsid w:val="00FE40D4"/>
    <w:rsid w:val="00FE454B"/>
    <w:rsid w:val="00FE458A"/>
    <w:rsid w:val="00FE485B"/>
    <w:rsid w:val="00FE4AB1"/>
    <w:rsid w:val="00FE4DF3"/>
    <w:rsid w:val="00FE50D1"/>
    <w:rsid w:val="00FE562D"/>
    <w:rsid w:val="00FE5791"/>
    <w:rsid w:val="00FE5C5F"/>
    <w:rsid w:val="00FE5CF2"/>
    <w:rsid w:val="00FE5F8D"/>
    <w:rsid w:val="00FE676F"/>
    <w:rsid w:val="00FE6B39"/>
    <w:rsid w:val="00FE6C40"/>
    <w:rsid w:val="00FE6C95"/>
    <w:rsid w:val="00FE6FA4"/>
    <w:rsid w:val="00FF02B5"/>
    <w:rsid w:val="00FF03C0"/>
    <w:rsid w:val="00FF0AA6"/>
    <w:rsid w:val="00FF0D0D"/>
    <w:rsid w:val="00FF0FD0"/>
    <w:rsid w:val="00FF13FE"/>
    <w:rsid w:val="00FF153D"/>
    <w:rsid w:val="00FF158B"/>
    <w:rsid w:val="00FF173C"/>
    <w:rsid w:val="00FF1863"/>
    <w:rsid w:val="00FF1986"/>
    <w:rsid w:val="00FF1B8C"/>
    <w:rsid w:val="00FF1E5A"/>
    <w:rsid w:val="00FF1EE8"/>
    <w:rsid w:val="00FF23F0"/>
    <w:rsid w:val="00FF254F"/>
    <w:rsid w:val="00FF29C2"/>
    <w:rsid w:val="00FF2EB1"/>
    <w:rsid w:val="00FF311A"/>
    <w:rsid w:val="00FF3397"/>
    <w:rsid w:val="00FF3419"/>
    <w:rsid w:val="00FF37E7"/>
    <w:rsid w:val="00FF3844"/>
    <w:rsid w:val="00FF3A42"/>
    <w:rsid w:val="00FF3D35"/>
    <w:rsid w:val="00FF4273"/>
    <w:rsid w:val="00FF4393"/>
    <w:rsid w:val="00FF47E4"/>
    <w:rsid w:val="00FF4830"/>
    <w:rsid w:val="00FF4857"/>
    <w:rsid w:val="00FF497F"/>
    <w:rsid w:val="00FF4AB9"/>
    <w:rsid w:val="00FF4C5B"/>
    <w:rsid w:val="00FF4F71"/>
    <w:rsid w:val="00FF5326"/>
    <w:rsid w:val="00FF5362"/>
    <w:rsid w:val="00FF557A"/>
    <w:rsid w:val="00FF5B1B"/>
    <w:rsid w:val="00FF5E11"/>
    <w:rsid w:val="00FF63E6"/>
    <w:rsid w:val="00FF675F"/>
    <w:rsid w:val="00FF6E47"/>
    <w:rsid w:val="00FF6F1B"/>
    <w:rsid w:val="00FF758B"/>
    <w:rsid w:val="00FF765B"/>
    <w:rsid w:val="00FF77C8"/>
    <w:rsid w:val="00FF788A"/>
    <w:rsid w:val="00FF7CF8"/>
    <w:rsid w:val="01031348"/>
    <w:rsid w:val="0113DF6F"/>
    <w:rsid w:val="01184836"/>
    <w:rsid w:val="01194B39"/>
    <w:rsid w:val="013DAC56"/>
    <w:rsid w:val="0142D0BC"/>
    <w:rsid w:val="0145A369"/>
    <w:rsid w:val="0170CA79"/>
    <w:rsid w:val="018B2C78"/>
    <w:rsid w:val="01ADED79"/>
    <w:rsid w:val="01B8D6CB"/>
    <w:rsid w:val="01CECD2F"/>
    <w:rsid w:val="01DF920C"/>
    <w:rsid w:val="01E502A1"/>
    <w:rsid w:val="01F8E9AA"/>
    <w:rsid w:val="0227A7D2"/>
    <w:rsid w:val="022E389A"/>
    <w:rsid w:val="02A20CB1"/>
    <w:rsid w:val="02A72031"/>
    <w:rsid w:val="02D833B4"/>
    <w:rsid w:val="02E04BCA"/>
    <w:rsid w:val="033CEB62"/>
    <w:rsid w:val="037A3CC8"/>
    <w:rsid w:val="03816893"/>
    <w:rsid w:val="03A93241"/>
    <w:rsid w:val="03D0ED04"/>
    <w:rsid w:val="03E5CCE2"/>
    <w:rsid w:val="03EC240E"/>
    <w:rsid w:val="03F483BD"/>
    <w:rsid w:val="0446EF14"/>
    <w:rsid w:val="0462662B"/>
    <w:rsid w:val="047BDE8B"/>
    <w:rsid w:val="04AD77CD"/>
    <w:rsid w:val="04B3F571"/>
    <w:rsid w:val="04D80DEA"/>
    <w:rsid w:val="04E08F70"/>
    <w:rsid w:val="04E940E5"/>
    <w:rsid w:val="04F96F22"/>
    <w:rsid w:val="0515D579"/>
    <w:rsid w:val="05ABD2F6"/>
    <w:rsid w:val="05B7D5D2"/>
    <w:rsid w:val="05DAD6AB"/>
    <w:rsid w:val="05E5BA09"/>
    <w:rsid w:val="061D585B"/>
    <w:rsid w:val="0644D79C"/>
    <w:rsid w:val="06471723"/>
    <w:rsid w:val="0652DCB1"/>
    <w:rsid w:val="066A5EB6"/>
    <w:rsid w:val="06CF8261"/>
    <w:rsid w:val="06D56176"/>
    <w:rsid w:val="06E4E76A"/>
    <w:rsid w:val="06F2D2A8"/>
    <w:rsid w:val="070CBD01"/>
    <w:rsid w:val="071545AA"/>
    <w:rsid w:val="073B417C"/>
    <w:rsid w:val="073C1E48"/>
    <w:rsid w:val="0773DA5D"/>
    <w:rsid w:val="0813711B"/>
    <w:rsid w:val="0838D32E"/>
    <w:rsid w:val="08557B8A"/>
    <w:rsid w:val="0877FC0D"/>
    <w:rsid w:val="088666D0"/>
    <w:rsid w:val="088B5AE1"/>
    <w:rsid w:val="088C76E6"/>
    <w:rsid w:val="08F30046"/>
    <w:rsid w:val="090B6F73"/>
    <w:rsid w:val="0984A457"/>
    <w:rsid w:val="0986E2CE"/>
    <w:rsid w:val="09920EB2"/>
    <w:rsid w:val="09F82B18"/>
    <w:rsid w:val="0A06F5C5"/>
    <w:rsid w:val="0A0E043C"/>
    <w:rsid w:val="0A8EA478"/>
    <w:rsid w:val="0AA9ECFE"/>
    <w:rsid w:val="0AD7DDC1"/>
    <w:rsid w:val="0B1C5CD1"/>
    <w:rsid w:val="0B8C28FB"/>
    <w:rsid w:val="0C0DBA22"/>
    <w:rsid w:val="0C56A5A8"/>
    <w:rsid w:val="0C5E59A5"/>
    <w:rsid w:val="0C62BD33"/>
    <w:rsid w:val="0C938BA6"/>
    <w:rsid w:val="0C9A593F"/>
    <w:rsid w:val="0CAD0EFC"/>
    <w:rsid w:val="0CBCE74E"/>
    <w:rsid w:val="0CC88583"/>
    <w:rsid w:val="0CD39D47"/>
    <w:rsid w:val="0CD703AB"/>
    <w:rsid w:val="0CF0FAF3"/>
    <w:rsid w:val="0D0C44B7"/>
    <w:rsid w:val="0D48A1F3"/>
    <w:rsid w:val="0D593C9B"/>
    <w:rsid w:val="0DD24347"/>
    <w:rsid w:val="0DFB4017"/>
    <w:rsid w:val="0E1CD8E4"/>
    <w:rsid w:val="0E22506E"/>
    <w:rsid w:val="0E25F232"/>
    <w:rsid w:val="0E53E541"/>
    <w:rsid w:val="0E77F67C"/>
    <w:rsid w:val="0E7A1BB6"/>
    <w:rsid w:val="0EA5EF53"/>
    <w:rsid w:val="0EEA59B6"/>
    <w:rsid w:val="0F05069A"/>
    <w:rsid w:val="0F0879EB"/>
    <w:rsid w:val="0F15A549"/>
    <w:rsid w:val="0F191FE8"/>
    <w:rsid w:val="0F2695A3"/>
    <w:rsid w:val="0F3DBEF9"/>
    <w:rsid w:val="0F6FF24B"/>
    <w:rsid w:val="0F7CB201"/>
    <w:rsid w:val="0F996CD9"/>
    <w:rsid w:val="0F9FA9C7"/>
    <w:rsid w:val="10457FB3"/>
    <w:rsid w:val="1047B336"/>
    <w:rsid w:val="1080B87C"/>
    <w:rsid w:val="10A5ED5B"/>
    <w:rsid w:val="10A85A4C"/>
    <w:rsid w:val="10AF5431"/>
    <w:rsid w:val="10C9D831"/>
    <w:rsid w:val="10DC22BE"/>
    <w:rsid w:val="10E09C2D"/>
    <w:rsid w:val="10FE7E42"/>
    <w:rsid w:val="115F4CAF"/>
    <w:rsid w:val="119928CD"/>
    <w:rsid w:val="11D0F3D6"/>
    <w:rsid w:val="122B5BE0"/>
    <w:rsid w:val="1234EE63"/>
    <w:rsid w:val="1263DBCB"/>
    <w:rsid w:val="127422BC"/>
    <w:rsid w:val="129B60DB"/>
    <w:rsid w:val="12DB173B"/>
    <w:rsid w:val="12EC65B0"/>
    <w:rsid w:val="132AAFE3"/>
    <w:rsid w:val="13346E99"/>
    <w:rsid w:val="133F2A2F"/>
    <w:rsid w:val="134B72C4"/>
    <w:rsid w:val="1370EAA1"/>
    <w:rsid w:val="137FF2B9"/>
    <w:rsid w:val="1402104A"/>
    <w:rsid w:val="143747CE"/>
    <w:rsid w:val="1459616D"/>
    <w:rsid w:val="146D086B"/>
    <w:rsid w:val="147EEEE1"/>
    <w:rsid w:val="1492581C"/>
    <w:rsid w:val="1494DFAC"/>
    <w:rsid w:val="14AC46C2"/>
    <w:rsid w:val="14ADCE56"/>
    <w:rsid w:val="14DE39C0"/>
    <w:rsid w:val="14FC0E22"/>
    <w:rsid w:val="152307AA"/>
    <w:rsid w:val="1532FF26"/>
    <w:rsid w:val="154CF68F"/>
    <w:rsid w:val="1580B04C"/>
    <w:rsid w:val="158FE313"/>
    <w:rsid w:val="15ACDD78"/>
    <w:rsid w:val="15BBB0F6"/>
    <w:rsid w:val="1609368C"/>
    <w:rsid w:val="160A4E12"/>
    <w:rsid w:val="162C34A0"/>
    <w:rsid w:val="1635ECC1"/>
    <w:rsid w:val="169A62B6"/>
    <w:rsid w:val="169D544E"/>
    <w:rsid w:val="16A9D9F3"/>
    <w:rsid w:val="16B82CAD"/>
    <w:rsid w:val="16BC2E22"/>
    <w:rsid w:val="16EBDAA7"/>
    <w:rsid w:val="170FE6A2"/>
    <w:rsid w:val="1765380A"/>
    <w:rsid w:val="17A2E0D4"/>
    <w:rsid w:val="17B73DBC"/>
    <w:rsid w:val="17FEC20F"/>
    <w:rsid w:val="18158E05"/>
    <w:rsid w:val="18184A7B"/>
    <w:rsid w:val="18A46E5C"/>
    <w:rsid w:val="18DB7540"/>
    <w:rsid w:val="19126195"/>
    <w:rsid w:val="19221787"/>
    <w:rsid w:val="194649B4"/>
    <w:rsid w:val="197A18CD"/>
    <w:rsid w:val="198EBE9F"/>
    <w:rsid w:val="199F1FCC"/>
    <w:rsid w:val="19AC074E"/>
    <w:rsid w:val="1A170D28"/>
    <w:rsid w:val="1A62282C"/>
    <w:rsid w:val="1A685464"/>
    <w:rsid w:val="1A81B6BB"/>
    <w:rsid w:val="1A9175A9"/>
    <w:rsid w:val="1A96908D"/>
    <w:rsid w:val="1B4186F2"/>
    <w:rsid w:val="1B634D60"/>
    <w:rsid w:val="1B7AD095"/>
    <w:rsid w:val="1B7C4BC1"/>
    <w:rsid w:val="1B8A1FEA"/>
    <w:rsid w:val="1B92FA55"/>
    <w:rsid w:val="1B9583FD"/>
    <w:rsid w:val="1B9CEE0B"/>
    <w:rsid w:val="1BA60A19"/>
    <w:rsid w:val="1BDB1CBA"/>
    <w:rsid w:val="1C0B02AD"/>
    <w:rsid w:val="1C1AD541"/>
    <w:rsid w:val="1C2041A6"/>
    <w:rsid w:val="1C2286C9"/>
    <w:rsid w:val="1C64BB9F"/>
    <w:rsid w:val="1CA1434F"/>
    <w:rsid w:val="1CAE9988"/>
    <w:rsid w:val="1D1CCAE4"/>
    <w:rsid w:val="1D8C3C58"/>
    <w:rsid w:val="1E616392"/>
    <w:rsid w:val="1E86832B"/>
    <w:rsid w:val="1E8A3A4B"/>
    <w:rsid w:val="1EBD7058"/>
    <w:rsid w:val="1EE3B822"/>
    <w:rsid w:val="1F1D18E5"/>
    <w:rsid w:val="1F4E0418"/>
    <w:rsid w:val="1F68A38C"/>
    <w:rsid w:val="1FC7E467"/>
    <w:rsid w:val="1FDF5B0E"/>
    <w:rsid w:val="1FE99595"/>
    <w:rsid w:val="202DB1B1"/>
    <w:rsid w:val="2086CFB7"/>
    <w:rsid w:val="20A08749"/>
    <w:rsid w:val="20A6BCF1"/>
    <w:rsid w:val="20B8E363"/>
    <w:rsid w:val="20C82D11"/>
    <w:rsid w:val="20F7F2DF"/>
    <w:rsid w:val="213D49E4"/>
    <w:rsid w:val="2153A9A1"/>
    <w:rsid w:val="219A9494"/>
    <w:rsid w:val="21A3A9B2"/>
    <w:rsid w:val="21C481F4"/>
    <w:rsid w:val="21D35AC0"/>
    <w:rsid w:val="21D6E61A"/>
    <w:rsid w:val="21D88770"/>
    <w:rsid w:val="21E8F47F"/>
    <w:rsid w:val="21FE26B8"/>
    <w:rsid w:val="222286CD"/>
    <w:rsid w:val="226B79E2"/>
    <w:rsid w:val="227DE7E7"/>
    <w:rsid w:val="2283B9E2"/>
    <w:rsid w:val="22B0B7F2"/>
    <w:rsid w:val="22BC1285"/>
    <w:rsid w:val="22D1B841"/>
    <w:rsid w:val="22E3C2A0"/>
    <w:rsid w:val="22E481C3"/>
    <w:rsid w:val="231E6E5F"/>
    <w:rsid w:val="231F777E"/>
    <w:rsid w:val="237435B0"/>
    <w:rsid w:val="239E9CEC"/>
    <w:rsid w:val="23A0E475"/>
    <w:rsid w:val="23A89534"/>
    <w:rsid w:val="23C4CF00"/>
    <w:rsid w:val="242F6BCA"/>
    <w:rsid w:val="2467DF8E"/>
    <w:rsid w:val="2481CEB0"/>
    <w:rsid w:val="24887B3A"/>
    <w:rsid w:val="24E1D5D3"/>
    <w:rsid w:val="24EC560D"/>
    <w:rsid w:val="24F32457"/>
    <w:rsid w:val="2523C796"/>
    <w:rsid w:val="25269C72"/>
    <w:rsid w:val="253436FC"/>
    <w:rsid w:val="25442262"/>
    <w:rsid w:val="25462787"/>
    <w:rsid w:val="2554A4F0"/>
    <w:rsid w:val="255D03B5"/>
    <w:rsid w:val="25711ED1"/>
    <w:rsid w:val="2593B1FB"/>
    <w:rsid w:val="259FF805"/>
    <w:rsid w:val="25BA6ED8"/>
    <w:rsid w:val="25CC1F57"/>
    <w:rsid w:val="26042A0C"/>
    <w:rsid w:val="2616D2FB"/>
    <w:rsid w:val="262A8912"/>
    <w:rsid w:val="262E13FD"/>
    <w:rsid w:val="262E5AF5"/>
    <w:rsid w:val="2652F54B"/>
    <w:rsid w:val="265E1A04"/>
    <w:rsid w:val="26619635"/>
    <w:rsid w:val="26777708"/>
    <w:rsid w:val="2687D0A3"/>
    <w:rsid w:val="26CA7E13"/>
    <w:rsid w:val="27200619"/>
    <w:rsid w:val="2803898D"/>
    <w:rsid w:val="285E39F4"/>
    <w:rsid w:val="28968895"/>
    <w:rsid w:val="2899F9B3"/>
    <w:rsid w:val="28C04679"/>
    <w:rsid w:val="28FFB1B6"/>
    <w:rsid w:val="2937A1C1"/>
    <w:rsid w:val="296DACE8"/>
    <w:rsid w:val="29D8F978"/>
    <w:rsid w:val="29D9877E"/>
    <w:rsid w:val="29FF8C05"/>
    <w:rsid w:val="2A0049EF"/>
    <w:rsid w:val="2A17C61E"/>
    <w:rsid w:val="2A3CF4F5"/>
    <w:rsid w:val="2A5E8A88"/>
    <w:rsid w:val="2A6387AB"/>
    <w:rsid w:val="2A7C2812"/>
    <w:rsid w:val="2A9CDC43"/>
    <w:rsid w:val="2AD5D050"/>
    <w:rsid w:val="2AF91400"/>
    <w:rsid w:val="2AFC20BA"/>
    <w:rsid w:val="2B0BEEF8"/>
    <w:rsid w:val="2B823409"/>
    <w:rsid w:val="2B8EC101"/>
    <w:rsid w:val="2B8FFE8C"/>
    <w:rsid w:val="2BA9359C"/>
    <w:rsid w:val="2BF55416"/>
    <w:rsid w:val="2BFF8A7F"/>
    <w:rsid w:val="2C008B59"/>
    <w:rsid w:val="2C92E14D"/>
    <w:rsid w:val="2CAA0536"/>
    <w:rsid w:val="2CF17031"/>
    <w:rsid w:val="2D021603"/>
    <w:rsid w:val="2D0A964A"/>
    <w:rsid w:val="2D46C54E"/>
    <w:rsid w:val="2D4E2F9C"/>
    <w:rsid w:val="2D72508C"/>
    <w:rsid w:val="2D859427"/>
    <w:rsid w:val="2D86CADF"/>
    <w:rsid w:val="2DCEBCC6"/>
    <w:rsid w:val="2DD6130A"/>
    <w:rsid w:val="2E0258A9"/>
    <w:rsid w:val="2E102CF2"/>
    <w:rsid w:val="2E2FAE57"/>
    <w:rsid w:val="2E3663C8"/>
    <w:rsid w:val="2E3D7818"/>
    <w:rsid w:val="2E4A25EB"/>
    <w:rsid w:val="2E74DC7F"/>
    <w:rsid w:val="2E800E74"/>
    <w:rsid w:val="2E88DEC1"/>
    <w:rsid w:val="2E933764"/>
    <w:rsid w:val="2ED61BCD"/>
    <w:rsid w:val="2EF7D52D"/>
    <w:rsid w:val="2F6172C7"/>
    <w:rsid w:val="2F7F54E3"/>
    <w:rsid w:val="2F85C5FA"/>
    <w:rsid w:val="2F88A1A9"/>
    <w:rsid w:val="2F89B827"/>
    <w:rsid w:val="2FC39503"/>
    <w:rsid w:val="2FF2E77A"/>
    <w:rsid w:val="30187E49"/>
    <w:rsid w:val="304330DA"/>
    <w:rsid w:val="3099C132"/>
    <w:rsid w:val="30BBF823"/>
    <w:rsid w:val="30BC8E34"/>
    <w:rsid w:val="31007F36"/>
    <w:rsid w:val="313C7E8C"/>
    <w:rsid w:val="315517F4"/>
    <w:rsid w:val="31968E69"/>
    <w:rsid w:val="32412FE4"/>
    <w:rsid w:val="3241FA9E"/>
    <w:rsid w:val="324D3B3B"/>
    <w:rsid w:val="327170F2"/>
    <w:rsid w:val="327326BF"/>
    <w:rsid w:val="327DD4A6"/>
    <w:rsid w:val="3281DD20"/>
    <w:rsid w:val="3286ACFE"/>
    <w:rsid w:val="32A9FF50"/>
    <w:rsid w:val="32BE2E56"/>
    <w:rsid w:val="32DC8B9D"/>
    <w:rsid w:val="32E73B4E"/>
    <w:rsid w:val="32F1869D"/>
    <w:rsid w:val="3348D3D5"/>
    <w:rsid w:val="3368A043"/>
    <w:rsid w:val="33AEBD87"/>
    <w:rsid w:val="33C09C64"/>
    <w:rsid w:val="33E993B8"/>
    <w:rsid w:val="33E9A02F"/>
    <w:rsid w:val="342864EE"/>
    <w:rsid w:val="3442C12C"/>
    <w:rsid w:val="3463829B"/>
    <w:rsid w:val="34A6F78A"/>
    <w:rsid w:val="34AF0040"/>
    <w:rsid w:val="3555611D"/>
    <w:rsid w:val="356FC902"/>
    <w:rsid w:val="358151A7"/>
    <w:rsid w:val="3594FC68"/>
    <w:rsid w:val="3616DD2D"/>
    <w:rsid w:val="36522466"/>
    <w:rsid w:val="36B1781E"/>
    <w:rsid w:val="36E5F141"/>
    <w:rsid w:val="379BC342"/>
    <w:rsid w:val="37D2652C"/>
    <w:rsid w:val="380706CB"/>
    <w:rsid w:val="381BD507"/>
    <w:rsid w:val="383A18BE"/>
    <w:rsid w:val="3860B711"/>
    <w:rsid w:val="3883CE12"/>
    <w:rsid w:val="3891AD62"/>
    <w:rsid w:val="38AA9FEC"/>
    <w:rsid w:val="38DD1E2B"/>
    <w:rsid w:val="39280AFA"/>
    <w:rsid w:val="392DC7CF"/>
    <w:rsid w:val="39449862"/>
    <w:rsid w:val="39CBD068"/>
    <w:rsid w:val="39FC8772"/>
    <w:rsid w:val="3A044686"/>
    <w:rsid w:val="3A072735"/>
    <w:rsid w:val="3A0BFA50"/>
    <w:rsid w:val="3A30E5A0"/>
    <w:rsid w:val="3A4C376F"/>
    <w:rsid w:val="3A5D82CF"/>
    <w:rsid w:val="3A85AC73"/>
    <w:rsid w:val="3A89991C"/>
    <w:rsid w:val="3A968BF2"/>
    <w:rsid w:val="3ACF13C1"/>
    <w:rsid w:val="3ADEF6D1"/>
    <w:rsid w:val="3AF50639"/>
    <w:rsid w:val="3AFF682D"/>
    <w:rsid w:val="3B442631"/>
    <w:rsid w:val="3B90161B"/>
    <w:rsid w:val="3B9857D3"/>
    <w:rsid w:val="3BBFB9C8"/>
    <w:rsid w:val="3BEEEC32"/>
    <w:rsid w:val="3C01528C"/>
    <w:rsid w:val="3C098CB9"/>
    <w:rsid w:val="3C0DDD21"/>
    <w:rsid w:val="3C89E160"/>
    <w:rsid w:val="3CACD624"/>
    <w:rsid w:val="3CB0103C"/>
    <w:rsid w:val="3CCBB5BA"/>
    <w:rsid w:val="3CD6A5A1"/>
    <w:rsid w:val="3CEA1A74"/>
    <w:rsid w:val="3D26C91B"/>
    <w:rsid w:val="3D28ACB0"/>
    <w:rsid w:val="3D946E53"/>
    <w:rsid w:val="3DA944B9"/>
    <w:rsid w:val="3DBCD40F"/>
    <w:rsid w:val="3DC8D042"/>
    <w:rsid w:val="3E2B96F1"/>
    <w:rsid w:val="3E3CB412"/>
    <w:rsid w:val="3E426E29"/>
    <w:rsid w:val="3E478843"/>
    <w:rsid w:val="3E4B8D76"/>
    <w:rsid w:val="3E62C096"/>
    <w:rsid w:val="3EA6C899"/>
    <w:rsid w:val="3EEA6FF2"/>
    <w:rsid w:val="3F0A918D"/>
    <w:rsid w:val="3F219DCE"/>
    <w:rsid w:val="3F292E03"/>
    <w:rsid w:val="3F4F96EF"/>
    <w:rsid w:val="3F56B80F"/>
    <w:rsid w:val="3F67EB4F"/>
    <w:rsid w:val="3FB8218D"/>
    <w:rsid w:val="3FD4F486"/>
    <w:rsid w:val="3FE77843"/>
    <w:rsid w:val="40090388"/>
    <w:rsid w:val="401E3051"/>
    <w:rsid w:val="4071141B"/>
    <w:rsid w:val="4091417B"/>
    <w:rsid w:val="409EEDD9"/>
    <w:rsid w:val="40CF8F58"/>
    <w:rsid w:val="40F8227E"/>
    <w:rsid w:val="4102F63E"/>
    <w:rsid w:val="413EA5F5"/>
    <w:rsid w:val="4163B8DE"/>
    <w:rsid w:val="419EAB7A"/>
    <w:rsid w:val="41B88FFC"/>
    <w:rsid w:val="4202A1F5"/>
    <w:rsid w:val="422B7427"/>
    <w:rsid w:val="424BF568"/>
    <w:rsid w:val="42572C31"/>
    <w:rsid w:val="426E9461"/>
    <w:rsid w:val="42721695"/>
    <w:rsid w:val="427E9BE8"/>
    <w:rsid w:val="42906F3E"/>
    <w:rsid w:val="42A441B3"/>
    <w:rsid w:val="42B41C2B"/>
    <w:rsid w:val="42E233ED"/>
    <w:rsid w:val="42F45F68"/>
    <w:rsid w:val="43027E83"/>
    <w:rsid w:val="430B16C8"/>
    <w:rsid w:val="4311C9DC"/>
    <w:rsid w:val="4312576E"/>
    <w:rsid w:val="43265226"/>
    <w:rsid w:val="4328DC5E"/>
    <w:rsid w:val="4344E323"/>
    <w:rsid w:val="4357E5E2"/>
    <w:rsid w:val="4370A424"/>
    <w:rsid w:val="43C936BF"/>
    <w:rsid w:val="43CED387"/>
    <w:rsid w:val="44113B98"/>
    <w:rsid w:val="4442FDED"/>
    <w:rsid w:val="44546079"/>
    <w:rsid w:val="445B25C4"/>
    <w:rsid w:val="445D981F"/>
    <w:rsid w:val="4464D370"/>
    <w:rsid w:val="4482132E"/>
    <w:rsid w:val="4485B929"/>
    <w:rsid w:val="44FADD51"/>
    <w:rsid w:val="4543EF06"/>
    <w:rsid w:val="4547279F"/>
    <w:rsid w:val="4569B29C"/>
    <w:rsid w:val="457F24E8"/>
    <w:rsid w:val="4590F063"/>
    <w:rsid w:val="45B7E622"/>
    <w:rsid w:val="45B92A94"/>
    <w:rsid w:val="45F4994B"/>
    <w:rsid w:val="46547376"/>
    <w:rsid w:val="468D13C5"/>
    <w:rsid w:val="46A2C076"/>
    <w:rsid w:val="46E2F800"/>
    <w:rsid w:val="46FD23DA"/>
    <w:rsid w:val="474C7491"/>
    <w:rsid w:val="475102D4"/>
    <w:rsid w:val="48052951"/>
    <w:rsid w:val="482F9B9A"/>
    <w:rsid w:val="48624FC3"/>
    <w:rsid w:val="487056E9"/>
    <w:rsid w:val="48B04D53"/>
    <w:rsid w:val="48DE1F29"/>
    <w:rsid w:val="48E4D270"/>
    <w:rsid w:val="48EE7A86"/>
    <w:rsid w:val="49054795"/>
    <w:rsid w:val="4910E991"/>
    <w:rsid w:val="4920D9B0"/>
    <w:rsid w:val="49511182"/>
    <w:rsid w:val="49553A45"/>
    <w:rsid w:val="49569238"/>
    <w:rsid w:val="496D7CF3"/>
    <w:rsid w:val="49832C98"/>
    <w:rsid w:val="4989AE3F"/>
    <w:rsid w:val="498D5075"/>
    <w:rsid w:val="499858F2"/>
    <w:rsid w:val="49BE317E"/>
    <w:rsid w:val="49CFA26F"/>
    <w:rsid w:val="49DD7C75"/>
    <w:rsid w:val="4A09DC76"/>
    <w:rsid w:val="4A0BE5A0"/>
    <w:rsid w:val="4A2C9E5A"/>
    <w:rsid w:val="4A5ED128"/>
    <w:rsid w:val="4AA00C07"/>
    <w:rsid w:val="4AF68E53"/>
    <w:rsid w:val="4B1C8C59"/>
    <w:rsid w:val="4B237D4E"/>
    <w:rsid w:val="4B44206D"/>
    <w:rsid w:val="4B4A9127"/>
    <w:rsid w:val="4B7F63CB"/>
    <w:rsid w:val="4B7F6A25"/>
    <w:rsid w:val="4B98AC64"/>
    <w:rsid w:val="4B9D6D63"/>
    <w:rsid w:val="4BCD9385"/>
    <w:rsid w:val="4BD27087"/>
    <w:rsid w:val="4C0778EE"/>
    <w:rsid w:val="4C0F7B9C"/>
    <w:rsid w:val="4C4B015B"/>
    <w:rsid w:val="4C567E05"/>
    <w:rsid w:val="4CC21256"/>
    <w:rsid w:val="4CD54E62"/>
    <w:rsid w:val="4D1A26E4"/>
    <w:rsid w:val="4D4042AB"/>
    <w:rsid w:val="4D9A0A32"/>
    <w:rsid w:val="4DC0DFCA"/>
    <w:rsid w:val="4DC5FC57"/>
    <w:rsid w:val="4DFB808B"/>
    <w:rsid w:val="4E1480F4"/>
    <w:rsid w:val="4E26CC77"/>
    <w:rsid w:val="4E98FB73"/>
    <w:rsid w:val="4EFB94E8"/>
    <w:rsid w:val="4F85F913"/>
    <w:rsid w:val="504011DE"/>
    <w:rsid w:val="50739565"/>
    <w:rsid w:val="5073BAF7"/>
    <w:rsid w:val="5097B14C"/>
    <w:rsid w:val="509C526A"/>
    <w:rsid w:val="50BB5DAB"/>
    <w:rsid w:val="50F7B167"/>
    <w:rsid w:val="51276FFC"/>
    <w:rsid w:val="516310CE"/>
    <w:rsid w:val="5191B378"/>
    <w:rsid w:val="5193DA65"/>
    <w:rsid w:val="51B8D0C5"/>
    <w:rsid w:val="51C5ED2A"/>
    <w:rsid w:val="52642BCA"/>
    <w:rsid w:val="52717782"/>
    <w:rsid w:val="52BD4723"/>
    <w:rsid w:val="530501D2"/>
    <w:rsid w:val="5314B2F4"/>
    <w:rsid w:val="5323B091"/>
    <w:rsid w:val="5329FDFB"/>
    <w:rsid w:val="53311935"/>
    <w:rsid w:val="5351084C"/>
    <w:rsid w:val="53621823"/>
    <w:rsid w:val="5367C371"/>
    <w:rsid w:val="53878A42"/>
    <w:rsid w:val="5395F65F"/>
    <w:rsid w:val="53A74ACD"/>
    <w:rsid w:val="53B9D5F0"/>
    <w:rsid w:val="5406ED2F"/>
    <w:rsid w:val="5422C66F"/>
    <w:rsid w:val="543C595A"/>
    <w:rsid w:val="546B187B"/>
    <w:rsid w:val="54917F60"/>
    <w:rsid w:val="549C05BB"/>
    <w:rsid w:val="54F99E19"/>
    <w:rsid w:val="55130D01"/>
    <w:rsid w:val="5515EF63"/>
    <w:rsid w:val="55756B9E"/>
    <w:rsid w:val="55D4AAF0"/>
    <w:rsid w:val="55F4043F"/>
    <w:rsid w:val="56241F86"/>
    <w:rsid w:val="567A405D"/>
    <w:rsid w:val="568ADEF2"/>
    <w:rsid w:val="569F3F98"/>
    <w:rsid w:val="56C9049C"/>
    <w:rsid w:val="571B686A"/>
    <w:rsid w:val="5780EE39"/>
    <w:rsid w:val="579308A6"/>
    <w:rsid w:val="57A28BF3"/>
    <w:rsid w:val="57A5562A"/>
    <w:rsid w:val="57FE27B2"/>
    <w:rsid w:val="5827C9C3"/>
    <w:rsid w:val="582CBF22"/>
    <w:rsid w:val="585FBC03"/>
    <w:rsid w:val="58608254"/>
    <w:rsid w:val="58A091CE"/>
    <w:rsid w:val="58AF78C1"/>
    <w:rsid w:val="58DCB97A"/>
    <w:rsid w:val="592A04AD"/>
    <w:rsid w:val="59750E71"/>
    <w:rsid w:val="598BA1F3"/>
    <w:rsid w:val="599EDB64"/>
    <w:rsid w:val="59A10D90"/>
    <w:rsid w:val="59CEC8DB"/>
    <w:rsid w:val="59D5D3F3"/>
    <w:rsid w:val="59FE8E57"/>
    <w:rsid w:val="5A099596"/>
    <w:rsid w:val="5A274D82"/>
    <w:rsid w:val="5A27B147"/>
    <w:rsid w:val="5A35A2BB"/>
    <w:rsid w:val="5A5AD5C1"/>
    <w:rsid w:val="5A5FE1E9"/>
    <w:rsid w:val="5AA37FF7"/>
    <w:rsid w:val="5AEF4816"/>
    <w:rsid w:val="5B07F167"/>
    <w:rsid w:val="5B084BC0"/>
    <w:rsid w:val="5B4279C1"/>
    <w:rsid w:val="5B6168BA"/>
    <w:rsid w:val="5B6EDF97"/>
    <w:rsid w:val="5BAA91DD"/>
    <w:rsid w:val="5BC0FEE3"/>
    <w:rsid w:val="5BC7B17A"/>
    <w:rsid w:val="5BEF1501"/>
    <w:rsid w:val="5BF52F8C"/>
    <w:rsid w:val="5C1F1D6A"/>
    <w:rsid w:val="5C58325F"/>
    <w:rsid w:val="5CAF3C28"/>
    <w:rsid w:val="5CEB97FC"/>
    <w:rsid w:val="5CF262D1"/>
    <w:rsid w:val="5D0AB353"/>
    <w:rsid w:val="5D4771BD"/>
    <w:rsid w:val="5DA040F0"/>
    <w:rsid w:val="5DBB9C98"/>
    <w:rsid w:val="5DBD0AB0"/>
    <w:rsid w:val="5DE57197"/>
    <w:rsid w:val="5E288693"/>
    <w:rsid w:val="5E52539C"/>
    <w:rsid w:val="5E5AF2D8"/>
    <w:rsid w:val="5E6E3478"/>
    <w:rsid w:val="5E886E1E"/>
    <w:rsid w:val="5EC4826C"/>
    <w:rsid w:val="5EE78F27"/>
    <w:rsid w:val="5EE8AD38"/>
    <w:rsid w:val="5EF374C7"/>
    <w:rsid w:val="5F1B47B9"/>
    <w:rsid w:val="5F226ED9"/>
    <w:rsid w:val="5F53D70A"/>
    <w:rsid w:val="5F622F37"/>
    <w:rsid w:val="5F7DE040"/>
    <w:rsid w:val="5F82E595"/>
    <w:rsid w:val="5F9C7EEA"/>
    <w:rsid w:val="5FB4431F"/>
    <w:rsid w:val="5FD82B21"/>
    <w:rsid w:val="5FDD36D8"/>
    <w:rsid w:val="5FEE94BC"/>
    <w:rsid w:val="60023E76"/>
    <w:rsid w:val="60045FBD"/>
    <w:rsid w:val="600689F5"/>
    <w:rsid w:val="601927B7"/>
    <w:rsid w:val="601A1478"/>
    <w:rsid w:val="6028D79C"/>
    <w:rsid w:val="6034AD35"/>
    <w:rsid w:val="604F7430"/>
    <w:rsid w:val="60725B91"/>
    <w:rsid w:val="608F349B"/>
    <w:rsid w:val="60A02C70"/>
    <w:rsid w:val="60A1A666"/>
    <w:rsid w:val="60B3320C"/>
    <w:rsid w:val="6135320C"/>
    <w:rsid w:val="618C67CB"/>
    <w:rsid w:val="61BD833B"/>
    <w:rsid w:val="61E048F8"/>
    <w:rsid w:val="61EC8FD8"/>
    <w:rsid w:val="61F7399A"/>
    <w:rsid w:val="620EAA0E"/>
    <w:rsid w:val="621B6647"/>
    <w:rsid w:val="6290576F"/>
    <w:rsid w:val="629A15FE"/>
    <w:rsid w:val="62F58B93"/>
    <w:rsid w:val="62FC1A9C"/>
    <w:rsid w:val="63198062"/>
    <w:rsid w:val="6324D576"/>
    <w:rsid w:val="634644C1"/>
    <w:rsid w:val="63A83BC3"/>
    <w:rsid w:val="63BF3FF7"/>
    <w:rsid w:val="63E4A6B4"/>
    <w:rsid w:val="63E5E439"/>
    <w:rsid w:val="63FD09C7"/>
    <w:rsid w:val="642EAB8A"/>
    <w:rsid w:val="64423506"/>
    <w:rsid w:val="645FFC8B"/>
    <w:rsid w:val="6478542C"/>
    <w:rsid w:val="6492C04C"/>
    <w:rsid w:val="6498A0FC"/>
    <w:rsid w:val="64DC47DD"/>
    <w:rsid w:val="64EF83BB"/>
    <w:rsid w:val="64F08B54"/>
    <w:rsid w:val="64F59D9F"/>
    <w:rsid w:val="65100483"/>
    <w:rsid w:val="65414C80"/>
    <w:rsid w:val="65AF44E5"/>
    <w:rsid w:val="65D5BEC5"/>
    <w:rsid w:val="65EA07FB"/>
    <w:rsid w:val="65F69A7D"/>
    <w:rsid w:val="65FDB1EC"/>
    <w:rsid w:val="660D55F4"/>
    <w:rsid w:val="6619DD27"/>
    <w:rsid w:val="6628F674"/>
    <w:rsid w:val="6645D410"/>
    <w:rsid w:val="66849660"/>
    <w:rsid w:val="6689B07F"/>
    <w:rsid w:val="66A9C0F9"/>
    <w:rsid w:val="66B566F9"/>
    <w:rsid w:val="66B95EEA"/>
    <w:rsid w:val="66C8C61E"/>
    <w:rsid w:val="673D6B36"/>
    <w:rsid w:val="67557DE2"/>
    <w:rsid w:val="678673EF"/>
    <w:rsid w:val="67908236"/>
    <w:rsid w:val="6799685B"/>
    <w:rsid w:val="67A86F16"/>
    <w:rsid w:val="67A910C9"/>
    <w:rsid w:val="67A97D69"/>
    <w:rsid w:val="67AE5059"/>
    <w:rsid w:val="67B2F6BF"/>
    <w:rsid w:val="67D84FC1"/>
    <w:rsid w:val="67F81B18"/>
    <w:rsid w:val="68107160"/>
    <w:rsid w:val="6816E0C0"/>
    <w:rsid w:val="68184509"/>
    <w:rsid w:val="68554054"/>
    <w:rsid w:val="686E8BBD"/>
    <w:rsid w:val="687155DF"/>
    <w:rsid w:val="6880FF8E"/>
    <w:rsid w:val="689926B3"/>
    <w:rsid w:val="68CA80DD"/>
    <w:rsid w:val="68D39BFF"/>
    <w:rsid w:val="6900D6C3"/>
    <w:rsid w:val="690D4458"/>
    <w:rsid w:val="69246C69"/>
    <w:rsid w:val="694FB292"/>
    <w:rsid w:val="69641B26"/>
    <w:rsid w:val="696EDE7F"/>
    <w:rsid w:val="6986F068"/>
    <w:rsid w:val="698F755A"/>
    <w:rsid w:val="69CAB265"/>
    <w:rsid w:val="6A02FC5E"/>
    <w:rsid w:val="6A4819B9"/>
    <w:rsid w:val="6A67B7E6"/>
    <w:rsid w:val="6A68D925"/>
    <w:rsid w:val="6A764B12"/>
    <w:rsid w:val="6B4B5AD6"/>
    <w:rsid w:val="6B4BBA53"/>
    <w:rsid w:val="6B5A5099"/>
    <w:rsid w:val="6BD4FF02"/>
    <w:rsid w:val="6C0EF0A4"/>
    <w:rsid w:val="6C1BB906"/>
    <w:rsid w:val="6C2399D5"/>
    <w:rsid w:val="6C2C3968"/>
    <w:rsid w:val="6C57850C"/>
    <w:rsid w:val="6C85C470"/>
    <w:rsid w:val="6CDBC859"/>
    <w:rsid w:val="6CE37624"/>
    <w:rsid w:val="6D2A5160"/>
    <w:rsid w:val="6D34850A"/>
    <w:rsid w:val="6D6C4CD8"/>
    <w:rsid w:val="6D6FC170"/>
    <w:rsid w:val="6D7675BA"/>
    <w:rsid w:val="6DC1BAE3"/>
    <w:rsid w:val="6E556C9F"/>
    <w:rsid w:val="6E907645"/>
    <w:rsid w:val="6E99BBFC"/>
    <w:rsid w:val="6ECA6110"/>
    <w:rsid w:val="6F12FB12"/>
    <w:rsid w:val="6F3638C4"/>
    <w:rsid w:val="6F50A202"/>
    <w:rsid w:val="6F8C3507"/>
    <w:rsid w:val="6FC56E5A"/>
    <w:rsid w:val="7012160F"/>
    <w:rsid w:val="7068DCE6"/>
    <w:rsid w:val="707D43BF"/>
    <w:rsid w:val="70B77D0E"/>
    <w:rsid w:val="70C645B3"/>
    <w:rsid w:val="70FB0E67"/>
    <w:rsid w:val="711A3F10"/>
    <w:rsid w:val="715E9532"/>
    <w:rsid w:val="721D0250"/>
    <w:rsid w:val="724675FA"/>
    <w:rsid w:val="727165F8"/>
    <w:rsid w:val="72D228A5"/>
    <w:rsid w:val="72FA083F"/>
    <w:rsid w:val="72FCF3AC"/>
    <w:rsid w:val="7307B69D"/>
    <w:rsid w:val="731E4A6A"/>
    <w:rsid w:val="733795A8"/>
    <w:rsid w:val="733DBF5B"/>
    <w:rsid w:val="73435577"/>
    <w:rsid w:val="7344624C"/>
    <w:rsid w:val="736EC6E1"/>
    <w:rsid w:val="7388FBFF"/>
    <w:rsid w:val="738A84BE"/>
    <w:rsid w:val="7395A500"/>
    <w:rsid w:val="73A0F594"/>
    <w:rsid w:val="73AA44E5"/>
    <w:rsid w:val="73C16EB8"/>
    <w:rsid w:val="73DC86DD"/>
    <w:rsid w:val="73FFBBDD"/>
    <w:rsid w:val="74465CC9"/>
    <w:rsid w:val="7450AA6D"/>
    <w:rsid w:val="745112C6"/>
    <w:rsid w:val="7465B49F"/>
    <w:rsid w:val="7479B81A"/>
    <w:rsid w:val="7480E86C"/>
    <w:rsid w:val="748347C1"/>
    <w:rsid w:val="74A0C13E"/>
    <w:rsid w:val="74B87475"/>
    <w:rsid w:val="74E9E6C1"/>
    <w:rsid w:val="750CDC3D"/>
    <w:rsid w:val="758810BE"/>
    <w:rsid w:val="75E1B97E"/>
    <w:rsid w:val="75EBAD82"/>
    <w:rsid w:val="760A39B3"/>
    <w:rsid w:val="7624B143"/>
    <w:rsid w:val="7645A636"/>
    <w:rsid w:val="7652F2BC"/>
    <w:rsid w:val="76C9BDDF"/>
    <w:rsid w:val="76CED4BB"/>
    <w:rsid w:val="76D049D1"/>
    <w:rsid w:val="772D58D0"/>
    <w:rsid w:val="777034CC"/>
    <w:rsid w:val="777B9B3C"/>
    <w:rsid w:val="7797D9DA"/>
    <w:rsid w:val="77FCCBD4"/>
    <w:rsid w:val="78278356"/>
    <w:rsid w:val="78457208"/>
    <w:rsid w:val="787A0A3D"/>
    <w:rsid w:val="78B3BD4D"/>
    <w:rsid w:val="78B7CC01"/>
    <w:rsid w:val="78D1120E"/>
    <w:rsid w:val="797ABD6B"/>
    <w:rsid w:val="797B8AB1"/>
    <w:rsid w:val="79904AD7"/>
    <w:rsid w:val="79B4AFB7"/>
    <w:rsid w:val="7A594E33"/>
    <w:rsid w:val="7A7ED2A6"/>
    <w:rsid w:val="7A84BF20"/>
    <w:rsid w:val="7ACC5AEB"/>
    <w:rsid w:val="7B2B6E99"/>
    <w:rsid w:val="7B58D2CB"/>
    <w:rsid w:val="7B84D826"/>
    <w:rsid w:val="7B8AC01A"/>
    <w:rsid w:val="7C1A991A"/>
    <w:rsid w:val="7C3172D8"/>
    <w:rsid w:val="7C325ABC"/>
    <w:rsid w:val="7C4FA1CF"/>
    <w:rsid w:val="7C735BEE"/>
    <w:rsid w:val="7C9509A7"/>
    <w:rsid w:val="7C9818AC"/>
    <w:rsid w:val="7CC23440"/>
    <w:rsid w:val="7CDE2793"/>
    <w:rsid w:val="7D1CB4E7"/>
    <w:rsid w:val="7D524150"/>
    <w:rsid w:val="7D8334FD"/>
    <w:rsid w:val="7DAD3FF4"/>
    <w:rsid w:val="7DC5E817"/>
    <w:rsid w:val="7DC9FE5A"/>
    <w:rsid w:val="7DFEB40E"/>
    <w:rsid w:val="7E32F3BD"/>
    <w:rsid w:val="7E6BEF28"/>
    <w:rsid w:val="7EEFA170"/>
    <w:rsid w:val="7F266712"/>
    <w:rsid w:val="7F2AB720"/>
    <w:rsid w:val="7F52E6A5"/>
    <w:rsid w:val="7F6ECE40"/>
    <w:rsid w:val="7F7B5B47"/>
    <w:rsid w:val="7F7E4045"/>
    <w:rsid w:val="7FAA570D"/>
    <w:rsid w:val="7FB328FE"/>
    <w:rsid w:val="7FB50FDF"/>
    <w:rsid w:val="7FBE7962"/>
    <w:rsid w:val="7FC547F0"/>
    <w:rsid w:val="7FD6B125"/>
    <w:rsid w:val="7FE90D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D3CA"/>
  <w15:docId w15:val="{2EA880FE-1B6D-4BE4-B584-264CF116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3C"/>
    <w:rPr>
      <w:rFonts w:ascii="Arial" w:hAnsi="Arial"/>
      <w:sz w:val="24"/>
    </w:rPr>
  </w:style>
  <w:style w:type="paragraph" w:styleId="Heading1">
    <w:name w:val="heading 1"/>
    <w:basedOn w:val="Normal"/>
    <w:next w:val="Normal"/>
    <w:link w:val="Heading1Char"/>
    <w:uiPriority w:val="9"/>
    <w:qFormat/>
    <w:rsid w:val="003D4617"/>
    <w:pPr>
      <w:keepNext/>
      <w:tabs>
        <w:tab w:val="right" w:pos="10206"/>
      </w:tabs>
      <w:spacing w:before="240" w:after="60" w:line="240" w:lineRule="auto"/>
      <w:outlineLvl w:val="0"/>
    </w:pPr>
    <w:rPr>
      <w:rFonts w:ascii="Arial Bold" w:eastAsia="Arial Bold" w:hAnsi="Arial Bold" w:cs="Arial Bold"/>
      <w:b/>
      <w:sz w:val="40"/>
      <w:szCs w:val="32"/>
    </w:rPr>
  </w:style>
  <w:style w:type="paragraph" w:styleId="Heading2">
    <w:name w:val="heading 2"/>
    <w:basedOn w:val="Normal"/>
    <w:next w:val="Normal"/>
    <w:uiPriority w:val="9"/>
    <w:unhideWhenUsed/>
    <w:qFormat/>
    <w:rsid w:val="003D4617"/>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60" w:after="240" w:line="240" w:lineRule="auto"/>
      <w:outlineLvl w:val="2"/>
    </w:pPr>
    <w:rPr>
      <w:rFonts w:eastAsia="Arial" w:cs="Arial"/>
      <w:b/>
      <w:color w:val="000000"/>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00349"/>
    <w:pPr>
      <w:ind w:left="720"/>
      <w:contextualSpacing/>
    </w:pPr>
  </w:style>
  <w:style w:type="character" w:styleId="CommentReference">
    <w:name w:val="annotation reference"/>
    <w:basedOn w:val="DefaultParagraphFont"/>
    <w:uiPriority w:val="99"/>
    <w:semiHidden/>
    <w:unhideWhenUsed/>
    <w:rsid w:val="002A16FC"/>
    <w:rPr>
      <w:sz w:val="16"/>
      <w:szCs w:val="16"/>
    </w:rPr>
  </w:style>
  <w:style w:type="paragraph" w:styleId="CommentText">
    <w:name w:val="annotation text"/>
    <w:basedOn w:val="Normal"/>
    <w:link w:val="CommentTextChar"/>
    <w:uiPriority w:val="99"/>
    <w:unhideWhenUsed/>
    <w:rsid w:val="002A16FC"/>
    <w:pPr>
      <w:spacing w:line="240" w:lineRule="auto"/>
    </w:pPr>
    <w:rPr>
      <w:szCs w:val="20"/>
    </w:rPr>
  </w:style>
  <w:style w:type="character" w:customStyle="1" w:styleId="CommentTextChar">
    <w:name w:val="Comment Text Char"/>
    <w:basedOn w:val="DefaultParagraphFont"/>
    <w:link w:val="CommentText"/>
    <w:uiPriority w:val="99"/>
    <w:rsid w:val="002A16FC"/>
    <w:rPr>
      <w:sz w:val="20"/>
      <w:szCs w:val="20"/>
    </w:rPr>
  </w:style>
  <w:style w:type="paragraph" w:styleId="CommentSubject">
    <w:name w:val="annotation subject"/>
    <w:basedOn w:val="CommentText"/>
    <w:next w:val="CommentText"/>
    <w:link w:val="CommentSubjectChar"/>
    <w:uiPriority w:val="99"/>
    <w:semiHidden/>
    <w:unhideWhenUsed/>
    <w:rsid w:val="002A16FC"/>
    <w:rPr>
      <w:b/>
      <w:bCs/>
    </w:rPr>
  </w:style>
  <w:style w:type="character" w:customStyle="1" w:styleId="CommentSubjectChar">
    <w:name w:val="Comment Subject Char"/>
    <w:basedOn w:val="CommentTextChar"/>
    <w:link w:val="CommentSubject"/>
    <w:uiPriority w:val="99"/>
    <w:semiHidden/>
    <w:rsid w:val="002A16FC"/>
    <w:rPr>
      <w:b/>
      <w:bCs/>
      <w:sz w:val="20"/>
      <w:szCs w:val="20"/>
    </w:rPr>
  </w:style>
  <w:style w:type="character" w:styleId="Hyperlink">
    <w:name w:val="Hyperlink"/>
    <w:basedOn w:val="DefaultParagraphFont"/>
    <w:uiPriority w:val="99"/>
    <w:unhideWhenUsed/>
    <w:rsid w:val="00032331"/>
    <w:rPr>
      <w:color w:val="0000FF" w:themeColor="hyperlink"/>
      <w:u w:val="single"/>
    </w:rPr>
  </w:style>
  <w:style w:type="character" w:styleId="UnresolvedMention">
    <w:name w:val="Unresolved Mention"/>
    <w:basedOn w:val="DefaultParagraphFont"/>
    <w:uiPriority w:val="99"/>
    <w:unhideWhenUsed/>
    <w:rsid w:val="00032331"/>
    <w:rPr>
      <w:color w:val="605E5C"/>
      <w:shd w:val="clear" w:color="auto" w:fill="E1DFDD"/>
    </w:rPr>
  </w:style>
  <w:style w:type="paragraph" w:styleId="Header">
    <w:name w:val="header"/>
    <w:basedOn w:val="Normal"/>
    <w:link w:val="HeaderChar"/>
    <w:uiPriority w:val="99"/>
    <w:unhideWhenUsed/>
    <w:rsid w:val="003D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A7"/>
  </w:style>
  <w:style w:type="paragraph" w:styleId="Footer">
    <w:name w:val="footer"/>
    <w:basedOn w:val="Normal"/>
    <w:link w:val="FooterChar"/>
    <w:uiPriority w:val="99"/>
    <w:unhideWhenUsed/>
    <w:rsid w:val="003D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A7"/>
  </w:style>
  <w:style w:type="character" w:customStyle="1" w:styleId="normaltextrun">
    <w:name w:val="normaltextrun"/>
    <w:basedOn w:val="DefaultParagraphFont"/>
    <w:rsid w:val="000319EC"/>
  </w:style>
  <w:style w:type="character" w:customStyle="1" w:styleId="eop">
    <w:name w:val="eop"/>
    <w:basedOn w:val="DefaultParagraphFont"/>
    <w:rsid w:val="000319EC"/>
  </w:style>
  <w:style w:type="character" w:styleId="FollowedHyperlink">
    <w:name w:val="FollowedHyperlink"/>
    <w:basedOn w:val="DefaultParagraphFont"/>
    <w:uiPriority w:val="99"/>
    <w:semiHidden/>
    <w:unhideWhenUsed/>
    <w:rsid w:val="00352DC8"/>
    <w:rPr>
      <w:color w:val="800080" w:themeColor="followedHyperlink"/>
      <w:u w:val="single"/>
    </w:rPr>
  </w:style>
  <w:style w:type="character" w:styleId="Mention">
    <w:name w:val="Mention"/>
    <w:basedOn w:val="DefaultParagraphFont"/>
    <w:uiPriority w:val="99"/>
    <w:unhideWhenUsed/>
    <w:rsid w:val="00BA3CFD"/>
    <w:rPr>
      <w:color w:val="2B579A"/>
      <w:shd w:val="clear" w:color="auto" w:fill="E1DFDD"/>
    </w:rPr>
  </w:style>
  <w:style w:type="character" w:styleId="PlaceholderText">
    <w:name w:val="Placeholder Text"/>
    <w:basedOn w:val="DefaultParagraphFont"/>
    <w:uiPriority w:val="99"/>
    <w:semiHidden/>
    <w:rsid w:val="001E681C"/>
    <w:rPr>
      <w:color w:val="808080"/>
    </w:rPr>
  </w:style>
  <w:style w:type="character" w:customStyle="1" w:styleId="cf01">
    <w:name w:val="cf01"/>
    <w:basedOn w:val="DefaultParagraphFont"/>
    <w:rsid w:val="002F6056"/>
    <w:rPr>
      <w:rFonts w:ascii="Segoe UI" w:hAnsi="Segoe UI" w:cs="Segoe UI" w:hint="default"/>
      <w:sz w:val="18"/>
      <w:szCs w:val="18"/>
    </w:rPr>
  </w:style>
  <w:style w:type="character" w:customStyle="1" w:styleId="cf11">
    <w:name w:val="cf11"/>
    <w:basedOn w:val="DefaultParagraphFont"/>
    <w:rsid w:val="002F6056"/>
    <w:rPr>
      <w:rFonts w:ascii="Segoe UI" w:hAnsi="Segoe UI" w:cs="Segoe UI" w:hint="default"/>
      <w:sz w:val="18"/>
      <w:szCs w:val="18"/>
    </w:rPr>
  </w:style>
  <w:style w:type="paragraph" w:styleId="Revision">
    <w:name w:val="Revision"/>
    <w:hidden/>
    <w:uiPriority w:val="99"/>
    <w:semiHidden/>
    <w:rsid w:val="00647B47"/>
    <w:pPr>
      <w:spacing w:after="0" w:line="240" w:lineRule="auto"/>
    </w:pPr>
  </w:style>
  <w:style w:type="paragraph" w:customStyle="1" w:styleId="paragraph">
    <w:name w:val="paragraph"/>
    <w:basedOn w:val="Normal"/>
    <w:rsid w:val="005D199C"/>
    <w:pPr>
      <w:spacing w:before="100" w:beforeAutospacing="1" w:after="100" w:afterAutospacing="1" w:line="240" w:lineRule="auto"/>
    </w:pPr>
    <w:rPr>
      <w:rFonts w:ascii="Times New Roman" w:eastAsia="Times New Roman" w:hAnsi="Times New Roman" w:cs="Times New Roman"/>
      <w:szCs w:val="24"/>
    </w:rPr>
  </w:style>
  <w:style w:type="character" w:customStyle="1" w:styleId="m3351227663077827992ui-provider">
    <w:name w:val="m_3351227663077827992ui-provider"/>
    <w:basedOn w:val="DefaultParagraphFont"/>
    <w:rsid w:val="00BB48CE"/>
  </w:style>
  <w:style w:type="paragraph" w:styleId="NormalWeb">
    <w:name w:val="Normal (Web)"/>
    <w:basedOn w:val="Normal"/>
    <w:uiPriority w:val="99"/>
    <w:unhideWhenUsed/>
    <w:rsid w:val="00DB1BA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E22E3"/>
    <w:rPr>
      <w:b/>
      <w:bCs/>
    </w:rPr>
  </w:style>
  <w:style w:type="paragraph" w:styleId="FootnoteText">
    <w:name w:val="footnote text"/>
    <w:basedOn w:val="Normal"/>
    <w:link w:val="FootnoteTextChar"/>
    <w:uiPriority w:val="99"/>
    <w:semiHidden/>
    <w:unhideWhenUsed/>
    <w:rsid w:val="00871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525"/>
    <w:rPr>
      <w:rFonts w:ascii="Arial" w:hAnsi="Arial"/>
      <w:sz w:val="20"/>
      <w:szCs w:val="20"/>
    </w:rPr>
  </w:style>
  <w:style w:type="character" w:styleId="FootnoteReference">
    <w:name w:val="footnote reference"/>
    <w:basedOn w:val="DefaultParagraphFont"/>
    <w:uiPriority w:val="99"/>
    <w:semiHidden/>
    <w:unhideWhenUsed/>
    <w:rsid w:val="00871525"/>
    <w:rPr>
      <w:vertAlign w:val="superscript"/>
    </w:rPr>
  </w:style>
  <w:style w:type="table" w:styleId="LightShading-Accent1">
    <w:name w:val="Light Shading Accent 1"/>
    <w:basedOn w:val="TableNormal"/>
    <w:uiPriority w:val="60"/>
    <w:rsid w:val="00116B4F"/>
    <w:pPr>
      <w:spacing w:after="0" w:line="240" w:lineRule="auto"/>
    </w:pPr>
    <w:rPr>
      <w:rFonts w:asciiTheme="minorHAnsi" w:eastAsiaTheme="minorEastAsia" w:hAnsiTheme="minorHAnsi" w:cstheme="minorBidi"/>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11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B4B81"/>
    <w:rPr>
      <w:rFonts w:ascii="Arial" w:hAnsi="Arial"/>
      <w:sz w:val="24"/>
    </w:rPr>
  </w:style>
  <w:style w:type="numbering" w:customStyle="1" w:styleId="NoList1">
    <w:name w:val="No List1"/>
    <w:next w:val="NoList"/>
    <w:uiPriority w:val="99"/>
    <w:semiHidden/>
    <w:unhideWhenUsed/>
    <w:rsid w:val="0028154A"/>
  </w:style>
  <w:style w:type="paragraph" w:styleId="NoSpacing">
    <w:name w:val="No Spacing"/>
    <w:uiPriority w:val="1"/>
    <w:qFormat/>
    <w:rsid w:val="0028154A"/>
    <w:pPr>
      <w:spacing w:after="0" w:line="240" w:lineRule="auto"/>
    </w:pPr>
    <w:rPr>
      <w:rFonts w:cs="Arial"/>
      <w:kern w:val="2"/>
      <w:lang w:eastAsia="en-US"/>
      <w14:ligatures w14:val="standardContextual"/>
    </w:rPr>
  </w:style>
  <w:style w:type="character" w:customStyle="1" w:styleId="Heading1Char">
    <w:name w:val="Heading 1 Char"/>
    <w:basedOn w:val="DefaultParagraphFont"/>
    <w:link w:val="Heading1"/>
    <w:uiPriority w:val="9"/>
    <w:rsid w:val="0028154A"/>
    <w:rPr>
      <w:rFonts w:ascii="Arial Bold" w:eastAsia="Arial Bold" w:hAnsi="Arial Bold" w:cs="Arial Bold"/>
      <w:b/>
      <w:sz w:val="40"/>
      <w:szCs w:val="32"/>
    </w:rPr>
  </w:style>
  <w:style w:type="table" w:customStyle="1" w:styleId="TableGrid1">
    <w:name w:val="Table Grid1"/>
    <w:basedOn w:val="TableNormal"/>
    <w:next w:val="TableGrid"/>
    <w:uiPriority w:val="39"/>
    <w:rsid w:val="0028154A"/>
    <w:pPr>
      <w:spacing w:after="0" w:line="240" w:lineRule="auto"/>
    </w:pPr>
    <w:rPr>
      <w:rFonts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2FC8"/>
    <w:pPr>
      <w:spacing w:after="0" w:line="240" w:lineRule="auto"/>
    </w:pPr>
    <w:rPr>
      <w:rFonts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72D"/>
    <w:pPr>
      <w:spacing w:after="0" w:line="240" w:lineRule="auto"/>
    </w:pPr>
    <w:rPr>
      <w:rFonts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4918"/>
    <w:pPr>
      <w:spacing w:after="200" w:line="240" w:lineRule="auto"/>
    </w:pPr>
    <w:rPr>
      <w:i/>
      <w:iCs/>
      <w:color w:val="1F497D" w:themeColor="text2"/>
      <w:sz w:val="18"/>
      <w:szCs w:val="18"/>
    </w:rPr>
  </w:style>
  <w:style w:type="paragraph" w:customStyle="1" w:styleId="pf0">
    <w:name w:val="pf0"/>
    <w:basedOn w:val="Normal"/>
    <w:rsid w:val="008D1D94"/>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152">
      <w:bodyDiv w:val="1"/>
      <w:marLeft w:val="0"/>
      <w:marRight w:val="0"/>
      <w:marTop w:val="0"/>
      <w:marBottom w:val="0"/>
      <w:divBdr>
        <w:top w:val="none" w:sz="0" w:space="0" w:color="auto"/>
        <w:left w:val="none" w:sz="0" w:space="0" w:color="auto"/>
        <w:bottom w:val="none" w:sz="0" w:space="0" w:color="auto"/>
        <w:right w:val="none" w:sz="0" w:space="0" w:color="auto"/>
      </w:divBdr>
    </w:div>
    <w:div w:id="46880206">
      <w:bodyDiv w:val="1"/>
      <w:marLeft w:val="0"/>
      <w:marRight w:val="0"/>
      <w:marTop w:val="0"/>
      <w:marBottom w:val="0"/>
      <w:divBdr>
        <w:top w:val="none" w:sz="0" w:space="0" w:color="auto"/>
        <w:left w:val="none" w:sz="0" w:space="0" w:color="auto"/>
        <w:bottom w:val="none" w:sz="0" w:space="0" w:color="auto"/>
        <w:right w:val="none" w:sz="0" w:space="0" w:color="auto"/>
      </w:divBdr>
    </w:div>
    <w:div w:id="233711841">
      <w:bodyDiv w:val="1"/>
      <w:marLeft w:val="0"/>
      <w:marRight w:val="0"/>
      <w:marTop w:val="0"/>
      <w:marBottom w:val="0"/>
      <w:divBdr>
        <w:top w:val="none" w:sz="0" w:space="0" w:color="auto"/>
        <w:left w:val="none" w:sz="0" w:space="0" w:color="auto"/>
        <w:bottom w:val="none" w:sz="0" w:space="0" w:color="auto"/>
        <w:right w:val="none" w:sz="0" w:space="0" w:color="auto"/>
      </w:divBdr>
    </w:div>
    <w:div w:id="591595425">
      <w:bodyDiv w:val="1"/>
      <w:marLeft w:val="0"/>
      <w:marRight w:val="0"/>
      <w:marTop w:val="0"/>
      <w:marBottom w:val="0"/>
      <w:divBdr>
        <w:top w:val="none" w:sz="0" w:space="0" w:color="auto"/>
        <w:left w:val="none" w:sz="0" w:space="0" w:color="auto"/>
        <w:bottom w:val="none" w:sz="0" w:space="0" w:color="auto"/>
        <w:right w:val="none" w:sz="0" w:space="0" w:color="auto"/>
      </w:divBdr>
    </w:div>
    <w:div w:id="619726112">
      <w:bodyDiv w:val="1"/>
      <w:marLeft w:val="0"/>
      <w:marRight w:val="0"/>
      <w:marTop w:val="0"/>
      <w:marBottom w:val="0"/>
      <w:divBdr>
        <w:top w:val="none" w:sz="0" w:space="0" w:color="auto"/>
        <w:left w:val="none" w:sz="0" w:space="0" w:color="auto"/>
        <w:bottom w:val="none" w:sz="0" w:space="0" w:color="auto"/>
        <w:right w:val="none" w:sz="0" w:space="0" w:color="auto"/>
      </w:divBdr>
    </w:div>
    <w:div w:id="676735575">
      <w:bodyDiv w:val="1"/>
      <w:marLeft w:val="0"/>
      <w:marRight w:val="0"/>
      <w:marTop w:val="0"/>
      <w:marBottom w:val="0"/>
      <w:divBdr>
        <w:top w:val="none" w:sz="0" w:space="0" w:color="auto"/>
        <w:left w:val="none" w:sz="0" w:space="0" w:color="auto"/>
        <w:bottom w:val="none" w:sz="0" w:space="0" w:color="auto"/>
        <w:right w:val="none" w:sz="0" w:space="0" w:color="auto"/>
      </w:divBdr>
    </w:div>
    <w:div w:id="817695112">
      <w:bodyDiv w:val="1"/>
      <w:marLeft w:val="0"/>
      <w:marRight w:val="0"/>
      <w:marTop w:val="0"/>
      <w:marBottom w:val="0"/>
      <w:divBdr>
        <w:top w:val="none" w:sz="0" w:space="0" w:color="auto"/>
        <w:left w:val="none" w:sz="0" w:space="0" w:color="auto"/>
        <w:bottom w:val="none" w:sz="0" w:space="0" w:color="auto"/>
        <w:right w:val="none" w:sz="0" w:space="0" w:color="auto"/>
      </w:divBdr>
    </w:div>
    <w:div w:id="830222189">
      <w:bodyDiv w:val="1"/>
      <w:marLeft w:val="0"/>
      <w:marRight w:val="0"/>
      <w:marTop w:val="0"/>
      <w:marBottom w:val="0"/>
      <w:divBdr>
        <w:top w:val="none" w:sz="0" w:space="0" w:color="auto"/>
        <w:left w:val="none" w:sz="0" w:space="0" w:color="auto"/>
        <w:bottom w:val="none" w:sz="0" w:space="0" w:color="auto"/>
        <w:right w:val="none" w:sz="0" w:space="0" w:color="auto"/>
      </w:divBdr>
    </w:div>
    <w:div w:id="875125212">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165172423">
      <w:bodyDiv w:val="1"/>
      <w:marLeft w:val="0"/>
      <w:marRight w:val="0"/>
      <w:marTop w:val="0"/>
      <w:marBottom w:val="0"/>
      <w:divBdr>
        <w:top w:val="none" w:sz="0" w:space="0" w:color="auto"/>
        <w:left w:val="none" w:sz="0" w:space="0" w:color="auto"/>
        <w:bottom w:val="none" w:sz="0" w:space="0" w:color="auto"/>
        <w:right w:val="none" w:sz="0" w:space="0" w:color="auto"/>
      </w:divBdr>
    </w:div>
    <w:div w:id="1234245116">
      <w:bodyDiv w:val="1"/>
      <w:marLeft w:val="0"/>
      <w:marRight w:val="0"/>
      <w:marTop w:val="0"/>
      <w:marBottom w:val="0"/>
      <w:divBdr>
        <w:top w:val="none" w:sz="0" w:space="0" w:color="auto"/>
        <w:left w:val="none" w:sz="0" w:space="0" w:color="auto"/>
        <w:bottom w:val="none" w:sz="0" w:space="0" w:color="auto"/>
        <w:right w:val="none" w:sz="0" w:space="0" w:color="auto"/>
      </w:divBdr>
    </w:div>
    <w:div w:id="1247571492">
      <w:bodyDiv w:val="1"/>
      <w:marLeft w:val="0"/>
      <w:marRight w:val="0"/>
      <w:marTop w:val="0"/>
      <w:marBottom w:val="0"/>
      <w:divBdr>
        <w:top w:val="none" w:sz="0" w:space="0" w:color="auto"/>
        <w:left w:val="none" w:sz="0" w:space="0" w:color="auto"/>
        <w:bottom w:val="none" w:sz="0" w:space="0" w:color="auto"/>
        <w:right w:val="none" w:sz="0" w:space="0" w:color="auto"/>
      </w:divBdr>
    </w:div>
    <w:div w:id="1618681501">
      <w:bodyDiv w:val="1"/>
      <w:marLeft w:val="0"/>
      <w:marRight w:val="0"/>
      <w:marTop w:val="0"/>
      <w:marBottom w:val="0"/>
      <w:divBdr>
        <w:top w:val="none" w:sz="0" w:space="0" w:color="auto"/>
        <w:left w:val="none" w:sz="0" w:space="0" w:color="auto"/>
        <w:bottom w:val="none" w:sz="0" w:space="0" w:color="auto"/>
        <w:right w:val="none" w:sz="0" w:space="0" w:color="auto"/>
      </w:divBdr>
    </w:div>
    <w:div w:id="1841771749">
      <w:bodyDiv w:val="1"/>
      <w:marLeft w:val="0"/>
      <w:marRight w:val="0"/>
      <w:marTop w:val="0"/>
      <w:marBottom w:val="0"/>
      <w:divBdr>
        <w:top w:val="none" w:sz="0" w:space="0" w:color="auto"/>
        <w:left w:val="none" w:sz="0" w:space="0" w:color="auto"/>
        <w:bottom w:val="none" w:sz="0" w:space="0" w:color="auto"/>
        <w:right w:val="none" w:sz="0" w:space="0" w:color="auto"/>
      </w:divBdr>
    </w:div>
    <w:div w:id="1870100512">
      <w:bodyDiv w:val="1"/>
      <w:marLeft w:val="0"/>
      <w:marRight w:val="0"/>
      <w:marTop w:val="0"/>
      <w:marBottom w:val="0"/>
      <w:divBdr>
        <w:top w:val="none" w:sz="0" w:space="0" w:color="auto"/>
        <w:left w:val="none" w:sz="0" w:space="0" w:color="auto"/>
        <w:bottom w:val="none" w:sz="0" w:space="0" w:color="auto"/>
        <w:right w:val="none" w:sz="0" w:space="0" w:color="auto"/>
      </w:divBdr>
    </w:div>
    <w:div w:id="1896506824">
      <w:bodyDiv w:val="1"/>
      <w:marLeft w:val="0"/>
      <w:marRight w:val="0"/>
      <w:marTop w:val="0"/>
      <w:marBottom w:val="0"/>
      <w:divBdr>
        <w:top w:val="none" w:sz="0" w:space="0" w:color="auto"/>
        <w:left w:val="none" w:sz="0" w:space="0" w:color="auto"/>
        <w:bottom w:val="none" w:sz="0" w:space="0" w:color="auto"/>
        <w:right w:val="none" w:sz="0" w:space="0" w:color="auto"/>
      </w:divBdr>
    </w:div>
    <w:div w:id="1970548899">
      <w:bodyDiv w:val="1"/>
      <w:marLeft w:val="0"/>
      <w:marRight w:val="0"/>
      <w:marTop w:val="0"/>
      <w:marBottom w:val="0"/>
      <w:divBdr>
        <w:top w:val="none" w:sz="0" w:space="0" w:color="auto"/>
        <w:left w:val="none" w:sz="0" w:space="0" w:color="auto"/>
        <w:bottom w:val="none" w:sz="0" w:space="0" w:color="auto"/>
        <w:right w:val="none" w:sz="0" w:space="0" w:color="auto"/>
      </w:divBdr>
      <w:divsChild>
        <w:div w:id="325404871">
          <w:marLeft w:val="0"/>
          <w:marRight w:val="0"/>
          <w:marTop w:val="0"/>
          <w:marBottom w:val="0"/>
          <w:divBdr>
            <w:top w:val="none" w:sz="0" w:space="0" w:color="auto"/>
            <w:left w:val="none" w:sz="0" w:space="0" w:color="auto"/>
            <w:bottom w:val="none" w:sz="0" w:space="0" w:color="auto"/>
            <w:right w:val="none" w:sz="0" w:space="0" w:color="auto"/>
          </w:divBdr>
        </w:div>
        <w:div w:id="345013937">
          <w:marLeft w:val="0"/>
          <w:marRight w:val="0"/>
          <w:marTop w:val="0"/>
          <w:marBottom w:val="0"/>
          <w:divBdr>
            <w:top w:val="none" w:sz="0" w:space="0" w:color="auto"/>
            <w:left w:val="none" w:sz="0" w:space="0" w:color="auto"/>
            <w:bottom w:val="none" w:sz="0" w:space="0" w:color="auto"/>
            <w:right w:val="none" w:sz="0" w:space="0" w:color="auto"/>
          </w:divBdr>
        </w:div>
        <w:div w:id="370109880">
          <w:marLeft w:val="0"/>
          <w:marRight w:val="0"/>
          <w:marTop w:val="0"/>
          <w:marBottom w:val="0"/>
          <w:divBdr>
            <w:top w:val="none" w:sz="0" w:space="0" w:color="auto"/>
            <w:left w:val="none" w:sz="0" w:space="0" w:color="auto"/>
            <w:bottom w:val="none" w:sz="0" w:space="0" w:color="auto"/>
            <w:right w:val="none" w:sz="0" w:space="0" w:color="auto"/>
          </w:divBdr>
        </w:div>
        <w:div w:id="693461537">
          <w:marLeft w:val="0"/>
          <w:marRight w:val="0"/>
          <w:marTop w:val="0"/>
          <w:marBottom w:val="0"/>
          <w:divBdr>
            <w:top w:val="none" w:sz="0" w:space="0" w:color="auto"/>
            <w:left w:val="none" w:sz="0" w:space="0" w:color="auto"/>
            <w:bottom w:val="none" w:sz="0" w:space="0" w:color="auto"/>
            <w:right w:val="none" w:sz="0" w:space="0" w:color="auto"/>
          </w:divBdr>
        </w:div>
        <w:div w:id="1154682293">
          <w:marLeft w:val="0"/>
          <w:marRight w:val="0"/>
          <w:marTop w:val="0"/>
          <w:marBottom w:val="0"/>
          <w:divBdr>
            <w:top w:val="none" w:sz="0" w:space="0" w:color="auto"/>
            <w:left w:val="none" w:sz="0" w:space="0" w:color="auto"/>
            <w:bottom w:val="none" w:sz="0" w:space="0" w:color="auto"/>
            <w:right w:val="none" w:sz="0" w:space="0" w:color="auto"/>
          </w:divBdr>
        </w:div>
        <w:div w:id="1297443947">
          <w:marLeft w:val="0"/>
          <w:marRight w:val="0"/>
          <w:marTop w:val="0"/>
          <w:marBottom w:val="0"/>
          <w:divBdr>
            <w:top w:val="none" w:sz="0" w:space="0" w:color="auto"/>
            <w:left w:val="none" w:sz="0" w:space="0" w:color="auto"/>
            <w:bottom w:val="none" w:sz="0" w:space="0" w:color="auto"/>
            <w:right w:val="none" w:sz="0" w:space="0" w:color="auto"/>
          </w:divBdr>
        </w:div>
        <w:div w:id="2010939048">
          <w:marLeft w:val="0"/>
          <w:marRight w:val="0"/>
          <w:marTop w:val="0"/>
          <w:marBottom w:val="0"/>
          <w:divBdr>
            <w:top w:val="none" w:sz="0" w:space="0" w:color="auto"/>
            <w:left w:val="none" w:sz="0" w:space="0" w:color="auto"/>
            <w:bottom w:val="none" w:sz="0" w:space="0" w:color="auto"/>
            <w:right w:val="none" w:sz="0" w:space="0" w:color="auto"/>
          </w:divBdr>
        </w:div>
      </w:divsChild>
    </w:div>
    <w:div w:id="2053723107">
      <w:bodyDiv w:val="1"/>
      <w:marLeft w:val="0"/>
      <w:marRight w:val="0"/>
      <w:marTop w:val="0"/>
      <w:marBottom w:val="0"/>
      <w:divBdr>
        <w:top w:val="none" w:sz="0" w:space="0" w:color="auto"/>
        <w:left w:val="none" w:sz="0" w:space="0" w:color="auto"/>
        <w:bottom w:val="none" w:sz="0" w:space="0" w:color="auto"/>
        <w:right w:val="none" w:sz="0" w:space="0" w:color="auto"/>
      </w:divBdr>
    </w:div>
    <w:div w:id="212731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jpg"/><Relationship Id="rId25" Type="http://schemas.microsoft.com/office/2020/10/relationships/intelligence" Target="intelligence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si/1996/825/contents/made" TargetMode="External"/><Relationship Id="rId13" Type="http://schemas.openxmlformats.org/officeDocument/2006/relationships/hyperlink" Target="https://www.hse.gov.uk/aboutus/assets/docs/the-hse-strategy.pdf" TargetMode="External"/><Relationship Id="rId18" Type="http://schemas.openxmlformats.org/officeDocument/2006/relationships/hyperlink" Target="https://eastcoastcluster.co.uk/partners/" TargetMode="External"/><Relationship Id="rId3" Type="http://schemas.openxmlformats.org/officeDocument/2006/relationships/hyperlink" Target="https://www.legislation.gov.uk/ukpga/1974/37/contents" TargetMode="External"/><Relationship Id="rId21" Type="http://schemas.openxmlformats.org/officeDocument/2006/relationships/hyperlink" Target="https://www.ons.gov.uk/businessindustryandtrade/business/activitysizeandlocation/datasets/ukbusinessactivitysizeandlocation" TargetMode="External"/><Relationship Id="rId7" Type="http://schemas.openxmlformats.org/officeDocument/2006/relationships/hyperlink" Target="https://www.legislation.gov.uk/uksi/2015/483/contents" TargetMode="External"/><Relationship Id="rId12" Type="http://schemas.openxmlformats.org/officeDocument/2006/relationships/hyperlink" Target="https://www.legislation.gov.uk/uksi/2013/240/contents/made" TargetMode="External"/><Relationship Id="rId17" Type="http://schemas.openxmlformats.org/officeDocument/2006/relationships/hyperlink" Target="https://www.hse.gov.uk/chemical-classification/what-to-do/index.htm" TargetMode="External"/><Relationship Id="rId2" Type="http://schemas.openxmlformats.org/officeDocument/2006/relationships/hyperlink" Target="https://www.gov.uk/government/collections/hydrogen-allocation-rounds" TargetMode="External"/><Relationship Id="rId16" Type="http://schemas.openxmlformats.org/officeDocument/2006/relationships/hyperlink" Target="https://www.hse.gov.uk/simple-health-safety/" TargetMode="External"/><Relationship Id="rId20" Type="http://schemas.openxmlformats.org/officeDocument/2006/relationships/hyperlink" Target="https://www.gov.uk/government/publications/hydrogen-production-business-model-net-zero-hydrogen-fund-shortlisted-projects/hydrogen-production-business-model-net-zero-hydrogen-fund-har1-successful-projects" TargetMode="External"/><Relationship Id="rId1" Type="http://schemas.openxmlformats.org/officeDocument/2006/relationships/hyperlink" Target="https://www.gov.uk/government/news/government-reignites-industrial-heartlands-10-days-out-from-the-international-investment-summit)" TargetMode="External"/><Relationship Id="rId6" Type="http://schemas.openxmlformats.org/officeDocument/2006/relationships/hyperlink" Target="https://www.phmsa.dot.gov/sites/phmsa.dot.gov/files/2022-05/Failure%20Investigation%20Report%20-%20Denbury%20Gulf%20Coast%20Pipeline.pdf" TargetMode="External"/><Relationship Id="rId11" Type="http://schemas.openxmlformats.org/officeDocument/2006/relationships/hyperlink" Target="https://www.legislation.gov.uk/uksi/1996/913/contents" TargetMode="External"/><Relationship Id="rId5" Type="http://schemas.openxmlformats.org/officeDocument/2006/relationships/hyperlink" Target="https://www.hse.gov.uk/carboncapture/major-hazard.htm" TargetMode="External"/><Relationship Id="rId15" Type="http://schemas.openxmlformats.org/officeDocument/2006/relationships/hyperlink" Target="https://www.gov.uk/government/publications/beis-small-and-medium-enterprises-sme-action-plan-2022-to-2025/beis-small-and-medium-enterprises-smes-action-plan-2022-to-2025-accessible-webpage" TargetMode="External"/><Relationship Id="rId10" Type="http://schemas.openxmlformats.org/officeDocument/2006/relationships/hyperlink" Target="https://www.legislation.gov.uk/uksi/2015/398/contents/made" TargetMode="External"/><Relationship Id="rId19" Type="http://schemas.openxmlformats.org/officeDocument/2006/relationships/hyperlink" Target="https://hynet.co.uk/partners-funding/" TargetMode="External"/><Relationship Id="rId4" Type="http://schemas.openxmlformats.org/officeDocument/2006/relationships/hyperlink" Target="https://www.legislation.gov.uk/ukpga/2008/27/contents" TargetMode="External"/><Relationship Id="rId9" Type="http://schemas.openxmlformats.org/officeDocument/2006/relationships/hyperlink" Target="https://www.legislation.gov.uk/uksi/1995/738/contents/made" TargetMode="External"/><Relationship Id="rId14" Type="http://schemas.openxmlformats.org/officeDocument/2006/relationships/hyperlink" Target="https://www.onr.org.uk/media/gixbe2br/licence-condition-handbook.pdf" TargetMode="External"/><Relationship Id="rId22" Type="http://schemas.openxmlformats.org/officeDocument/2006/relationships/hyperlink" Target="https://www.gov.uk/government/publications/carbon-capture-usage-and-storage-a-vision-to-establish-a-competitive-market/carbon-capture-usage-and-storage-a-vision-to-establish-a-competitive-market" TargetMode="External"/></Relationships>
</file>

<file path=word/documenttasks/documenttasks1.xml><?xml version="1.0" encoding="utf-8"?>
<t:Tasks xmlns:t="http://schemas.microsoft.com/office/tasks/2019/documenttasks" xmlns:oel="http://schemas.microsoft.com/office/2019/extlst">
  <t:Task id="{87A916F2-AE8E-4F8F-AD9B-340B961CBC47}">
    <t:Anchor>
      <t:Comment id="716259816"/>
    </t:Anchor>
    <t:History>
      <t:Event id="{8D8B2B69-E0C1-4F5D-ADB9-E14E30CA59B2}" time="2024-10-11T10:56:41.935Z">
        <t:Attribution userId="S::Dipti.Kerai@hse.gov.uk::6eae4f2e-881a-4ccc-a6d0-6f516c97eb13" userProvider="AD" userName="Dipti Kerai"/>
        <t:Anchor>
          <t:Comment id="716411129"/>
        </t:Anchor>
        <t:Create/>
      </t:Event>
      <t:Event id="{60679B99-67D5-45ED-BBFE-863624A43CCB}" time="2024-10-11T10:56:41.935Z">
        <t:Attribution userId="S::Dipti.Kerai@hse.gov.uk::6eae4f2e-881a-4ccc-a6d0-6f516c97eb13" userProvider="AD" userName="Dipti Kerai"/>
        <t:Anchor>
          <t:Comment id="716411129"/>
        </t:Anchor>
        <t:Assign userId="S::James.Arno@hse.gov.uk::aaed53c1-8e25-4f8d-a53d-9be701b1da6f" userProvider="AD" userName="James Arno"/>
      </t:Event>
      <t:Event id="{D67EAF42-02BE-4578-9037-E38EB0AA1611}" time="2024-10-11T10:56:41.935Z">
        <t:Attribution userId="S::Dipti.Kerai@hse.gov.uk::6eae4f2e-881a-4ccc-a6d0-6f516c97eb13" userProvider="AD" userName="Dipti Kerai"/>
        <t:Anchor>
          <t:Comment id="716411129"/>
        </t:Anchor>
        <t:SetTitle title="@James Arno can you please tke a look at this comment?"/>
      </t:Event>
      <t:Event id="{D01D56BD-CE80-4AB0-9DC7-5D4226B5499E}" time="2024-10-14T08:48:07.224Z">
        <t:Attribution userId="S::James.Arno@hse.gov.uk::aaed53c1-8e25-4f8d-a53d-9be701b1da6f" userProvider="AD" userName="James Arno"/>
        <t:Progress percentComplete="100"/>
      </t:Event>
    </t:History>
  </t:Task>
  <t:Task id="{2BA61448-650B-47DA-A1A1-0CF467081973}">
    <t:Anchor>
      <t:Comment id="716311137"/>
    </t:Anchor>
    <t:History>
      <t:Event id="{443C5BFC-FAB6-4D12-9725-845B222186D9}" time="2024-10-10T07:10:09.298Z">
        <t:Attribution userId="S::Dipti.Kerai@hse.gov.uk::6eae4f2e-881a-4ccc-a6d0-6f516c97eb13" userProvider="AD" userName="Dipti Kerai"/>
        <t:Anchor>
          <t:Comment id="716311137"/>
        </t:Anchor>
        <t:Create/>
      </t:Event>
      <t:Event id="{2D64945C-FBF3-46FD-AF17-05AEC552A258}" time="2024-10-10T07:10:09.298Z">
        <t:Attribution userId="S::Dipti.Kerai@hse.gov.uk::6eae4f2e-881a-4ccc-a6d0-6f516c97eb13" userProvider="AD" userName="Dipti Kerai"/>
        <t:Anchor>
          <t:Comment id="716311137"/>
        </t:Anchor>
        <t:Assign userId="S::Trevor.Sexty@hse.gov.uk::33dc916f-bdf1-4c35-acb0-fe5cbf820987" userProvider="AD" userName="Trevor Sexty"/>
      </t:Event>
      <t:Event id="{960B2B72-2691-4584-8C86-C0BBDB4552AF}" time="2024-10-10T07:10:09.298Z">
        <t:Attribution userId="S::Dipti.Kerai@hse.gov.uk::6eae4f2e-881a-4ccc-a6d0-6f516c97eb13" userProvider="AD" userName="Dipti Kerai"/>
        <t:Anchor>
          <t:Comment id="716311137"/>
        </t:Anchor>
        <t:SetTitle title="@Trevor Sexty @Mihail Nejneru Does this make sense? Anything to add here?"/>
      </t:Event>
      <t:Event id="{2169B5C7-B0AC-4F1B-9F73-2BDDCD3D950A}" time="2024-10-12T13:47:17.211Z">
        <t:Attribution userId="S::Dipti.Kerai@hse.gov.uk::6eae4f2e-881a-4ccc-a6d0-6f516c97eb13" userProvider="AD" userName="Dipti Kerai"/>
        <t:Progress percentComplete="100"/>
      </t:Event>
      <t:Event id="{9D1028E8-D0FA-48BF-948A-D7705FAFEEF5}" time="2024-10-14T07:03:44.717Z">
        <t:Attribution userId="S::Dipti.Kerai@hse.gov.uk::6eae4f2e-881a-4ccc-a6d0-6f516c97eb13" userProvider="AD" userName="Dipti Kerai"/>
        <t:Progress percentComplete="0"/>
      </t:Event>
      <t:Event id="{0BB04DDB-A7E3-4AAF-8642-4A9FD2BD9C2E}" time="2024-10-14T07:03:49.237Z">
        <t:Attribution userId="S::Dipti.Kerai@hse.gov.uk::6eae4f2e-881a-4ccc-a6d0-6f516c97eb13" userProvider="AD" userName="Dipti Kerai"/>
        <t:Progress percentComplete="100"/>
      </t:Event>
      <t:Event id="{65ABDD20-B694-4593-AD05-B3846384F930}" time="2024-10-14T07:06:51.158Z">
        <t:Attribution userId="S::trevor.sexty@hse.gov.uk::33dc916f-bdf1-4c35-acb0-fe5cbf820987" userProvider="AD" userName="Trevor Sexty"/>
        <t:Progress percentComplete="0"/>
      </t:Event>
    </t:History>
  </t:Task>
  <t:Task id="{FD40B4CC-F450-4267-9CDB-F06139F2A5BC}">
    <t:Anchor>
      <t:Comment id="716753659"/>
    </t:Anchor>
    <t:History>
      <t:Event id="{AA49D9FA-8606-47BD-BBE3-AC0D04BEB449}" time="2024-10-15T11:10:54.695Z">
        <t:Attribution userId="S::Dipti.Kerai@hse.gov.uk::6eae4f2e-881a-4ccc-a6d0-6f516c97eb13" userProvider="AD" userName="Dipti Kerai"/>
        <t:Anchor>
          <t:Comment id="716757582"/>
        </t:Anchor>
        <t:Create/>
      </t:Event>
      <t:Event id="{6416317D-B08F-4E41-B4A1-AC4197954137}" time="2024-10-15T11:10:54.695Z">
        <t:Attribution userId="S::Dipti.Kerai@hse.gov.uk::6eae4f2e-881a-4ccc-a6d0-6f516c97eb13" userProvider="AD" userName="Dipti Kerai"/>
        <t:Anchor>
          <t:Comment id="716757582"/>
        </t:Anchor>
        <t:Assign userId="S::Sally.LloydDavies@hse.gov.uk::4859f7c9-c49e-4b92-b66a-0f5978b81f8b" userProvider="AD" userName="Sally Lloyd Davies"/>
      </t:Event>
      <t:Event id="{270061C7-A399-418E-A1BB-9D8EDB5EF9C3}" time="2024-10-15T11:10:54.695Z">
        <t:Attribution userId="S::Dipti.Kerai@hse.gov.uk::6eae4f2e-881a-4ccc-a6d0-6f516c97eb13" userProvider="AD" userName="Dipti Kerai"/>
        <t:Anchor>
          <t:Comment id="716757582"/>
        </t:Anchor>
        <t:SetTitle title="@Sally Lloyd Davies how about we go with this wording, and not commit to statutory review fully at this stage? @Ed Woolley "/>
      </t:Event>
      <t:Event id="{210F5197-D94C-48EB-9CB9-096348192965}" time="2024-10-15T11:12:52.466Z">
        <t:Attribution userId="S::sally.lloyddavies@hse.gov.uk::4859f7c9-c49e-4b92-b66a-0f5978b81f8b" userProvider="AD" userName="Sally Lloyd Davie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3B7420707483D8921168EF6F98729"/>
        <w:category>
          <w:name w:val="General"/>
          <w:gallery w:val="placeholder"/>
        </w:category>
        <w:types>
          <w:type w:val="bbPlcHdr"/>
        </w:types>
        <w:behaviors>
          <w:behavior w:val="content"/>
        </w:behaviors>
        <w:guid w:val="{0D107D95-7CEB-420F-8AB8-51AC224EDF55}"/>
      </w:docPartPr>
      <w:docPartBody>
        <w:p w:rsidR="00567302" w:rsidRDefault="00567302" w:rsidP="00567302">
          <w:pPr>
            <w:pStyle w:val="01F3B7420707483D8921168EF6F98729"/>
          </w:pPr>
          <w:r w:rsidRPr="00AA2D6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A671350-E8C7-47F5-B0DA-E4FD6F7CAE1E}"/>
      </w:docPartPr>
      <w:docPartBody>
        <w:p w:rsidR="00490A26" w:rsidRDefault="00490A26">
          <w:r w:rsidRPr="001230FC">
            <w:rPr>
              <w:rStyle w:val="PlaceholderText"/>
            </w:rPr>
            <w:t>Click or tap here to enter text.</w:t>
          </w:r>
        </w:p>
      </w:docPartBody>
    </w:docPart>
    <w:docPart>
      <w:docPartPr>
        <w:name w:val="EA1FF423C7224441B02C17553B2804AD"/>
        <w:category>
          <w:name w:val="General"/>
          <w:gallery w:val="placeholder"/>
        </w:category>
        <w:types>
          <w:type w:val="bbPlcHdr"/>
        </w:types>
        <w:behaviors>
          <w:behavior w:val="content"/>
        </w:behaviors>
        <w:guid w:val="{327499FF-6582-4154-B0C1-FE5B698CC41E}"/>
      </w:docPartPr>
      <w:docPartBody>
        <w:p w:rsidR="00930E74" w:rsidRDefault="00930E74" w:rsidP="00930E74">
          <w:pPr>
            <w:pStyle w:val="EA1FF423C7224441B02C17553B2804AD"/>
          </w:pPr>
          <w:r w:rsidRPr="00AA2D63">
            <w:rPr>
              <w:rStyle w:val="PlaceholderText"/>
            </w:rPr>
            <w:t>Choose an item.</w:t>
          </w:r>
        </w:p>
      </w:docPartBody>
    </w:docPart>
    <w:docPart>
      <w:docPartPr>
        <w:name w:val="666D42474B594B07A05BED09FFB63FB8"/>
        <w:category>
          <w:name w:val="General"/>
          <w:gallery w:val="placeholder"/>
        </w:category>
        <w:types>
          <w:type w:val="bbPlcHdr"/>
        </w:types>
        <w:behaviors>
          <w:behavior w:val="content"/>
        </w:behaviors>
        <w:guid w:val="{E2A7AC5B-BC04-4B05-AD65-F41CEA781C0F}"/>
      </w:docPartPr>
      <w:docPartBody>
        <w:p w:rsidR="006B57D0" w:rsidRDefault="006B57D0" w:rsidP="006B57D0">
          <w:pPr>
            <w:pStyle w:val="666D42474B594B07A05BED09FFB63FB8"/>
          </w:pPr>
          <w:r w:rsidRPr="00AA2D63">
            <w:rPr>
              <w:rStyle w:val="PlaceholderText"/>
            </w:rPr>
            <w:t>Choose an item.</w:t>
          </w:r>
        </w:p>
      </w:docPartBody>
    </w:docPart>
    <w:docPart>
      <w:docPartPr>
        <w:name w:val="BDCC071A264141E1BEA53DDE08A2086E"/>
        <w:category>
          <w:name w:val="General"/>
          <w:gallery w:val="placeholder"/>
        </w:category>
        <w:types>
          <w:type w:val="bbPlcHdr"/>
        </w:types>
        <w:behaviors>
          <w:behavior w:val="content"/>
        </w:behaviors>
        <w:guid w:val="{4F5ACA05-8F2C-42A5-AA00-E058521C6217}"/>
      </w:docPartPr>
      <w:docPartBody>
        <w:p w:rsidR="006B57D0" w:rsidRDefault="006B57D0" w:rsidP="006B57D0">
          <w:pPr>
            <w:pStyle w:val="BDCC071A264141E1BEA53DDE08A2086E"/>
          </w:pPr>
          <w:r w:rsidRPr="00AA2D63">
            <w:rPr>
              <w:rStyle w:val="PlaceholderText"/>
            </w:rPr>
            <w:t>Choose an item.</w:t>
          </w:r>
        </w:p>
      </w:docPartBody>
    </w:docPart>
    <w:docPart>
      <w:docPartPr>
        <w:name w:val="3364A372D5F3412F8EC7D6C740696BD1"/>
        <w:category>
          <w:name w:val="General"/>
          <w:gallery w:val="placeholder"/>
        </w:category>
        <w:types>
          <w:type w:val="bbPlcHdr"/>
        </w:types>
        <w:behaviors>
          <w:behavior w:val="content"/>
        </w:behaviors>
        <w:guid w:val="{20718343-5C46-44FE-B093-DB20C1AF05CC}"/>
      </w:docPartPr>
      <w:docPartBody>
        <w:p w:rsidR="00757DC9" w:rsidRDefault="00B211EA" w:rsidP="00B211EA">
          <w:pPr>
            <w:pStyle w:val="3364A372D5F3412F8EC7D6C740696BD1"/>
          </w:pPr>
          <w:r w:rsidRPr="002E73F4">
            <w:rPr>
              <w:rFonts w:eastAsia="Times New Roman" w:cs="Arial"/>
              <w:szCs w:val="24"/>
            </w:rPr>
            <w:t>Provide a qualitative description of the overall expected impact of the regulation on social welfare. Where this is driven by groups other than businesses or households, please specify.</w:t>
          </w:r>
        </w:p>
      </w:docPartBody>
    </w:docPart>
    <w:docPart>
      <w:docPartPr>
        <w:name w:val="706841EAF00F4584BFCEE473C17A60D4"/>
        <w:category>
          <w:name w:val="General"/>
          <w:gallery w:val="placeholder"/>
        </w:category>
        <w:types>
          <w:type w:val="bbPlcHdr"/>
        </w:types>
        <w:behaviors>
          <w:behavior w:val="content"/>
        </w:behaviors>
        <w:guid w:val="{E3A73FCA-9CD6-4CE4-AFE1-FC641B14C3E7}"/>
      </w:docPartPr>
      <w:docPartBody>
        <w:p w:rsidR="00757DC9" w:rsidRDefault="00B211EA" w:rsidP="00B211EA">
          <w:pPr>
            <w:pStyle w:val="706841EAF00F4584BFCEE473C17A60D4"/>
          </w:pPr>
          <w:r w:rsidRPr="001230FC">
            <w:rPr>
              <w:rStyle w:val="PlaceholderText"/>
            </w:rPr>
            <w:t>Click or tap here to enter text.</w:t>
          </w:r>
        </w:p>
      </w:docPartBody>
    </w:docPart>
    <w:docPart>
      <w:docPartPr>
        <w:name w:val="C21B8C48F01A46F3B75889ED1F78B43B"/>
        <w:category>
          <w:name w:val="General"/>
          <w:gallery w:val="placeholder"/>
        </w:category>
        <w:types>
          <w:type w:val="bbPlcHdr"/>
        </w:types>
        <w:behaviors>
          <w:behavior w:val="content"/>
        </w:behaviors>
        <w:guid w:val="{7DC3C931-BD53-4AA6-A8E5-6FFACBC1123F}"/>
      </w:docPartPr>
      <w:docPartBody>
        <w:p w:rsidR="00757DC9" w:rsidRDefault="00B211EA" w:rsidP="00B211EA">
          <w:pPr>
            <w:pStyle w:val="C21B8C48F01A46F3B75889ED1F78B43B"/>
          </w:pPr>
          <w:r w:rsidRPr="001230FC">
            <w:rPr>
              <w:rStyle w:val="PlaceholderText"/>
            </w:rPr>
            <w:t>Click or tap here to enter text.</w:t>
          </w:r>
        </w:p>
      </w:docPartBody>
    </w:docPart>
    <w:docPart>
      <w:docPartPr>
        <w:name w:val="29DCFADF38D9474C8F5797849B6683E3"/>
        <w:category>
          <w:name w:val="General"/>
          <w:gallery w:val="placeholder"/>
        </w:category>
        <w:types>
          <w:type w:val="bbPlcHdr"/>
        </w:types>
        <w:behaviors>
          <w:behavior w:val="content"/>
        </w:behaviors>
        <w:guid w:val="{EAC5A8DD-C02B-4712-B873-D8A78383EDE8}"/>
      </w:docPartPr>
      <w:docPartBody>
        <w:p w:rsidR="00757DC9" w:rsidRDefault="00B211EA" w:rsidP="00B211EA">
          <w:pPr>
            <w:pStyle w:val="29DCFADF38D9474C8F5797849B6683E3"/>
          </w:pPr>
          <w:r w:rsidRPr="00AA2D63">
            <w:rPr>
              <w:rStyle w:val="PlaceholderText"/>
            </w:rPr>
            <w:t>Choose an item.</w:t>
          </w:r>
        </w:p>
      </w:docPartBody>
    </w:docPart>
    <w:docPart>
      <w:docPartPr>
        <w:name w:val="B1255EFC7902445196EBAA92E6199980"/>
        <w:category>
          <w:name w:val="General"/>
          <w:gallery w:val="placeholder"/>
        </w:category>
        <w:types>
          <w:type w:val="bbPlcHdr"/>
        </w:types>
        <w:behaviors>
          <w:behavior w:val="content"/>
        </w:behaviors>
        <w:guid w:val="{265C5095-6C64-4116-9012-B9D24BB15CD8}"/>
      </w:docPartPr>
      <w:docPartBody>
        <w:p w:rsidR="00D42196" w:rsidRDefault="00B211EA">
          <w:pPr>
            <w:pStyle w:val="B1255EFC7902445196EBAA92E6199980"/>
          </w:pPr>
          <w:r w:rsidRPr="00AA2D63">
            <w:rPr>
              <w:rStyle w:val="PlaceholderText"/>
            </w:rPr>
            <w:t>Choose an item.</w:t>
          </w:r>
        </w:p>
      </w:docPartBody>
    </w:docPart>
    <w:docPart>
      <w:docPartPr>
        <w:name w:val="B0A89D06134A44A59692EBD646B78959"/>
        <w:category>
          <w:name w:val="General"/>
          <w:gallery w:val="placeholder"/>
        </w:category>
        <w:types>
          <w:type w:val="bbPlcHdr"/>
        </w:types>
        <w:behaviors>
          <w:behavior w:val="content"/>
        </w:behaviors>
        <w:guid w:val="{252FD122-4492-4BF8-A6E1-1F34CAB66B77}"/>
      </w:docPartPr>
      <w:docPartBody>
        <w:p w:rsidR="00D42196" w:rsidRDefault="006B57D0">
          <w:pPr>
            <w:pStyle w:val="B0A89D06134A44A59692EBD646B78959"/>
          </w:pPr>
          <w:r w:rsidRPr="00AA2D63">
            <w:rPr>
              <w:rStyle w:val="PlaceholderText"/>
            </w:rPr>
            <w:t>Choose an item.</w:t>
          </w:r>
        </w:p>
      </w:docPartBody>
    </w:docPart>
    <w:docPart>
      <w:docPartPr>
        <w:name w:val="E58822EB64114F878C34AB472B49958A"/>
        <w:category>
          <w:name w:val="General"/>
          <w:gallery w:val="placeholder"/>
        </w:category>
        <w:types>
          <w:type w:val="bbPlcHdr"/>
        </w:types>
        <w:behaviors>
          <w:behavior w:val="content"/>
        </w:behaviors>
        <w:guid w:val="{AB8FFE54-ED1E-4359-BBE5-381EB0281AB3}"/>
      </w:docPartPr>
      <w:docPartBody>
        <w:p w:rsidR="00D42196" w:rsidRDefault="006B57D0">
          <w:pPr>
            <w:pStyle w:val="E58822EB64114F878C34AB472B49958A"/>
          </w:pPr>
          <w:r w:rsidRPr="00AA2D63">
            <w:rPr>
              <w:rStyle w:val="PlaceholderText"/>
            </w:rPr>
            <w:t>Choose an item.</w:t>
          </w:r>
        </w:p>
      </w:docPartBody>
    </w:docPart>
    <w:docPart>
      <w:docPartPr>
        <w:name w:val="3B37AE43510A4A1AA1BBBAAA0570BE22"/>
        <w:category>
          <w:name w:val="General"/>
          <w:gallery w:val="placeholder"/>
        </w:category>
        <w:types>
          <w:type w:val="bbPlcHdr"/>
        </w:types>
        <w:behaviors>
          <w:behavior w:val="content"/>
        </w:behaviors>
        <w:guid w:val="{EF95C743-C1CD-46C3-AD6A-5ECE63372A96}"/>
      </w:docPartPr>
      <w:docPartBody>
        <w:p w:rsidR="00D42196" w:rsidRDefault="006B57D0">
          <w:pPr>
            <w:pStyle w:val="3B37AE43510A4A1AA1BBBAAA0570BE22"/>
          </w:pPr>
          <w:r w:rsidRPr="00AA2D63">
            <w:rPr>
              <w:rStyle w:val="PlaceholderText"/>
            </w:rPr>
            <w:t>Choose an item.</w:t>
          </w:r>
        </w:p>
      </w:docPartBody>
    </w:docPart>
    <w:docPart>
      <w:docPartPr>
        <w:name w:val="EEC3156FB1A1459388BD1C4579943495"/>
        <w:category>
          <w:name w:val="General"/>
          <w:gallery w:val="placeholder"/>
        </w:category>
        <w:types>
          <w:type w:val="bbPlcHdr"/>
        </w:types>
        <w:behaviors>
          <w:behavior w:val="content"/>
        </w:behaviors>
        <w:guid w:val="{6F0EB50F-0801-4FE0-B7B8-926E6BD83AE8}"/>
      </w:docPartPr>
      <w:docPartBody>
        <w:p w:rsidR="005B63FA" w:rsidRDefault="00B211EA">
          <w:pPr>
            <w:pStyle w:val="EEC3156FB1A1459388BD1C4579943495"/>
          </w:pPr>
          <w:r w:rsidRPr="00AA2D63">
            <w:rPr>
              <w:rStyle w:val="PlaceholderText"/>
            </w:rPr>
            <w:t>Choose an item.</w:t>
          </w:r>
        </w:p>
      </w:docPartBody>
    </w:docPart>
    <w:docPart>
      <w:docPartPr>
        <w:name w:val="C6A0CCE262294C66B8156353DEB71B69"/>
        <w:category>
          <w:name w:val="General"/>
          <w:gallery w:val="placeholder"/>
        </w:category>
        <w:types>
          <w:type w:val="bbPlcHdr"/>
        </w:types>
        <w:behaviors>
          <w:behavior w:val="content"/>
        </w:behaviors>
        <w:guid w:val="{DF33BEE4-CC85-4BBC-918B-996FF75BD810}"/>
      </w:docPartPr>
      <w:docPartBody>
        <w:p w:rsidR="005B63FA" w:rsidRDefault="00B04E43">
          <w:pPr>
            <w:pStyle w:val="C6A0CCE262294C66B8156353DEB71B69"/>
          </w:pPr>
          <w:r w:rsidRPr="002E73F4">
            <w:rPr>
              <w:rFonts w:eastAsia="Times New Roman" w:cs="Arial"/>
              <w:szCs w:val="24"/>
            </w:rPr>
            <w:t>Provide a qualitative description of the overall expected impact of the regulation on social welfare. Where this is driven by groups other than businesses or households, please specify.</w:t>
          </w:r>
        </w:p>
      </w:docPartBody>
    </w:docPart>
    <w:docPart>
      <w:docPartPr>
        <w:name w:val="445D70EFC5424C6AABB7F6D73E819DAF"/>
        <w:category>
          <w:name w:val="General"/>
          <w:gallery w:val="placeholder"/>
        </w:category>
        <w:types>
          <w:type w:val="bbPlcHdr"/>
        </w:types>
        <w:behaviors>
          <w:behavior w:val="content"/>
        </w:behaviors>
        <w:guid w:val="{D12919C0-5BE2-4675-AB52-0BB9BE959E1D}"/>
      </w:docPartPr>
      <w:docPartBody>
        <w:p w:rsidR="005B63FA" w:rsidRDefault="00B04E43">
          <w:pPr>
            <w:pStyle w:val="445D70EFC5424C6AABB7F6D73E819DAF"/>
          </w:pPr>
          <w:r w:rsidRPr="001230FC">
            <w:rPr>
              <w:rStyle w:val="PlaceholderText"/>
            </w:rPr>
            <w:t>Click or tap here to enter text.</w:t>
          </w:r>
        </w:p>
      </w:docPartBody>
    </w:docPart>
    <w:docPart>
      <w:docPartPr>
        <w:name w:val="B88BEC981B2C47429A6227C06A11F53F"/>
        <w:category>
          <w:name w:val="General"/>
          <w:gallery w:val="placeholder"/>
        </w:category>
        <w:types>
          <w:type w:val="bbPlcHdr"/>
        </w:types>
        <w:behaviors>
          <w:behavior w:val="content"/>
        </w:behaviors>
        <w:guid w:val="{3DADBBE5-56FD-4EF4-A183-7D8D66A91B96}"/>
      </w:docPartPr>
      <w:docPartBody>
        <w:p w:rsidR="005B63FA" w:rsidRDefault="00490A26">
          <w:pPr>
            <w:pStyle w:val="B88BEC981B2C47429A6227C06A11F53F"/>
          </w:pPr>
          <w:r w:rsidRPr="001230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1D"/>
    <w:rsid w:val="00067B10"/>
    <w:rsid w:val="00083373"/>
    <w:rsid w:val="00096177"/>
    <w:rsid w:val="000C04DA"/>
    <w:rsid w:val="000E40EB"/>
    <w:rsid w:val="000F20D6"/>
    <w:rsid w:val="000F47D7"/>
    <w:rsid w:val="000F61BE"/>
    <w:rsid w:val="00100C1B"/>
    <w:rsid w:val="001113ED"/>
    <w:rsid w:val="00156511"/>
    <w:rsid w:val="00160A82"/>
    <w:rsid w:val="00171111"/>
    <w:rsid w:val="00185EEA"/>
    <w:rsid w:val="001A2F4B"/>
    <w:rsid w:val="001E2791"/>
    <w:rsid w:val="00204709"/>
    <w:rsid w:val="002128B3"/>
    <w:rsid w:val="00213FF4"/>
    <w:rsid w:val="00224F15"/>
    <w:rsid w:val="002251B5"/>
    <w:rsid w:val="0023390C"/>
    <w:rsid w:val="002534A6"/>
    <w:rsid w:val="0026784C"/>
    <w:rsid w:val="00284F4A"/>
    <w:rsid w:val="002870C9"/>
    <w:rsid w:val="002968D0"/>
    <w:rsid w:val="002A58D7"/>
    <w:rsid w:val="002C24F5"/>
    <w:rsid w:val="00320401"/>
    <w:rsid w:val="00333262"/>
    <w:rsid w:val="00357243"/>
    <w:rsid w:val="00364A1F"/>
    <w:rsid w:val="00364D48"/>
    <w:rsid w:val="00371894"/>
    <w:rsid w:val="00385D56"/>
    <w:rsid w:val="00387C48"/>
    <w:rsid w:val="0039643A"/>
    <w:rsid w:val="003B013D"/>
    <w:rsid w:val="003B2980"/>
    <w:rsid w:val="003B5857"/>
    <w:rsid w:val="003B5AA4"/>
    <w:rsid w:val="003D5311"/>
    <w:rsid w:val="003F5563"/>
    <w:rsid w:val="004455B5"/>
    <w:rsid w:val="00451145"/>
    <w:rsid w:val="00461E25"/>
    <w:rsid w:val="0046261D"/>
    <w:rsid w:val="0047232D"/>
    <w:rsid w:val="00486A0D"/>
    <w:rsid w:val="00490A26"/>
    <w:rsid w:val="00492B2E"/>
    <w:rsid w:val="00493D56"/>
    <w:rsid w:val="004D3235"/>
    <w:rsid w:val="004D68B3"/>
    <w:rsid w:val="004E2E2F"/>
    <w:rsid w:val="004F23D6"/>
    <w:rsid w:val="00520973"/>
    <w:rsid w:val="005363A8"/>
    <w:rsid w:val="0056606F"/>
    <w:rsid w:val="00567302"/>
    <w:rsid w:val="00580380"/>
    <w:rsid w:val="00582DC0"/>
    <w:rsid w:val="0059743B"/>
    <w:rsid w:val="005A095C"/>
    <w:rsid w:val="005A244E"/>
    <w:rsid w:val="005A386F"/>
    <w:rsid w:val="005B36CB"/>
    <w:rsid w:val="005B63FA"/>
    <w:rsid w:val="005C42AF"/>
    <w:rsid w:val="005D3A32"/>
    <w:rsid w:val="005D4EDC"/>
    <w:rsid w:val="00603FB3"/>
    <w:rsid w:val="00627F32"/>
    <w:rsid w:val="006362B2"/>
    <w:rsid w:val="00653E46"/>
    <w:rsid w:val="00663019"/>
    <w:rsid w:val="006715F0"/>
    <w:rsid w:val="00680A00"/>
    <w:rsid w:val="006A7A1A"/>
    <w:rsid w:val="006B57D0"/>
    <w:rsid w:val="006B5C3F"/>
    <w:rsid w:val="006D4309"/>
    <w:rsid w:val="006D45AB"/>
    <w:rsid w:val="00704B85"/>
    <w:rsid w:val="007233E0"/>
    <w:rsid w:val="00731D58"/>
    <w:rsid w:val="00757DC9"/>
    <w:rsid w:val="0076693A"/>
    <w:rsid w:val="007777E6"/>
    <w:rsid w:val="00787272"/>
    <w:rsid w:val="007B1B54"/>
    <w:rsid w:val="007B21C3"/>
    <w:rsid w:val="00800933"/>
    <w:rsid w:val="008009DA"/>
    <w:rsid w:val="00801E9F"/>
    <w:rsid w:val="00823C6D"/>
    <w:rsid w:val="00834B02"/>
    <w:rsid w:val="00873778"/>
    <w:rsid w:val="00895CF1"/>
    <w:rsid w:val="008B5672"/>
    <w:rsid w:val="008C4D6C"/>
    <w:rsid w:val="008C6AA3"/>
    <w:rsid w:val="008D164E"/>
    <w:rsid w:val="00930E74"/>
    <w:rsid w:val="00946F3F"/>
    <w:rsid w:val="00952560"/>
    <w:rsid w:val="009737B3"/>
    <w:rsid w:val="009766D4"/>
    <w:rsid w:val="00996430"/>
    <w:rsid w:val="00996BF6"/>
    <w:rsid w:val="00A44EE0"/>
    <w:rsid w:val="00A57C56"/>
    <w:rsid w:val="00A60725"/>
    <w:rsid w:val="00A95A17"/>
    <w:rsid w:val="00AA341C"/>
    <w:rsid w:val="00AC1323"/>
    <w:rsid w:val="00AD0E38"/>
    <w:rsid w:val="00B03344"/>
    <w:rsid w:val="00B0365F"/>
    <w:rsid w:val="00B04E43"/>
    <w:rsid w:val="00B13AB6"/>
    <w:rsid w:val="00B211EA"/>
    <w:rsid w:val="00B33697"/>
    <w:rsid w:val="00B36DFC"/>
    <w:rsid w:val="00B428FD"/>
    <w:rsid w:val="00B504EE"/>
    <w:rsid w:val="00B763D0"/>
    <w:rsid w:val="00B84A64"/>
    <w:rsid w:val="00BA61D0"/>
    <w:rsid w:val="00BD5D0E"/>
    <w:rsid w:val="00BD79FE"/>
    <w:rsid w:val="00C86775"/>
    <w:rsid w:val="00CA5C34"/>
    <w:rsid w:val="00CB55A1"/>
    <w:rsid w:val="00CC1162"/>
    <w:rsid w:val="00CE6DF9"/>
    <w:rsid w:val="00CF729E"/>
    <w:rsid w:val="00D05D4C"/>
    <w:rsid w:val="00D34E07"/>
    <w:rsid w:val="00D35071"/>
    <w:rsid w:val="00D42196"/>
    <w:rsid w:val="00D60615"/>
    <w:rsid w:val="00D66F6E"/>
    <w:rsid w:val="00D7144C"/>
    <w:rsid w:val="00D72435"/>
    <w:rsid w:val="00D75490"/>
    <w:rsid w:val="00D9061A"/>
    <w:rsid w:val="00DA5D1A"/>
    <w:rsid w:val="00DC3F5C"/>
    <w:rsid w:val="00DD2336"/>
    <w:rsid w:val="00DF350A"/>
    <w:rsid w:val="00E07B6B"/>
    <w:rsid w:val="00E26B42"/>
    <w:rsid w:val="00E30A66"/>
    <w:rsid w:val="00E42ECA"/>
    <w:rsid w:val="00E74C55"/>
    <w:rsid w:val="00EA7868"/>
    <w:rsid w:val="00EB034F"/>
    <w:rsid w:val="00EB2739"/>
    <w:rsid w:val="00EC369C"/>
    <w:rsid w:val="00F0188E"/>
    <w:rsid w:val="00F538EF"/>
    <w:rsid w:val="00F70FAA"/>
    <w:rsid w:val="00F7317F"/>
    <w:rsid w:val="00F77955"/>
    <w:rsid w:val="00F97A5E"/>
    <w:rsid w:val="00FA1114"/>
    <w:rsid w:val="00FC0498"/>
    <w:rsid w:val="00FC1A5A"/>
    <w:rsid w:val="00FE6A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1EA"/>
    <w:rPr>
      <w:color w:val="808080"/>
    </w:rPr>
  </w:style>
  <w:style w:type="paragraph" w:customStyle="1" w:styleId="01F3B7420707483D8921168EF6F98729">
    <w:name w:val="01F3B7420707483D8921168EF6F98729"/>
    <w:rsid w:val="00567302"/>
    <w:rPr>
      <w:kern w:val="2"/>
      <w14:ligatures w14:val="standardContextual"/>
    </w:rPr>
  </w:style>
  <w:style w:type="paragraph" w:customStyle="1" w:styleId="EA1FF423C7224441B02C17553B2804AD">
    <w:name w:val="EA1FF423C7224441B02C17553B2804AD"/>
    <w:rsid w:val="00930E74"/>
    <w:rPr>
      <w:kern w:val="2"/>
      <w14:ligatures w14:val="standardContextual"/>
    </w:rPr>
  </w:style>
  <w:style w:type="paragraph" w:customStyle="1" w:styleId="666D42474B594B07A05BED09FFB63FB8">
    <w:name w:val="666D42474B594B07A05BED09FFB63FB8"/>
    <w:rsid w:val="006B57D0"/>
    <w:rPr>
      <w:kern w:val="2"/>
      <w14:ligatures w14:val="standardContextual"/>
    </w:rPr>
  </w:style>
  <w:style w:type="paragraph" w:customStyle="1" w:styleId="BDCC071A264141E1BEA53DDE08A2086E">
    <w:name w:val="BDCC071A264141E1BEA53DDE08A2086E"/>
    <w:rsid w:val="006B57D0"/>
    <w:rPr>
      <w:kern w:val="2"/>
      <w14:ligatures w14:val="standardContextual"/>
    </w:rPr>
  </w:style>
  <w:style w:type="paragraph" w:customStyle="1" w:styleId="3364A372D5F3412F8EC7D6C740696BD1">
    <w:name w:val="3364A372D5F3412F8EC7D6C740696BD1"/>
    <w:rsid w:val="00B211EA"/>
    <w:rPr>
      <w:kern w:val="2"/>
      <w14:ligatures w14:val="standardContextual"/>
    </w:rPr>
  </w:style>
  <w:style w:type="paragraph" w:customStyle="1" w:styleId="706841EAF00F4584BFCEE473C17A60D4">
    <w:name w:val="706841EAF00F4584BFCEE473C17A60D4"/>
    <w:rsid w:val="00B211EA"/>
    <w:rPr>
      <w:kern w:val="2"/>
      <w14:ligatures w14:val="standardContextual"/>
    </w:rPr>
  </w:style>
  <w:style w:type="paragraph" w:customStyle="1" w:styleId="C21B8C48F01A46F3B75889ED1F78B43B">
    <w:name w:val="C21B8C48F01A46F3B75889ED1F78B43B"/>
    <w:rsid w:val="00B211EA"/>
    <w:rPr>
      <w:kern w:val="2"/>
      <w14:ligatures w14:val="standardContextual"/>
    </w:rPr>
  </w:style>
  <w:style w:type="paragraph" w:customStyle="1" w:styleId="29DCFADF38D9474C8F5797849B6683E3">
    <w:name w:val="29DCFADF38D9474C8F5797849B6683E3"/>
    <w:rsid w:val="00B211EA"/>
    <w:rPr>
      <w:kern w:val="2"/>
      <w14:ligatures w14:val="standardContextual"/>
    </w:rPr>
  </w:style>
  <w:style w:type="paragraph" w:customStyle="1" w:styleId="B1255EFC7902445196EBAA92E6199980">
    <w:name w:val="B1255EFC7902445196EBAA92E6199980"/>
    <w:rPr>
      <w:kern w:val="2"/>
      <w14:ligatures w14:val="standardContextual"/>
    </w:rPr>
  </w:style>
  <w:style w:type="paragraph" w:customStyle="1" w:styleId="B0A89D06134A44A59692EBD646B78959">
    <w:name w:val="B0A89D06134A44A59692EBD646B78959"/>
    <w:rPr>
      <w:kern w:val="2"/>
      <w14:ligatures w14:val="standardContextual"/>
    </w:rPr>
  </w:style>
  <w:style w:type="paragraph" w:customStyle="1" w:styleId="E58822EB64114F878C34AB472B49958A">
    <w:name w:val="E58822EB64114F878C34AB472B49958A"/>
    <w:rPr>
      <w:kern w:val="2"/>
      <w14:ligatures w14:val="standardContextual"/>
    </w:rPr>
  </w:style>
  <w:style w:type="paragraph" w:customStyle="1" w:styleId="3B37AE43510A4A1AA1BBBAAA0570BE22">
    <w:name w:val="3B37AE43510A4A1AA1BBBAAA0570BE22"/>
    <w:rPr>
      <w:kern w:val="2"/>
      <w14:ligatures w14:val="standardContextual"/>
    </w:rPr>
  </w:style>
  <w:style w:type="paragraph" w:customStyle="1" w:styleId="EEC3156FB1A1459388BD1C4579943495">
    <w:name w:val="EEC3156FB1A1459388BD1C4579943495"/>
    <w:rPr>
      <w:kern w:val="2"/>
      <w14:ligatures w14:val="standardContextual"/>
    </w:rPr>
  </w:style>
  <w:style w:type="paragraph" w:customStyle="1" w:styleId="C6A0CCE262294C66B8156353DEB71B69">
    <w:name w:val="C6A0CCE262294C66B8156353DEB71B69"/>
    <w:rPr>
      <w:kern w:val="2"/>
      <w14:ligatures w14:val="standardContextual"/>
    </w:rPr>
  </w:style>
  <w:style w:type="paragraph" w:customStyle="1" w:styleId="445D70EFC5424C6AABB7F6D73E819DAF">
    <w:name w:val="445D70EFC5424C6AABB7F6D73E819DAF"/>
    <w:rPr>
      <w:kern w:val="2"/>
      <w14:ligatures w14:val="standardContextual"/>
    </w:rPr>
  </w:style>
  <w:style w:type="paragraph" w:customStyle="1" w:styleId="B88BEC981B2C47429A6227C06A11F53F">
    <w:name w:val="B88BEC981B2C47429A6227C06A11F5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E6956E266D74C8CA96D880542E2B4" ma:contentTypeVersion="8" ma:contentTypeDescription="Create a new document." ma:contentTypeScope="" ma:versionID="05060b0cb83e93dae9d720ac5e2a5a05">
  <xsd:schema xmlns:xsd="http://www.w3.org/2001/XMLSchema" xmlns:xs="http://www.w3.org/2001/XMLSchema" xmlns:p="http://schemas.microsoft.com/office/2006/metadata/properties" xmlns:ns2="424459f5-8b5a-4287-8215-f296fd1a67e2" xmlns:ns3="5a20326b-a987-4aee-8d78-3a9e99cbd7dc" targetNamespace="http://schemas.microsoft.com/office/2006/metadata/properties" ma:root="true" ma:fieldsID="bd6ade54e3c5c12fad925a64e2c59b9e" ns2:_="" ns3:_="">
    <xsd:import namespace="424459f5-8b5a-4287-8215-f296fd1a67e2"/>
    <xsd:import namespace="5a20326b-a987-4aee-8d78-3a9e99cbd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59f5-8b5a-4287-8215-f296fd1a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0326b-a987-4aee-8d78-3a9e99cbd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20326b-a987-4aee-8d78-3a9e99cbd7dc">
      <UserInfo>
        <DisplayName>Woodward3, Helen (BEIS)</DisplayName>
        <AccountId>20</AccountId>
        <AccountType/>
      </UserInfo>
      <UserInfo>
        <DisplayName>Phillips, Henry (Better Regulation Executive)</DisplayName>
        <AccountId>17</AccountId>
        <AccountType/>
      </UserInfo>
      <UserInfo>
        <DisplayName>Stewart, Neal (Better Regulation Executive)</DisplayName>
        <AccountId>11</AccountId>
        <AccountType/>
      </UserInfo>
      <UserInfo>
        <DisplayName>Williams, Alex (Business Frameworks)</DisplayName>
        <AccountId>49</AccountId>
        <AccountType/>
      </UserInfo>
      <UserInfo>
        <DisplayName>Cockaday, John (BEIS)</DisplayName>
        <AccountId>38</AccountId>
        <AccountType/>
      </UserInfo>
      <UserInfo>
        <DisplayName>Mottau, Jack (Better Regulation Executive)</DisplayName>
        <AccountId>6</AccountId>
        <AccountType/>
      </UserInfo>
      <UserInfo>
        <DisplayName>King2, Shelley (BEIS)</DisplayName>
        <AccountId>35</AccountId>
        <AccountType/>
      </UserInfo>
      <UserInfo>
        <DisplayName>Adekaiyaoja, Adebayo (Better Regulation Executive)</DisplayName>
        <AccountId>26</AccountId>
        <AccountType/>
      </UserInfo>
      <UserInfo>
        <DisplayName>zz_Montgomery2, Sarah (Better Regulation Executive)</DisplayName>
        <AccountId>21</AccountId>
        <AccountType/>
      </UserInfo>
      <UserInfo>
        <DisplayName>Islam, Samiul (BEIS)</DisplayName>
        <AccountId>40</AccountId>
        <AccountType/>
      </UserInfo>
      <UserInfo>
        <DisplayName>Griffiths, Mark (Better Regulation Executive)</DisplayName>
        <AccountId>15</AccountId>
        <AccountType/>
      </UserInfo>
      <UserInfo>
        <DisplayName>Cudby-Maniotis, Danielle (BEIS)</DisplayName>
        <AccountId>53</AccountId>
        <AccountType/>
      </UserInfo>
      <UserInfo>
        <DisplayName>Miller2, David (Market Frameworks - OPSS)</DisplayName>
        <AccountId>54</AccountId>
        <AccountType/>
      </UserInfo>
      <UserInfo>
        <DisplayName>Sarson, Stuart (BEIS)</DisplayName>
        <AccountId>16</AccountId>
        <AccountType/>
      </UserInfo>
      <UserInfo>
        <DisplayName>Campbell, David (Business Growth)</DisplayName>
        <AccountId>18</AccountId>
        <AccountType/>
      </UserInfo>
      <UserInfo>
        <DisplayName>Meeran, Jahan (BEIS)</DisplayName>
        <AccountId>52</AccountId>
        <AccountType/>
      </UserInfo>
      <UserInfo>
        <DisplayName>Harries2, Rhiannon (BEIS)</DisplayName>
        <AccountId>27</AccountId>
        <AccountType/>
      </UserInfo>
    </SharedWithUsers>
  </documentManagement>
</p:properties>
</file>

<file path=customXml/itemProps1.xml><?xml version="1.0" encoding="utf-8"?>
<ds:datastoreItem xmlns:ds="http://schemas.openxmlformats.org/officeDocument/2006/customXml" ds:itemID="{D2C0EC26-F8F9-4C74-B153-C96820556BF6}">
  <ds:schemaRefs>
    <ds:schemaRef ds:uri="http://schemas.microsoft.com/sharepoint/v3/contenttype/forms"/>
  </ds:schemaRefs>
</ds:datastoreItem>
</file>

<file path=customXml/itemProps2.xml><?xml version="1.0" encoding="utf-8"?>
<ds:datastoreItem xmlns:ds="http://schemas.openxmlformats.org/officeDocument/2006/customXml" ds:itemID="{874F2442-1E58-4570-B147-A78393FF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59f5-8b5a-4287-8215-f296fd1a67e2"/>
    <ds:schemaRef ds:uri="5a20326b-a987-4aee-8d78-3a9e99cbd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D6EAD-0D82-40F9-9A4B-EA2D54547296}">
  <ds:schemaRefs>
    <ds:schemaRef ds:uri="http://schemas.openxmlformats.org/officeDocument/2006/bibliography"/>
  </ds:schemaRefs>
</ds:datastoreItem>
</file>

<file path=customXml/itemProps4.xml><?xml version="1.0" encoding="utf-8"?>
<ds:datastoreItem xmlns:ds="http://schemas.openxmlformats.org/officeDocument/2006/customXml" ds:itemID="{2CA6BCC8-A9E0-432A-975C-F84ECB459BFC}">
  <ds:schemaRefs>
    <ds:schemaRef ds:uri="http://schemas.microsoft.com/office/2006/metadata/properties"/>
    <ds:schemaRef ds:uri="http://schemas.microsoft.com/office/infopath/2007/PartnerControls"/>
    <ds:schemaRef ds:uri="5a20326b-a987-4aee-8d78-3a9e99cbd7d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20829</Words>
  <Characters>118731</Characters>
  <Application>Microsoft Office Word</Application>
  <DocSecurity>0</DocSecurity>
  <Lines>989</Lines>
  <Paragraphs>278</Paragraphs>
  <ScaleCrop>false</ScaleCrop>
  <Manager/>
  <Company/>
  <LinksUpToDate>false</LinksUpToDate>
  <CharactersWithSpaces>139282</CharactersWithSpaces>
  <SharedDoc>false</SharedDoc>
  <HyperlinkBase/>
  <HLinks>
    <vt:vector size="144" baseType="variant">
      <vt:variant>
        <vt:i4>2162790</vt:i4>
      </vt:variant>
      <vt:variant>
        <vt:i4>63</vt:i4>
      </vt:variant>
      <vt:variant>
        <vt:i4>0</vt:i4>
      </vt:variant>
      <vt:variant>
        <vt:i4>5</vt:i4>
      </vt:variant>
      <vt:variant>
        <vt:lpwstr>https://www.gov.uk/government/publications/carbon-capture-usage-and-storage-a-vision-to-establish-a-competitive-market/carbon-capture-usage-and-storage-a-vision-to-establish-a-competitive-market</vt:lpwstr>
      </vt:variant>
      <vt:variant>
        <vt:lpwstr>:~:text=With%20capacity%20to%20safely%20store%20up%20to%2078#:~:text=With%20capacity%20to%20safely%20store%20up%20to%2078</vt:lpwstr>
      </vt:variant>
      <vt:variant>
        <vt:i4>3342438</vt:i4>
      </vt:variant>
      <vt:variant>
        <vt:i4>60</vt:i4>
      </vt:variant>
      <vt:variant>
        <vt:i4>0</vt:i4>
      </vt:variant>
      <vt:variant>
        <vt:i4>5</vt:i4>
      </vt:variant>
      <vt:variant>
        <vt:lpwstr>https://www.ons.gov.uk/businessindustryandtrade/business/activitysizeandlocation/datasets/ukbusinessactivitysizeandlocation</vt:lpwstr>
      </vt:variant>
      <vt:variant>
        <vt:lpwstr/>
      </vt:variant>
      <vt:variant>
        <vt:i4>458833</vt:i4>
      </vt:variant>
      <vt:variant>
        <vt:i4>57</vt:i4>
      </vt:variant>
      <vt:variant>
        <vt:i4>0</vt:i4>
      </vt:variant>
      <vt:variant>
        <vt:i4>5</vt:i4>
      </vt:variant>
      <vt:variant>
        <vt:lpwstr>https://www.gov.uk/government/publications/hydrogen-production-business-model-net-zero-hydrogen-fund-shortlisted-projects/hydrogen-production-business-model-net-zero-hydrogen-fund-har1-successful-projects</vt:lpwstr>
      </vt:variant>
      <vt:variant>
        <vt:lpwstr/>
      </vt:variant>
      <vt:variant>
        <vt:i4>1245272</vt:i4>
      </vt:variant>
      <vt:variant>
        <vt:i4>54</vt:i4>
      </vt:variant>
      <vt:variant>
        <vt:i4>0</vt:i4>
      </vt:variant>
      <vt:variant>
        <vt:i4>5</vt:i4>
      </vt:variant>
      <vt:variant>
        <vt:lpwstr>https://hynet.co.uk/partners-funding/</vt:lpwstr>
      </vt:variant>
      <vt:variant>
        <vt:lpwstr/>
      </vt:variant>
      <vt:variant>
        <vt:i4>2031682</vt:i4>
      </vt:variant>
      <vt:variant>
        <vt:i4>51</vt:i4>
      </vt:variant>
      <vt:variant>
        <vt:i4>0</vt:i4>
      </vt:variant>
      <vt:variant>
        <vt:i4>5</vt:i4>
      </vt:variant>
      <vt:variant>
        <vt:lpwstr>https://eastcoastcluster.co.uk/partners/</vt:lpwstr>
      </vt:variant>
      <vt:variant>
        <vt:lpwstr/>
      </vt:variant>
      <vt:variant>
        <vt:i4>2818171</vt:i4>
      </vt:variant>
      <vt:variant>
        <vt:i4>48</vt:i4>
      </vt:variant>
      <vt:variant>
        <vt:i4>0</vt:i4>
      </vt:variant>
      <vt:variant>
        <vt:i4>5</vt:i4>
      </vt:variant>
      <vt:variant>
        <vt:lpwstr>https://www.hse.gov.uk/chemical-classification/what-to-do/index.htm</vt:lpwstr>
      </vt:variant>
      <vt:variant>
        <vt:lpwstr/>
      </vt:variant>
      <vt:variant>
        <vt:i4>5177431</vt:i4>
      </vt:variant>
      <vt:variant>
        <vt:i4>45</vt:i4>
      </vt:variant>
      <vt:variant>
        <vt:i4>0</vt:i4>
      </vt:variant>
      <vt:variant>
        <vt:i4>5</vt:i4>
      </vt:variant>
      <vt:variant>
        <vt:lpwstr>https://www.hse.gov.uk/simple-health-safety/</vt:lpwstr>
      </vt:variant>
      <vt:variant>
        <vt:lpwstr/>
      </vt:variant>
      <vt:variant>
        <vt:i4>5308510</vt:i4>
      </vt:variant>
      <vt:variant>
        <vt:i4>42</vt:i4>
      </vt:variant>
      <vt:variant>
        <vt:i4>0</vt:i4>
      </vt:variant>
      <vt:variant>
        <vt:i4>5</vt:i4>
      </vt:variant>
      <vt:variant>
        <vt:lpwstr>https://www.gov.uk/government/publications/beis-small-and-medium-enterprises-sme-action-plan-2022-to-2025/beis-small-and-medium-enterprises-smes-action-plan-2022-to-2025-accessible-webpage</vt:lpwstr>
      </vt:variant>
      <vt:variant>
        <vt:lpwstr>definition-of-an-sme</vt:lpwstr>
      </vt:variant>
      <vt:variant>
        <vt:i4>524353</vt:i4>
      </vt:variant>
      <vt:variant>
        <vt:i4>39</vt:i4>
      </vt:variant>
      <vt:variant>
        <vt:i4>0</vt:i4>
      </vt:variant>
      <vt:variant>
        <vt:i4>5</vt:i4>
      </vt:variant>
      <vt:variant>
        <vt:lpwstr>https://www.onr.org.uk/media/gixbe2br/licence-condition-handbook.pdf</vt:lpwstr>
      </vt:variant>
      <vt:variant>
        <vt:lpwstr/>
      </vt:variant>
      <vt:variant>
        <vt:i4>2556004</vt:i4>
      </vt:variant>
      <vt:variant>
        <vt:i4>36</vt:i4>
      </vt:variant>
      <vt:variant>
        <vt:i4>0</vt:i4>
      </vt:variant>
      <vt:variant>
        <vt:i4>5</vt:i4>
      </vt:variant>
      <vt:variant>
        <vt:lpwstr>https://www.hse.gov.uk/aboutus/assets/docs/the-hse-strategy.pdf</vt:lpwstr>
      </vt:variant>
      <vt:variant>
        <vt:lpwstr/>
      </vt:variant>
      <vt:variant>
        <vt:i4>2621487</vt:i4>
      </vt:variant>
      <vt:variant>
        <vt:i4>33</vt:i4>
      </vt:variant>
      <vt:variant>
        <vt:i4>0</vt:i4>
      </vt:variant>
      <vt:variant>
        <vt:i4>5</vt:i4>
      </vt:variant>
      <vt:variant>
        <vt:lpwstr>https://www.legislation.gov.uk/uksi/2013/240/contents/made</vt:lpwstr>
      </vt:variant>
      <vt:variant>
        <vt:lpwstr/>
      </vt:variant>
      <vt:variant>
        <vt:i4>458843</vt:i4>
      </vt:variant>
      <vt:variant>
        <vt:i4>30</vt:i4>
      </vt:variant>
      <vt:variant>
        <vt:i4>0</vt:i4>
      </vt:variant>
      <vt:variant>
        <vt:i4>5</vt:i4>
      </vt:variant>
      <vt:variant>
        <vt:lpwstr>https://www.legislation.gov.uk/uksi/1996/913/contents</vt:lpwstr>
      </vt:variant>
      <vt:variant>
        <vt:lpwstr/>
      </vt:variant>
      <vt:variant>
        <vt:i4>2555938</vt:i4>
      </vt:variant>
      <vt:variant>
        <vt:i4>27</vt:i4>
      </vt:variant>
      <vt:variant>
        <vt:i4>0</vt:i4>
      </vt:variant>
      <vt:variant>
        <vt:i4>5</vt:i4>
      </vt:variant>
      <vt:variant>
        <vt:lpwstr>https://www.legislation.gov.uk/uksi/2015/398/contents/made</vt:lpwstr>
      </vt:variant>
      <vt:variant>
        <vt:lpwstr/>
      </vt:variant>
      <vt:variant>
        <vt:i4>2752547</vt:i4>
      </vt:variant>
      <vt:variant>
        <vt:i4>24</vt:i4>
      </vt:variant>
      <vt:variant>
        <vt:i4>0</vt:i4>
      </vt:variant>
      <vt:variant>
        <vt:i4>5</vt:i4>
      </vt:variant>
      <vt:variant>
        <vt:lpwstr>https://www.legislation.gov.uk/uksi/1995/738/contents/made</vt:lpwstr>
      </vt:variant>
      <vt:variant>
        <vt:lpwstr/>
      </vt:variant>
      <vt:variant>
        <vt:i4>2818082</vt:i4>
      </vt:variant>
      <vt:variant>
        <vt:i4>21</vt:i4>
      </vt:variant>
      <vt:variant>
        <vt:i4>0</vt:i4>
      </vt:variant>
      <vt:variant>
        <vt:i4>5</vt:i4>
      </vt:variant>
      <vt:variant>
        <vt:lpwstr>https://www.legislation.gov.uk/uksi/1996/825/contents/made</vt:lpwstr>
      </vt:variant>
      <vt:variant>
        <vt:lpwstr/>
      </vt:variant>
      <vt:variant>
        <vt:i4>89</vt:i4>
      </vt:variant>
      <vt:variant>
        <vt:i4>18</vt:i4>
      </vt:variant>
      <vt:variant>
        <vt:i4>0</vt:i4>
      </vt:variant>
      <vt:variant>
        <vt:i4>5</vt:i4>
      </vt:variant>
      <vt:variant>
        <vt:lpwstr>https://www.legislation.gov.uk/uksi/2015/483/contents</vt:lpwstr>
      </vt:variant>
      <vt:variant>
        <vt:lpwstr/>
      </vt:variant>
      <vt:variant>
        <vt:i4>8192033</vt:i4>
      </vt:variant>
      <vt:variant>
        <vt:i4>15</vt:i4>
      </vt:variant>
      <vt:variant>
        <vt:i4>0</vt:i4>
      </vt:variant>
      <vt:variant>
        <vt:i4>5</vt:i4>
      </vt:variant>
      <vt:variant>
        <vt:lpwstr>https://www.phmsa.dot.gov/sites/phmsa.dot.gov/files/2022-05/Failure Investigation Report - Denbury Gulf Coast Pipeline.pdf</vt:lpwstr>
      </vt:variant>
      <vt:variant>
        <vt:lpwstr/>
      </vt:variant>
      <vt:variant>
        <vt:i4>851980</vt:i4>
      </vt:variant>
      <vt:variant>
        <vt:i4>12</vt:i4>
      </vt:variant>
      <vt:variant>
        <vt:i4>0</vt:i4>
      </vt:variant>
      <vt:variant>
        <vt:i4>5</vt:i4>
      </vt:variant>
      <vt:variant>
        <vt:lpwstr>https://www.hse.gov.uk/carboncapture/major-hazard.htm</vt:lpwstr>
      </vt:variant>
      <vt:variant>
        <vt:lpwstr/>
      </vt:variant>
      <vt:variant>
        <vt:i4>5570646</vt:i4>
      </vt:variant>
      <vt:variant>
        <vt:i4>9</vt:i4>
      </vt:variant>
      <vt:variant>
        <vt:i4>0</vt:i4>
      </vt:variant>
      <vt:variant>
        <vt:i4>5</vt:i4>
      </vt:variant>
      <vt:variant>
        <vt:lpwstr>https://www.legislation.gov.uk/ukpga/2008/27/contents</vt:lpwstr>
      </vt:variant>
      <vt:variant>
        <vt:lpwstr/>
      </vt:variant>
      <vt:variant>
        <vt:i4>5308498</vt:i4>
      </vt:variant>
      <vt:variant>
        <vt:i4>6</vt:i4>
      </vt:variant>
      <vt:variant>
        <vt:i4>0</vt:i4>
      </vt:variant>
      <vt:variant>
        <vt:i4>5</vt:i4>
      </vt:variant>
      <vt:variant>
        <vt:lpwstr>https://www.legislation.gov.uk/ukpga/1974/37/contents</vt:lpwstr>
      </vt:variant>
      <vt:variant>
        <vt:lpwstr/>
      </vt:variant>
      <vt:variant>
        <vt:i4>2424885</vt:i4>
      </vt:variant>
      <vt:variant>
        <vt:i4>3</vt:i4>
      </vt:variant>
      <vt:variant>
        <vt:i4>0</vt:i4>
      </vt:variant>
      <vt:variant>
        <vt:i4>5</vt:i4>
      </vt:variant>
      <vt:variant>
        <vt:lpwstr>https://www.gov.uk/government/collections/hydrogen-allocation-rounds</vt:lpwstr>
      </vt:variant>
      <vt:variant>
        <vt:lpwstr>hydrogen-allocation-round-1-(har1)</vt:lpwstr>
      </vt:variant>
      <vt:variant>
        <vt:i4>7798838</vt:i4>
      </vt:variant>
      <vt:variant>
        <vt:i4>0</vt:i4>
      </vt:variant>
      <vt:variant>
        <vt:i4>0</vt:i4>
      </vt:variant>
      <vt:variant>
        <vt:i4>5</vt:i4>
      </vt:variant>
      <vt:variant>
        <vt:lpwstr>https://www.gov.uk/government/news/government-reignites-industrial-heartlands-10-days-out-from-the-international-investment-summit)</vt:lpwstr>
      </vt:variant>
      <vt:variant>
        <vt:lpwstr/>
      </vt:variant>
      <vt:variant>
        <vt:i4>7864394</vt:i4>
      </vt:variant>
      <vt:variant>
        <vt:i4>3</vt:i4>
      </vt:variant>
      <vt:variant>
        <vt:i4>0</vt:i4>
      </vt:variant>
      <vt:variant>
        <vt:i4>5</vt:i4>
      </vt:variant>
      <vt:variant>
        <vt:lpwstr>mailto:Ed.Woolley@hse.gov.uk</vt:lpwstr>
      </vt:variant>
      <vt:variant>
        <vt:lpwstr/>
      </vt:variant>
      <vt:variant>
        <vt:i4>7405655</vt:i4>
      </vt:variant>
      <vt:variant>
        <vt:i4>0</vt:i4>
      </vt:variant>
      <vt:variant>
        <vt:i4>0</vt:i4>
      </vt:variant>
      <vt:variant>
        <vt:i4>5</vt:i4>
      </vt:variant>
      <vt:variant>
        <vt:lpwstr>mailto:Sally.LloydDavies@hse.gov.uk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Assessment template (2023 reforms)</dc:title>
  <dc:subject/>
  <dc:creator>David WINN (DBT)</dc:creator>
  <cp:keywords/>
  <dc:description/>
  <cp:lastModifiedBy>Paul Darbyshire</cp:lastModifiedBy>
  <cp:revision>2</cp:revision>
  <cp:lastPrinted>2023-02-23T02:12:00Z</cp:lastPrinted>
  <dcterms:created xsi:type="dcterms:W3CDTF">2025-06-18T11:58:00Z</dcterms:created>
  <dcterms:modified xsi:type="dcterms:W3CDTF">2025-06-18T11:58:00Z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2022-05-13T14:47:51Z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d44b78ad-4b70-455f-aaee-d91b41da8c87</vt:lpwstr>
  </property>
  <property fmtid="{D5CDD505-2E9C-101B-9397-08002B2CF9AE}" pid="8" name="MSIP_Label_ba62f585-b40f-4ab9-bafe-39150f03d124_ContentBits">
    <vt:lpwstr>0</vt:lpwstr>
  </property>
  <property fmtid="{D5CDD505-2E9C-101B-9397-08002B2CF9AE}" pid="9" name="Business Unit">
    <vt:lpwstr>1;#Better Regulation Executive|9c4809b4-f43f-48c5-b33e-83ca9cbb5b79</vt:lpwstr>
  </property>
  <property fmtid="{D5CDD505-2E9C-101B-9397-08002B2CF9AE}" pid="10" name="ContentTypeId">
    <vt:lpwstr>0x010100324E6956E266D74C8CA96D880542E2B4</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SecurityClassification">
    <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SharedWithUsers">
    <vt:lpwstr>5476;#Baker, Louise;#116;#Bardrick, Matthew;#329;#Baron, Jen;#2209;#Gibb, Stuart;#124;#Malik, Aftab;#2229;#Pankhania, Jasumati</vt:lpwstr>
  </property>
  <property fmtid="{D5CDD505-2E9C-101B-9397-08002B2CF9AE}" pid="19" name="Directorate">
    <vt:lpwstr/>
  </property>
  <property fmtid="{D5CDD505-2E9C-101B-9397-08002B2CF9AE}" pid="20" name="MediaServiceImageTags">
    <vt:lpwstr/>
  </property>
  <property fmtid="{D5CDD505-2E9C-101B-9397-08002B2CF9AE}" pid="21" name="_ExtendedDescription">
    <vt:lpwstr/>
  </property>
  <property fmtid="{D5CDD505-2E9C-101B-9397-08002B2CF9AE}" pid="22" name="Order">
    <vt:i4>37084800</vt:i4>
  </property>
  <property fmtid="{D5CDD505-2E9C-101B-9397-08002B2CF9AE}" pid="23" name="xd_Signature">
    <vt:bool>false</vt:bool>
  </property>
  <property fmtid="{D5CDD505-2E9C-101B-9397-08002B2CF9AE}" pid="24" name="xd_ProgID">
    <vt:lpwstr/>
  </property>
  <property fmtid="{D5CDD505-2E9C-101B-9397-08002B2CF9AE}" pid="25" name="m975189f4ba442ecbf67d4147307b177">
    <vt:lpwstr>Better Regulation Executive|9c4809b4-f43f-48c5-b33e-83ca9cbb5b79</vt:lpwstr>
  </property>
  <property fmtid="{D5CDD505-2E9C-101B-9397-08002B2CF9AE}" pid="26" name="Retention Label">
    <vt:lpwstr>Corp PPP Review</vt:lpwstr>
  </property>
  <property fmtid="{D5CDD505-2E9C-101B-9397-08002B2CF9AE}" pid="27" name="ComplianceAssetId">
    <vt:lpwstr/>
  </property>
  <property fmtid="{D5CDD505-2E9C-101B-9397-08002B2CF9AE}" pid="28" name="TemplateUrl">
    <vt:lpwstr/>
  </property>
  <property fmtid="{D5CDD505-2E9C-101B-9397-08002B2CF9AE}" pid="29" name="Government Body">
    <vt:lpwstr>BEIS</vt:lpwstr>
  </property>
  <property fmtid="{D5CDD505-2E9C-101B-9397-08002B2CF9AE}" pid="30" name="Descriptor">
    <vt:lpwstr>LOCSEN</vt:lpwstr>
  </property>
  <property fmtid="{D5CDD505-2E9C-101B-9397-08002B2CF9AE}" pid="31" name="TriggerFlowInfo">
    <vt:lpwstr/>
  </property>
  <property fmtid="{D5CDD505-2E9C-101B-9397-08002B2CF9AE}" pid="32" name="Security Classification">
    <vt:lpwstr>OFFICIAL</vt:lpwstr>
  </property>
  <property fmtid="{D5CDD505-2E9C-101B-9397-08002B2CF9AE}" pid="33" name="KIM_Activity">
    <vt:lpwstr>2;#Better Regulations Executive|2875f6d7-8dfe-4ab3-a662-786f2ce9101b</vt:lpwstr>
  </property>
  <property fmtid="{D5CDD505-2E9C-101B-9397-08002B2CF9AE}" pid="34" name="KIM_Function">
    <vt:lpwstr>1;#Market Frameworks|db361646-3d9a-4f54-8678-364f608b5aeb</vt:lpwstr>
  </property>
  <property fmtid="{D5CDD505-2E9C-101B-9397-08002B2CF9AE}" pid="35" name="KIM_GovernmentBody">
    <vt:lpwstr>3;#BEIS|b386cac2-c28c-4db4-8fca-43733d0e74ef</vt:lpwstr>
  </property>
  <property fmtid="{D5CDD505-2E9C-101B-9397-08002B2CF9AE}" pid="36" name="_dlc_DocIdItemGuid">
    <vt:lpwstr>116438c8-7ec4-4387-b0e6-d431ab677b31</vt:lpwstr>
  </property>
  <property fmtid="{D5CDD505-2E9C-101B-9397-08002B2CF9AE}" pid="37" name="MSIP_Label_c1c05e37-788c-4c59-b50e-5c98323c0a70_Enabled">
    <vt:lpwstr>true</vt:lpwstr>
  </property>
  <property fmtid="{D5CDD505-2E9C-101B-9397-08002B2CF9AE}" pid="38" name="MSIP_Label_c1c05e37-788c-4c59-b50e-5c98323c0a70_SetDate">
    <vt:lpwstr>2023-12-20T14:29:32Z</vt:lpwstr>
  </property>
  <property fmtid="{D5CDD505-2E9C-101B-9397-08002B2CF9AE}" pid="39" name="MSIP_Label_c1c05e37-788c-4c59-b50e-5c98323c0a70_Method">
    <vt:lpwstr>Standard</vt:lpwstr>
  </property>
  <property fmtid="{D5CDD505-2E9C-101B-9397-08002B2CF9AE}" pid="40" name="MSIP_Label_c1c05e37-788c-4c59-b50e-5c98323c0a70_Name">
    <vt:lpwstr>OFFICIAL</vt:lpwstr>
  </property>
  <property fmtid="{D5CDD505-2E9C-101B-9397-08002B2CF9AE}" pid="41" name="MSIP_Label_c1c05e37-788c-4c59-b50e-5c98323c0a70_SiteId">
    <vt:lpwstr>8fa217ec-33aa-46fb-ad96-dfe68006bb86</vt:lpwstr>
  </property>
  <property fmtid="{D5CDD505-2E9C-101B-9397-08002B2CF9AE}" pid="42" name="MSIP_Label_c1c05e37-788c-4c59-b50e-5c98323c0a70_ActionId">
    <vt:lpwstr>4e4779b4-9660-4ff9-af07-1ab54bc10174</vt:lpwstr>
  </property>
  <property fmtid="{D5CDD505-2E9C-101B-9397-08002B2CF9AE}" pid="43" name="MSIP_Label_c1c05e37-788c-4c59-b50e-5c98323c0a70_ContentBits">
    <vt:lpwstr>0</vt:lpwstr>
  </property>
</Properties>
</file>