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365DA" w14:textId="29D9AB3C" w:rsidR="002017AA" w:rsidRDefault="002017AA" w:rsidP="002672C3">
      <w:pPr>
        <w:spacing w:line="240" w:lineRule="auto"/>
        <w:jc w:val="center"/>
        <w:rPr>
          <w:rFonts w:ascii="Arial" w:hAnsi="Arial" w:cs="Arial"/>
          <w:b/>
          <w:sz w:val="24"/>
          <w:szCs w:val="24"/>
        </w:rPr>
      </w:pPr>
      <w:r>
        <w:rPr>
          <w:rFonts w:ascii="Arial" w:hAnsi="Arial" w:cs="Arial"/>
          <w:b/>
          <w:sz w:val="24"/>
          <w:szCs w:val="24"/>
        </w:rPr>
        <w:t>CONSULTATION REPORT</w:t>
      </w:r>
    </w:p>
    <w:p w14:paraId="6CFF1496" w14:textId="77777777" w:rsidR="002017AA" w:rsidRDefault="002017AA" w:rsidP="005A38D8">
      <w:pPr>
        <w:spacing w:line="240" w:lineRule="auto"/>
        <w:rPr>
          <w:rFonts w:ascii="Arial" w:hAnsi="Arial" w:cs="Arial"/>
          <w:b/>
          <w:sz w:val="24"/>
          <w:szCs w:val="24"/>
        </w:rPr>
      </w:pPr>
    </w:p>
    <w:p w14:paraId="1C1016C7" w14:textId="3412DC53" w:rsidR="005A38D8" w:rsidRPr="007F1703" w:rsidRDefault="005A38D8" w:rsidP="005A38D8">
      <w:pPr>
        <w:spacing w:line="240" w:lineRule="auto"/>
        <w:rPr>
          <w:rFonts w:ascii="Arial" w:hAnsi="Arial" w:cs="Arial"/>
          <w:b/>
          <w:sz w:val="24"/>
          <w:szCs w:val="24"/>
        </w:rPr>
      </w:pPr>
      <w:r w:rsidRPr="007F1703">
        <w:rPr>
          <w:rFonts w:ascii="Arial" w:hAnsi="Arial" w:cs="Arial"/>
          <w:b/>
          <w:sz w:val="24"/>
          <w:szCs w:val="24"/>
        </w:rPr>
        <w:t xml:space="preserve">CD287 - Carcinogens and Mutagens – Revision of limit values in </w:t>
      </w:r>
      <w:r w:rsidR="003B57EA">
        <w:rPr>
          <w:rFonts w:ascii="Arial" w:hAnsi="Arial" w:cs="Arial"/>
          <w:b/>
          <w:sz w:val="24"/>
          <w:szCs w:val="24"/>
        </w:rPr>
        <w:t>“</w:t>
      </w:r>
      <w:r w:rsidRPr="007F1703">
        <w:rPr>
          <w:rFonts w:ascii="Arial" w:hAnsi="Arial" w:cs="Arial"/>
          <w:b/>
          <w:sz w:val="24"/>
          <w:szCs w:val="24"/>
        </w:rPr>
        <w:t>EH40/2005 Workplace Exposure Limits”</w:t>
      </w:r>
    </w:p>
    <w:p w14:paraId="30469587" w14:textId="77777777" w:rsidR="005A38D8" w:rsidRPr="007F1703" w:rsidRDefault="005A38D8" w:rsidP="005A38D8">
      <w:pPr>
        <w:spacing w:line="240" w:lineRule="auto"/>
        <w:rPr>
          <w:rFonts w:ascii="Arial" w:hAnsi="Arial" w:cs="Arial"/>
          <w:b/>
          <w:sz w:val="24"/>
          <w:szCs w:val="24"/>
        </w:rPr>
      </w:pPr>
      <w:r w:rsidRPr="007F1703">
        <w:rPr>
          <w:rFonts w:ascii="Arial" w:hAnsi="Arial" w:cs="Arial"/>
          <w:b/>
          <w:sz w:val="24"/>
          <w:szCs w:val="24"/>
        </w:rPr>
        <w:t xml:space="preserve">Executive Summary </w:t>
      </w:r>
    </w:p>
    <w:p w14:paraId="1EE32F97" w14:textId="7C0D8AA5" w:rsidR="005A38D8" w:rsidRPr="007F1703" w:rsidRDefault="00A06E97" w:rsidP="003B57EA">
      <w:pPr>
        <w:spacing w:line="240" w:lineRule="auto"/>
        <w:jc w:val="both"/>
        <w:rPr>
          <w:rFonts w:ascii="Arial" w:hAnsi="Arial" w:cs="Arial"/>
          <w:sz w:val="24"/>
          <w:szCs w:val="24"/>
        </w:rPr>
      </w:pPr>
      <w:r>
        <w:rPr>
          <w:rFonts w:ascii="Arial" w:hAnsi="Arial" w:cs="Arial"/>
          <w:sz w:val="24"/>
          <w:szCs w:val="24"/>
        </w:rPr>
        <w:t xml:space="preserve">This consultation relates to </w:t>
      </w:r>
      <w:r w:rsidR="00C0112C">
        <w:rPr>
          <w:rFonts w:ascii="Arial" w:hAnsi="Arial" w:cs="Arial"/>
          <w:sz w:val="24"/>
          <w:szCs w:val="24"/>
        </w:rPr>
        <w:t xml:space="preserve">proposals for the </w:t>
      </w:r>
      <w:r>
        <w:rPr>
          <w:rFonts w:ascii="Arial" w:hAnsi="Arial" w:cs="Arial"/>
          <w:sz w:val="24"/>
          <w:szCs w:val="24"/>
        </w:rPr>
        <w:t xml:space="preserve">implementation of </w:t>
      </w:r>
      <w:r w:rsidR="005A38D8" w:rsidRPr="007F1703">
        <w:rPr>
          <w:rFonts w:ascii="Arial" w:hAnsi="Arial" w:cs="Arial"/>
          <w:sz w:val="24"/>
          <w:szCs w:val="24"/>
        </w:rPr>
        <w:t xml:space="preserve">Directive </w:t>
      </w:r>
      <w:r w:rsidR="00702CFA">
        <w:rPr>
          <w:rFonts w:ascii="Arial" w:hAnsi="Arial" w:cs="Arial"/>
          <w:sz w:val="24"/>
          <w:szCs w:val="24"/>
        </w:rPr>
        <w:t xml:space="preserve">(EU) </w:t>
      </w:r>
      <w:r w:rsidR="005A38D8" w:rsidRPr="007F1703">
        <w:rPr>
          <w:rFonts w:ascii="Arial" w:hAnsi="Arial" w:cs="Arial"/>
          <w:sz w:val="24"/>
          <w:szCs w:val="24"/>
        </w:rPr>
        <w:t>2017/2398</w:t>
      </w:r>
      <w:r w:rsidR="00750991" w:rsidRPr="007F1703">
        <w:rPr>
          <w:rFonts w:ascii="Arial" w:hAnsi="Arial" w:cs="Arial"/>
          <w:sz w:val="24"/>
          <w:szCs w:val="24"/>
        </w:rPr>
        <w:t>,</w:t>
      </w:r>
      <w:r w:rsidR="005A38D8" w:rsidRPr="007F1703">
        <w:rPr>
          <w:rFonts w:ascii="Arial" w:hAnsi="Arial" w:cs="Arial"/>
          <w:sz w:val="24"/>
          <w:szCs w:val="24"/>
        </w:rPr>
        <w:t xml:space="preserve"> which amends Directive 2004/37/EC and introduces 11 new </w:t>
      </w:r>
      <w:r w:rsidR="00A96CD7">
        <w:rPr>
          <w:rFonts w:ascii="Arial" w:hAnsi="Arial" w:cs="Arial"/>
          <w:sz w:val="24"/>
          <w:szCs w:val="24"/>
        </w:rPr>
        <w:t xml:space="preserve">binding </w:t>
      </w:r>
      <w:r w:rsidR="005A38D8" w:rsidRPr="007F1703">
        <w:rPr>
          <w:rFonts w:ascii="Arial" w:hAnsi="Arial" w:cs="Arial"/>
          <w:sz w:val="24"/>
          <w:szCs w:val="24"/>
        </w:rPr>
        <w:t>occupational exposure limit values (</w:t>
      </w:r>
      <w:r w:rsidR="00A96CD7">
        <w:rPr>
          <w:rFonts w:ascii="Arial" w:hAnsi="Arial" w:cs="Arial"/>
          <w:sz w:val="24"/>
          <w:szCs w:val="24"/>
        </w:rPr>
        <w:t>B</w:t>
      </w:r>
      <w:r w:rsidR="005A38D8" w:rsidRPr="007F1703">
        <w:rPr>
          <w:rFonts w:ascii="Arial" w:hAnsi="Arial" w:cs="Arial"/>
          <w:sz w:val="24"/>
          <w:szCs w:val="24"/>
        </w:rPr>
        <w:t xml:space="preserve">OELVs) and amends 2 existing </w:t>
      </w:r>
      <w:r w:rsidR="00A96CD7">
        <w:rPr>
          <w:rFonts w:ascii="Arial" w:hAnsi="Arial" w:cs="Arial"/>
          <w:sz w:val="24"/>
          <w:szCs w:val="24"/>
        </w:rPr>
        <w:t>B</w:t>
      </w:r>
      <w:r w:rsidR="005A38D8" w:rsidRPr="007F1703">
        <w:rPr>
          <w:rFonts w:ascii="Arial" w:hAnsi="Arial" w:cs="Arial"/>
          <w:sz w:val="24"/>
          <w:szCs w:val="24"/>
        </w:rPr>
        <w:t>OELVs to help protect workers from the ill-health effects of exposure to carcinogens and mutagens in the workplace</w:t>
      </w:r>
      <w:r>
        <w:rPr>
          <w:rFonts w:ascii="Arial" w:hAnsi="Arial" w:cs="Arial"/>
          <w:sz w:val="24"/>
          <w:szCs w:val="24"/>
        </w:rPr>
        <w:t xml:space="preserve">.  </w:t>
      </w:r>
    </w:p>
    <w:p w14:paraId="0CA57BA4" w14:textId="7458B171" w:rsidR="005A38D8" w:rsidRPr="007F1703" w:rsidRDefault="000555FB" w:rsidP="003B57EA">
      <w:pPr>
        <w:spacing w:line="240" w:lineRule="auto"/>
        <w:jc w:val="both"/>
        <w:rPr>
          <w:rFonts w:ascii="Arial" w:hAnsi="Arial" w:cs="Arial"/>
          <w:sz w:val="24"/>
          <w:szCs w:val="24"/>
        </w:rPr>
      </w:pPr>
      <w:r w:rsidRPr="000555FB">
        <w:rPr>
          <w:rFonts w:ascii="Arial" w:hAnsi="Arial" w:cs="Arial"/>
          <w:sz w:val="24"/>
          <w:szCs w:val="24"/>
        </w:rPr>
        <w:t>As the Directive was adopted while the UK was still a member of the EU</w:t>
      </w:r>
      <w:r w:rsidR="00B74C3B">
        <w:rPr>
          <w:rFonts w:ascii="Arial" w:hAnsi="Arial" w:cs="Arial"/>
          <w:sz w:val="24"/>
          <w:szCs w:val="24"/>
        </w:rPr>
        <w:t>,</w:t>
      </w:r>
      <w:r w:rsidRPr="000555FB">
        <w:rPr>
          <w:rFonts w:ascii="Arial" w:hAnsi="Arial" w:cs="Arial"/>
          <w:sz w:val="24"/>
          <w:szCs w:val="24"/>
        </w:rPr>
        <w:t xml:space="preserve"> HSE embarked on a project to introduce the BOELVs into the </w:t>
      </w:r>
      <w:r w:rsidR="00596F4F">
        <w:rPr>
          <w:rFonts w:ascii="Arial" w:hAnsi="Arial" w:cs="Arial"/>
          <w:sz w:val="24"/>
          <w:szCs w:val="24"/>
        </w:rPr>
        <w:t>GB</w:t>
      </w:r>
      <w:r w:rsidRPr="000555FB">
        <w:rPr>
          <w:rFonts w:ascii="Arial" w:hAnsi="Arial" w:cs="Arial"/>
          <w:sz w:val="24"/>
          <w:szCs w:val="24"/>
        </w:rPr>
        <w:t xml:space="preserve"> regulatory system</w:t>
      </w:r>
      <w:r>
        <w:rPr>
          <w:rFonts w:ascii="Arial" w:hAnsi="Arial" w:cs="Arial"/>
          <w:sz w:val="24"/>
          <w:szCs w:val="24"/>
        </w:rPr>
        <w:t xml:space="preserve"> and</w:t>
      </w:r>
      <w:r w:rsidR="00B74C3B">
        <w:rPr>
          <w:rFonts w:ascii="Arial" w:hAnsi="Arial" w:cs="Arial"/>
          <w:sz w:val="24"/>
          <w:szCs w:val="24"/>
        </w:rPr>
        <w:t>,</w:t>
      </w:r>
      <w:r>
        <w:rPr>
          <w:rFonts w:ascii="Arial" w:hAnsi="Arial" w:cs="Arial"/>
          <w:sz w:val="24"/>
          <w:szCs w:val="24"/>
        </w:rPr>
        <w:t xml:space="preserve"> as</w:t>
      </w:r>
      <w:r w:rsidR="005A38D8" w:rsidRPr="007F1703">
        <w:rPr>
          <w:rFonts w:ascii="Arial" w:hAnsi="Arial" w:cs="Arial"/>
          <w:sz w:val="24"/>
          <w:szCs w:val="24"/>
        </w:rPr>
        <w:t xml:space="preserve"> part of th</w:t>
      </w:r>
      <w:r>
        <w:rPr>
          <w:rFonts w:ascii="Arial" w:hAnsi="Arial" w:cs="Arial"/>
          <w:sz w:val="24"/>
          <w:szCs w:val="24"/>
        </w:rPr>
        <w:t>at</w:t>
      </w:r>
      <w:r w:rsidR="005A38D8" w:rsidRPr="007F1703">
        <w:rPr>
          <w:rFonts w:ascii="Arial" w:hAnsi="Arial" w:cs="Arial"/>
          <w:sz w:val="24"/>
          <w:szCs w:val="24"/>
        </w:rPr>
        <w:t xml:space="preserve"> process, the Health and Safety Executive (HSE) held a public consultation between 15 April 2019 and 7 June 2019.  The consultation sought views on 2 </w:t>
      </w:r>
      <w:r w:rsidR="00BD27C7">
        <w:rPr>
          <w:rFonts w:ascii="Arial" w:hAnsi="Arial" w:cs="Arial"/>
          <w:sz w:val="24"/>
          <w:szCs w:val="24"/>
        </w:rPr>
        <w:t>specific</w:t>
      </w:r>
      <w:r w:rsidR="00BD27C7" w:rsidRPr="007F1703">
        <w:rPr>
          <w:rFonts w:ascii="Arial" w:hAnsi="Arial" w:cs="Arial"/>
          <w:sz w:val="24"/>
          <w:szCs w:val="24"/>
        </w:rPr>
        <w:t xml:space="preserve"> </w:t>
      </w:r>
      <w:r w:rsidR="005A38D8" w:rsidRPr="007F1703">
        <w:rPr>
          <w:rFonts w:ascii="Arial" w:hAnsi="Arial" w:cs="Arial"/>
          <w:sz w:val="24"/>
          <w:szCs w:val="24"/>
        </w:rPr>
        <w:t>areas:</w:t>
      </w:r>
    </w:p>
    <w:p w14:paraId="1AB8ACC5" w14:textId="77777777" w:rsidR="003B57EA" w:rsidRDefault="005A38D8" w:rsidP="00E75A15">
      <w:pPr>
        <w:pStyle w:val="ListParagraph"/>
        <w:numPr>
          <w:ilvl w:val="0"/>
          <w:numId w:val="7"/>
        </w:numPr>
        <w:spacing w:line="240" w:lineRule="auto"/>
        <w:jc w:val="both"/>
        <w:rPr>
          <w:rFonts w:ascii="Arial" w:hAnsi="Arial" w:cs="Arial"/>
          <w:sz w:val="24"/>
          <w:szCs w:val="24"/>
        </w:rPr>
      </w:pPr>
      <w:r w:rsidRPr="003B57EA">
        <w:rPr>
          <w:rFonts w:ascii="Arial" w:hAnsi="Arial" w:cs="Arial"/>
          <w:sz w:val="24"/>
          <w:szCs w:val="24"/>
        </w:rPr>
        <w:t>The assessment of the costs and benefits of the proposed changes as set out in the draft Impact Assessment produced by HSE.</w:t>
      </w:r>
    </w:p>
    <w:p w14:paraId="1154DB18" w14:textId="3EE96446" w:rsidR="005A38D8" w:rsidRPr="003B57EA" w:rsidRDefault="005A38D8" w:rsidP="00E75A15">
      <w:pPr>
        <w:pStyle w:val="ListParagraph"/>
        <w:numPr>
          <w:ilvl w:val="0"/>
          <w:numId w:val="7"/>
        </w:numPr>
        <w:spacing w:line="240" w:lineRule="auto"/>
        <w:jc w:val="both"/>
        <w:rPr>
          <w:rFonts w:ascii="Arial" w:hAnsi="Arial" w:cs="Arial"/>
          <w:sz w:val="24"/>
          <w:szCs w:val="24"/>
        </w:rPr>
      </w:pPr>
      <w:r w:rsidRPr="003B57EA">
        <w:rPr>
          <w:rFonts w:ascii="Arial" w:hAnsi="Arial" w:cs="Arial"/>
          <w:sz w:val="24"/>
          <w:szCs w:val="24"/>
        </w:rPr>
        <w:t xml:space="preserve">The proposed implementation of new </w:t>
      </w:r>
      <w:r w:rsidR="00A96CD7" w:rsidRPr="003B57EA">
        <w:rPr>
          <w:rFonts w:ascii="Arial" w:hAnsi="Arial" w:cs="Arial"/>
          <w:sz w:val="24"/>
          <w:szCs w:val="24"/>
        </w:rPr>
        <w:t>B</w:t>
      </w:r>
      <w:r w:rsidR="00C0112C" w:rsidRPr="003B57EA">
        <w:rPr>
          <w:rFonts w:ascii="Arial" w:hAnsi="Arial" w:cs="Arial"/>
          <w:sz w:val="24"/>
          <w:szCs w:val="24"/>
        </w:rPr>
        <w:t>OELV</w:t>
      </w:r>
      <w:r w:rsidR="00BD27C7" w:rsidRPr="003B57EA">
        <w:rPr>
          <w:rFonts w:ascii="Arial" w:hAnsi="Arial" w:cs="Arial"/>
          <w:sz w:val="24"/>
          <w:szCs w:val="24"/>
        </w:rPr>
        <w:t>s</w:t>
      </w:r>
      <w:r w:rsidR="00C0112C" w:rsidRPr="003B57EA">
        <w:rPr>
          <w:rFonts w:ascii="Arial" w:hAnsi="Arial" w:cs="Arial"/>
          <w:sz w:val="24"/>
          <w:szCs w:val="24"/>
        </w:rPr>
        <w:t xml:space="preserve"> through amendment of the </w:t>
      </w:r>
      <w:r w:rsidRPr="003B57EA">
        <w:rPr>
          <w:rFonts w:ascii="Arial" w:hAnsi="Arial" w:cs="Arial"/>
          <w:sz w:val="24"/>
          <w:szCs w:val="24"/>
        </w:rPr>
        <w:t>Workplace Exposure Limits (WELs)</w:t>
      </w:r>
      <w:r w:rsidR="00C0112C" w:rsidRPr="003B57EA">
        <w:rPr>
          <w:rFonts w:ascii="Arial" w:hAnsi="Arial" w:cs="Arial"/>
          <w:sz w:val="24"/>
          <w:szCs w:val="24"/>
        </w:rPr>
        <w:t xml:space="preserve"> in </w:t>
      </w:r>
      <w:r w:rsidR="002672C3" w:rsidRPr="003B57EA">
        <w:rPr>
          <w:rFonts w:ascii="Arial" w:hAnsi="Arial" w:cs="Arial"/>
          <w:sz w:val="24"/>
          <w:szCs w:val="24"/>
        </w:rPr>
        <w:t>T</w:t>
      </w:r>
      <w:r w:rsidR="00A06E97" w:rsidRPr="003B57EA">
        <w:rPr>
          <w:rFonts w:ascii="Arial" w:hAnsi="Arial" w:cs="Arial"/>
          <w:sz w:val="24"/>
          <w:szCs w:val="24"/>
        </w:rPr>
        <w:t>able 1 of HSE’s publication</w:t>
      </w:r>
      <w:r w:rsidRPr="003B57EA">
        <w:rPr>
          <w:rFonts w:ascii="Arial" w:hAnsi="Arial" w:cs="Arial"/>
          <w:sz w:val="24"/>
          <w:szCs w:val="24"/>
        </w:rPr>
        <w:t xml:space="preserve"> </w:t>
      </w:r>
      <w:r w:rsidR="00020C6A" w:rsidRPr="003B57EA">
        <w:rPr>
          <w:rFonts w:ascii="Arial" w:hAnsi="Arial" w:cs="Arial"/>
          <w:sz w:val="24"/>
          <w:szCs w:val="24"/>
        </w:rPr>
        <w:t>“</w:t>
      </w:r>
      <w:r w:rsidRPr="003B57EA">
        <w:rPr>
          <w:rFonts w:ascii="Arial" w:hAnsi="Arial" w:cs="Arial"/>
          <w:sz w:val="24"/>
          <w:szCs w:val="24"/>
        </w:rPr>
        <w:t>EH40/2005 Workplace exposure limits</w:t>
      </w:r>
      <w:r w:rsidR="00020C6A" w:rsidRPr="003B57EA">
        <w:rPr>
          <w:rFonts w:ascii="Arial" w:hAnsi="Arial" w:cs="Arial"/>
          <w:sz w:val="24"/>
          <w:szCs w:val="24"/>
        </w:rPr>
        <w:t>”</w:t>
      </w:r>
      <w:r w:rsidRPr="003B57EA">
        <w:rPr>
          <w:rFonts w:ascii="Arial" w:hAnsi="Arial" w:cs="Arial"/>
          <w:sz w:val="24"/>
          <w:szCs w:val="24"/>
        </w:rPr>
        <w:t>.</w:t>
      </w:r>
    </w:p>
    <w:p w14:paraId="7F65DE7D" w14:textId="77777777" w:rsidR="005A38D8" w:rsidRPr="007F1703" w:rsidRDefault="005A38D8" w:rsidP="005A38D8">
      <w:pPr>
        <w:spacing w:line="240" w:lineRule="auto"/>
        <w:rPr>
          <w:rFonts w:ascii="Arial" w:hAnsi="Arial" w:cs="Arial"/>
          <w:sz w:val="24"/>
          <w:szCs w:val="24"/>
        </w:rPr>
      </w:pPr>
      <w:r w:rsidRPr="007F1703">
        <w:rPr>
          <w:rFonts w:ascii="Arial" w:hAnsi="Arial" w:cs="Arial"/>
          <w:sz w:val="24"/>
          <w:szCs w:val="24"/>
        </w:rPr>
        <w:t>Views were received from a wide range of sectors and organisations which included:</w:t>
      </w:r>
    </w:p>
    <w:p w14:paraId="02155926" w14:textId="77777777" w:rsidR="005A38D8" w:rsidRPr="007F1703" w:rsidRDefault="005A38D8" w:rsidP="005A38D8">
      <w:pPr>
        <w:pStyle w:val="ListParagraph"/>
        <w:numPr>
          <w:ilvl w:val="0"/>
          <w:numId w:val="1"/>
        </w:numPr>
        <w:spacing w:line="240" w:lineRule="auto"/>
        <w:rPr>
          <w:rFonts w:ascii="Arial" w:hAnsi="Arial" w:cs="Arial"/>
          <w:sz w:val="24"/>
          <w:szCs w:val="24"/>
        </w:rPr>
      </w:pPr>
      <w:r w:rsidRPr="007F1703">
        <w:rPr>
          <w:rFonts w:ascii="Arial" w:hAnsi="Arial" w:cs="Arial"/>
          <w:sz w:val="24"/>
          <w:szCs w:val="24"/>
        </w:rPr>
        <w:t>Industry sectors eg woodworking, welding and chemicals</w:t>
      </w:r>
    </w:p>
    <w:p w14:paraId="0809C479" w14:textId="77777777" w:rsidR="005A38D8" w:rsidRPr="007F1703" w:rsidRDefault="005A38D8" w:rsidP="005A38D8">
      <w:pPr>
        <w:pStyle w:val="ListParagraph"/>
        <w:numPr>
          <w:ilvl w:val="0"/>
          <w:numId w:val="1"/>
        </w:numPr>
        <w:spacing w:line="240" w:lineRule="auto"/>
        <w:rPr>
          <w:rFonts w:ascii="Arial" w:hAnsi="Arial" w:cs="Arial"/>
          <w:sz w:val="24"/>
          <w:szCs w:val="24"/>
        </w:rPr>
      </w:pPr>
      <w:r w:rsidRPr="007F1703">
        <w:rPr>
          <w:rFonts w:ascii="Arial" w:hAnsi="Arial" w:cs="Arial"/>
          <w:sz w:val="24"/>
          <w:szCs w:val="24"/>
        </w:rPr>
        <w:t>Health and safety professionals</w:t>
      </w:r>
    </w:p>
    <w:p w14:paraId="79C31C3D" w14:textId="77777777" w:rsidR="005A38D8" w:rsidRPr="007F1703" w:rsidRDefault="005A38D8" w:rsidP="005A38D8">
      <w:pPr>
        <w:pStyle w:val="ListParagraph"/>
        <w:numPr>
          <w:ilvl w:val="0"/>
          <w:numId w:val="1"/>
        </w:numPr>
        <w:spacing w:line="240" w:lineRule="auto"/>
        <w:rPr>
          <w:rFonts w:ascii="Arial" w:hAnsi="Arial" w:cs="Arial"/>
          <w:sz w:val="24"/>
          <w:szCs w:val="24"/>
        </w:rPr>
      </w:pPr>
      <w:r w:rsidRPr="007F1703">
        <w:rPr>
          <w:rFonts w:ascii="Arial" w:hAnsi="Arial" w:cs="Arial"/>
          <w:sz w:val="24"/>
          <w:szCs w:val="24"/>
        </w:rPr>
        <w:t>Trade Unions</w:t>
      </w:r>
    </w:p>
    <w:p w14:paraId="4D1F4F87" w14:textId="77777777" w:rsidR="005A38D8" w:rsidRPr="007F1703" w:rsidRDefault="005A38D8" w:rsidP="005A38D8">
      <w:pPr>
        <w:pStyle w:val="ListParagraph"/>
        <w:numPr>
          <w:ilvl w:val="0"/>
          <w:numId w:val="1"/>
        </w:numPr>
        <w:spacing w:line="240" w:lineRule="auto"/>
        <w:rPr>
          <w:rFonts w:ascii="Arial" w:hAnsi="Arial" w:cs="Arial"/>
          <w:sz w:val="24"/>
          <w:szCs w:val="24"/>
        </w:rPr>
      </w:pPr>
      <w:r w:rsidRPr="007F1703">
        <w:rPr>
          <w:rFonts w:ascii="Arial" w:hAnsi="Arial" w:cs="Arial"/>
          <w:sz w:val="24"/>
          <w:szCs w:val="24"/>
        </w:rPr>
        <w:t>Trade Associations</w:t>
      </w:r>
    </w:p>
    <w:p w14:paraId="339E2FCB" w14:textId="3A86D772" w:rsidR="00004996" w:rsidRDefault="00004996" w:rsidP="00004996">
      <w:pPr>
        <w:spacing w:line="240" w:lineRule="auto"/>
        <w:jc w:val="both"/>
        <w:rPr>
          <w:rFonts w:ascii="Arial" w:hAnsi="Arial" w:cs="Arial"/>
          <w:b/>
          <w:sz w:val="24"/>
          <w:szCs w:val="24"/>
        </w:rPr>
      </w:pPr>
      <w:r w:rsidRPr="00004996">
        <w:rPr>
          <w:rFonts w:ascii="Arial" w:hAnsi="Arial" w:cs="Arial"/>
          <w:sz w:val="24"/>
          <w:szCs w:val="24"/>
        </w:rPr>
        <w:t>The overall response to the consultation was positive</w:t>
      </w:r>
      <w:r>
        <w:rPr>
          <w:rFonts w:ascii="Arial" w:hAnsi="Arial" w:cs="Arial"/>
          <w:sz w:val="24"/>
          <w:szCs w:val="24"/>
        </w:rPr>
        <w:t xml:space="preserve">, with </w:t>
      </w:r>
      <w:proofErr w:type="gramStart"/>
      <w:r>
        <w:rPr>
          <w:rFonts w:ascii="Arial" w:hAnsi="Arial" w:cs="Arial"/>
          <w:sz w:val="24"/>
          <w:szCs w:val="24"/>
        </w:rPr>
        <w:t>the</w:t>
      </w:r>
      <w:r w:rsidRPr="00004996">
        <w:rPr>
          <w:rFonts w:ascii="Arial" w:hAnsi="Arial" w:cs="Arial"/>
          <w:sz w:val="24"/>
          <w:szCs w:val="24"/>
        </w:rPr>
        <w:t xml:space="preserve"> majority of</w:t>
      </w:r>
      <w:proofErr w:type="gramEnd"/>
      <w:r w:rsidRPr="00004996">
        <w:rPr>
          <w:rFonts w:ascii="Arial" w:hAnsi="Arial" w:cs="Arial"/>
          <w:sz w:val="24"/>
          <w:szCs w:val="24"/>
        </w:rPr>
        <w:t xml:space="preserve"> respondents agree</w:t>
      </w:r>
      <w:r>
        <w:rPr>
          <w:rFonts w:ascii="Arial" w:hAnsi="Arial" w:cs="Arial"/>
          <w:sz w:val="24"/>
          <w:szCs w:val="24"/>
        </w:rPr>
        <w:t>ing</w:t>
      </w:r>
      <w:r w:rsidRPr="00004996">
        <w:rPr>
          <w:rFonts w:ascii="Arial" w:hAnsi="Arial" w:cs="Arial"/>
          <w:sz w:val="24"/>
          <w:szCs w:val="24"/>
        </w:rPr>
        <w:t xml:space="preserve"> that updating the WEL</w:t>
      </w:r>
      <w:r>
        <w:rPr>
          <w:rFonts w:ascii="Arial" w:hAnsi="Arial" w:cs="Arial"/>
          <w:sz w:val="24"/>
          <w:szCs w:val="24"/>
        </w:rPr>
        <w:t>’s</w:t>
      </w:r>
      <w:r w:rsidRPr="00004996">
        <w:rPr>
          <w:rFonts w:ascii="Arial" w:hAnsi="Arial" w:cs="Arial"/>
          <w:sz w:val="24"/>
          <w:szCs w:val="24"/>
        </w:rPr>
        <w:t xml:space="preserve"> in HSE publication EH40/2005 </w:t>
      </w:r>
      <w:r>
        <w:rPr>
          <w:rFonts w:ascii="Arial" w:hAnsi="Arial" w:cs="Arial"/>
          <w:sz w:val="24"/>
          <w:szCs w:val="24"/>
        </w:rPr>
        <w:t>wa</w:t>
      </w:r>
      <w:r w:rsidRPr="00004996">
        <w:rPr>
          <w:rFonts w:ascii="Arial" w:hAnsi="Arial" w:cs="Arial"/>
          <w:sz w:val="24"/>
          <w:szCs w:val="24"/>
        </w:rPr>
        <w:t xml:space="preserve">s the most appropriate way of </w:t>
      </w:r>
      <w:r>
        <w:rPr>
          <w:rFonts w:ascii="Arial" w:hAnsi="Arial" w:cs="Arial"/>
          <w:sz w:val="24"/>
          <w:szCs w:val="24"/>
        </w:rPr>
        <w:t>introducing the revised limits</w:t>
      </w:r>
      <w:r w:rsidRPr="00004996">
        <w:rPr>
          <w:rFonts w:ascii="Arial" w:hAnsi="Arial" w:cs="Arial"/>
          <w:sz w:val="24"/>
          <w:szCs w:val="24"/>
        </w:rPr>
        <w:t>.</w:t>
      </w:r>
    </w:p>
    <w:p w14:paraId="453AD704" w14:textId="3E0A7E5B" w:rsidR="005A38D8" w:rsidRPr="007F1703" w:rsidRDefault="005A38D8" w:rsidP="005A38D8">
      <w:pPr>
        <w:spacing w:line="240" w:lineRule="auto"/>
        <w:rPr>
          <w:rFonts w:ascii="Arial" w:hAnsi="Arial" w:cs="Arial"/>
          <w:b/>
          <w:sz w:val="24"/>
          <w:szCs w:val="24"/>
        </w:rPr>
      </w:pPr>
      <w:r w:rsidRPr="007F1703">
        <w:rPr>
          <w:rFonts w:ascii="Arial" w:hAnsi="Arial" w:cs="Arial"/>
          <w:b/>
          <w:sz w:val="24"/>
          <w:szCs w:val="24"/>
        </w:rPr>
        <w:t xml:space="preserve">Introduction </w:t>
      </w:r>
    </w:p>
    <w:p w14:paraId="7D57A0A5" w14:textId="7927EA84" w:rsidR="005A38D8" w:rsidRDefault="005A38D8" w:rsidP="002672C3">
      <w:pPr>
        <w:pStyle w:val="Default"/>
        <w:jc w:val="both"/>
      </w:pPr>
      <w:r w:rsidRPr="007F1703">
        <w:t>This report presents a summary of the outcome of HSE’s public consultation</w:t>
      </w:r>
      <w:r w:rsidR="00A06E97">
        <w:t xml:space="preserve"> on</w:t>
      </w:r>
      <w:r w:rsidRPr="007F1703">
        <w:t xml:space="preserve"> proposals to implement</w:t>
      </w:r>
      <w:r w:rsidRPr="007F1703">
        <w:rPr>
          <w:color w:val="auto"/>
        </w:rPr>
        <w:t xml:space="preserve"> </w:t>
      </w:r>
      <w:r w:rsidR="00C0112C">
        <w:rPr>
          <w:color w:val="auto"/>
        </w:rPr>
        <w:t xml:space="preserve">the </w:t>
      </w:r>
      <w:r w:rsidR="00A96CD7">
        <w:rPr>
          <w:color w:val="auto"/>
        </w:rPr>
        <w:t xml:space="preserve">GB </w:t>
      </w:r>
      <w:r w:rsidRPr="007F1703">
        <w:rPr>
          <w:color w:val="auto"/>
        </w:rPr>
        <w:t xml:space="preserve">Directive </w:t>
      </w:r>
      <w:r w:rsidR="00702CFA">
        <w:rPr>
          <w:color w:val="auto"/>
        </w:rPr>
        <w:t xml:space="preserve">(EU) </w:t>
      </w:r>
      <w:r w:rsidRPr="007F1703">
        <w:rPr>
          <w:color w:val="auto"/>
        </w:rPr>
        <w:t>2017/2398</w:t>
      </w:r>
      <w:r w:rsidR="00BD27C7">
        <w:rPr>
          <w:color w:val="auto"/>
        </w:rPr>
        <w:t>,</w:t>
      </w:r>
      <w:r w:rsidRPr="007F1703">
        <w:rPr>
          <w:color w:val="auto"/>
        </w:rPr>
        <w:t xml:space="preserve"> which amends Directive 2004/37/EC</w:t>
      </w:r>
      <w:r w:rsidRPr="007F1703">
        <w:t xml:space="preserve">.  </w:t>
      </w:r>
    </w:p>
    <w:p w14:paraId="2C651E72" w14:textId="3E4DC525" w:rsidR="006374F6" w:rsidRDefault="006374F6" w:rsidP="005A38D8">
      <w:pPr>
        <w:pStyle w:val="Default"/>
      </w:pPr>
    </w:p>
    <w:p w14:paraId="7ABE0B6A" w14:textId="4FA0FEFE" w:rsidR="006374F6" w:rsidRPr="006374F6" w:rsidRDefault="00A96CD7" w:rsidP="006374F6">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B</w:t>
      </w:r>
      <w:r w:rsidR="006374F6" w:rsidRPr="006374F6">
        <w:rPr>
          <w:rFonts w:ascii="Arial" w:eastAsia="Times New Roman" w:hAnsi="Arial" w:cs="Arial"/>
          <w:sz w:val="24"/>
          <w:szCs w:val="24"/>
        </w:rPr>
        <w:t xml:space="preserve">OELVs are set to help protect workers from the ill-health effects of exposure to hazardous substances. In the case of CMD this is in relation to substances that are carcinogens or mutagens. The amending </w:t>
      </w:r>
      <w:r>
        <w:rPr>
          <w:rFonts w:ascii="Arial" w:eastAsia="Times New Roman" w:hAnsi="Arial" w:cs="Arial"/>
          <w:sz w:val="24"/>
          <w:szCs w:val="24"/>
        </w:rPr>
        <w:t>D</w:t>
      </w:r>
      <w:r w:rsidR="006374F6" w:rsidRPr="006374F6">
        <w:rPr>
          <w:rFonts w:ascii="Arial" w:eastAsia="Times New Roman" w:hAnsi="Arial" w:cs="Arial"/>
          <w:sz w:val="24"/>
          <w:szCs w:val="24"/>
        </w:rPr>
        <w:t xml:space="preserve">irective (2017/2398) adds 11 </w:t>
      </w:r>
      <w:r w:rsidR="00A06E97">
        <w:rPr>
          <w:rFonts w:ascii="Arial" w:eastAsia="Times New Roman" w:hAnsi="Arial" w:cs="Arial"/>
          <w:sz w:val="24"/>
          <w:szCs w:val="24"/>
        </w:rPr>
        <w:t xml:space="preserve">new </w:t>
      </w:r>
      <w:r>
        <w:rPr>
          <w:rFonts w:ascii="Arial" w:eastAsia="Times New Roman" w:hAnsi="Arial" w:cs="Arial"/>
          <w:sz w:val="24"/>
          <w:szCs w:val="24"/>
        </w:rPr>
        <w:t>B</w:t>
      </w:r>
      <w:r w:rsidR="00A06E97">
        <w:rPr>
          <w:rFonts w:ascii="Arial" w:eastAsia="Times New Roman" w:hAnsi="Arial" w:cs="Arial"/>
          <w:sz w:val="24"/>
          <w:szCs w:val="24"/>
        </w:rPr>
        <w:t xml:space="preserve">OELVs </w:t>
      </w:r>
      <w:r w:rsidR="006374F6" w:rsidRPr="006374F6">
        <w:rPr>
          <w:rFonts w:ascii="Arial" w:eastAsia="Times New Roman" w:hAnsi="Arial" w:cs="Arial"/>
          <w:sz w:val="24"/>
          <w:szCs w:val="24"/>
        </w:rPr>
        <w:t xml:space="preserve">and amends 2 existing </w:t>
      </w:r>
      <w:r>
        <w:rPr>
          <w:rFonts w:ascii="Arial" w:eastAsia="Times New Roman" w:hAnsi="Arial" w:cs="Arial"/>
          <w:sz w:val="24"/>
          <w:szCs w:val="24"/>
        </w:rPr>
        <w:t>B</w:t>
      </w:r>
      <w:r w:rsidR="006374F6" w:rsidRPr="006374F6">
        <w:rPr>
          <w:rFonts w:ascii="Arial" w:eastAsia="Times New Roman" w:hAnsi="Arial" w:cs="Arial"/>
          <w:sz w:val="24"/>
          <w:szCs w:val="24"/>
        </w:rPr>
        <w:t xml:space="preserve">OELVs in the original CMD.    </w:t>
      </w:r>
    </w:p>
    <w:p w14:paraId="67C8D246" w14:textId="77777777" w:rsidR="006374F6" w:rsidRPr="006374F6" w:rsidRDefault="006374F6" w:rsidP="006374F6">
      <w:pPr>
        <w:spacing w:after="0" w:line="240" w:lineRule="auto"/>
        <w:ind w:left="644"/>
        <w:contextualSpacing/>
        <w:jc w:val="both"/>
        <w:outlineLvl w:val="0"/>
        <w:rPr>
          <w:rFonts w:ascii="Arial" w:eastAsia="Times New Roman" w:hAnsi="Arial" w:cs="Arial"/>
          <w:b/>
          <w:sz w:val="24"/>
          <w:szCs w:val="24"/>
        </w:rPr>
      </w:pPr>
    </w:p>
    <w:p w14:paraId="568C1EDF" w14:textId="6E632F10" w:rsidR="001A2984" w:rsidRDefault="006374F6" w:rsidP="006374F6">
      <w:pPr>
        <w:spacing w:after="0" w:line="240" w:lineRule="auto"/>
        <w:contextualSpacing/>
        <w:jc w:val="both"/>
        <w:rPr>
          <w:rFonts w:ascii="Arial" w:eastAsia="Times New Roman" w:hAnsi="Arial" w:cs="Arial"/>
          <w:sz w:val="24"/>
          <w:szCs w:val="24"/>
        </w:rPr>
      </w:pPr>
      <w:r w:rsidRPr="006374F6">
        <w:rPr>
          <w:rFonts w:ascii="Arial" w:eastAsia="Times New Roman" w:hAnsi="Arial" w:cs="Arial"/>
          <w:sz w:val="24"/>
          <w:szCs w:val="24"/>
        </w:rPr>
        <w:t xml:space="preserve">The original CMD contained </w:t>
      </w:r>
      <w:r w:rsidR="00A96CD7">
        <w:rPr>
          <w:rFonts w:ascii="Arial" w:eastAsia="Times New Roman" w:hAnsi="Arial" w:cs="Arial"/>
          <w:sz w:val="24"/>
          <w:szCs w:val="24"/>
        </w:rPr>
        <w:t>B</w:t>
      </w:r>
      <w:r w:rsidRPr="006374F6">
        <w:rPr>
          <w:rFonts w:ascii="Arial" w:eastAsia="Times New Roman" w:hAnsi="Arial" w:cs="Arial"/>
          <w:sz w:val="24"/>
          <w:szCs w:val="24"/>
        </w:rPr>
        <w:t xml:space="preserve">OELVs for 3 carcinogenic substances (Hardwood dust, Benzene and Vinyl Chloride Monomer). In </w:t>
      </w:r>
      <w:r w:rsidR="003179AB">
        <w:rPr>
          <w:rFonts w:ascii="Arial" w:eastAsia="Times New Roman" w:hAnsi="Arial" w:cs="Arial"/>
          <w:sz w:val="24"/>
          <w:szCs w:val="24"/>
        </w:rPr>
        <w:t>GB</w:t>
      </w:r>
      <w:r w:rsidRPr="006374F6">
        <w:rPr>
          <w:rFonts w:ascii="Arial" w:eastAsia="Times New Roman" w:hAnsi="Arial" w:cs="Arial"/>
          <w:sz w:val="24"/>
          <w:szCs w:val="24"/>
        </w:rPr>
        <w:t xml:space="preserve"> these limit values </w:t>
      </w:r>
      <w:r w:rsidR="00BD27C7">
        <w:rPr>
          <w:rFonts w:ascii="Arial" w:eastAsia="Times New Roman" w:hAnsi="Arial" w:cs="Arial"/>
          <w:sz w:val="24"/>
          <w:szCs w:val="24"/>
        </w:rPr>
        <w:t>were</w:t>
      </w:r>
      <w:r w:rsidR="00BD27C7" w:rsidRPr="006374F6">
        <w:rPr>
          <w:rFonts w:ascii="Arial" w:eastAsia="Times New Roman" w:hAnsi="Arial" w:cs="Arial"/>
          <w:sz w:val="24"/>
          <w:szCs w:val="24"/>
        </w:rPr>
        <w:t xml:space="preserve"> </w:t>
      </w:r>
      <w:r w:rsidRPr="006374F6">
        <w:rPr>
          <w:rFonts w:ascii="Arial" w:eastAsia="Times New Roman" w:hAnsi="Arial" w:cs="Arial"/>
          <w:sz w:val="24"/>
          <w:szCs w:val="24"/>
        </w:rPr>
        <w:t xml:space="preserve">transposed as WELs in the Health and Safety Executive (HSE) publication </w:t>
      </w:r>
      <w:r w:rsidR="00A06E97">
        <w:rPr>
          <w:rFonts w:ascii="Arial" w:eastAsia="Times New Roman" w:hAnsi="Arial" w:cs="Arial"/>
          <w:sz w:val="24"/>
          <w:szCs w:val="24"/>
        </w:rPr>
        <w:t>“</w:t>
      </w:r>
      <w:r w:rsidRPr="006374F6">
        <w:rPr>
          <w:rFonts w:ascii="Arial" w:eastAsia="Times New Roman" w:hAnsi="Arial" w:cs="Arial"/>
          <w:sz w:val="24"/>
          <w:szCs w:val="24"/>
        </w:rPr>
        <w:t>EH40/2005</w:t>
      </w:r>
      <w:r w:rsidR="00A06E97">
        <w:rPr>
          <w:rFonts w:ascii="Arial" w:eastAsia="Times New Roman" w:hAnsi="Arial" w:cs="Arial"/>
          <w:sz w:val="24"/>
          <w:szCs w:val="24"/>
        </w:rPr>
        <w:t xml:space="preserve"> Workplace </w:t>
      </w:r>
      <w:r w:rsidR="00A06E97">
        <w:rPr>
          <w:rFonts w:ascii="Arial" w:eastAsia="Times New Roman" w:hAnsi="Arial" w:cs="Arial"/>
          <w:sz w:val="24"/>
          <w:szCs w:val="24"/>
        </w:rPr>
        <w:lastRenderedPageBreak/>
        <w:t>exposure limits”</w:t>
      </w:r>
      <w:r w:rsidRPr="006374F6">
        <w:rPr>
          <w:rFonts w:ascii="Arial" w:eastAsia="Times New Roman" w:hAnsi="Arial" w:cs="Arial"/>
          <w:sz w:val="24"/>
          <w:szCs w:val="24"/>
        </w:rPr>
        <w:t xml:space="preserve">. </w:t>
      </w:r>
      <w:r w:rsidR="001A2984">
        <w:rPr>
          <w:rFonts w:ascii="Arial" w:eastAsia="Times New Roman" w:hAnsi="Arial" w:cs="Arial"/>
          <w:sz w:val="24"/>
          <w:szCs w:val="24"/>
        </w:rPr>
        <w:t xml:space="preserve"> The same approach </w:t>
      </w:r>
      <w:r w:rsidR="00654743">
        <w:rPr>
          <w:rFonts w:ascii="Arial" w:eastAsia="Times New Roman" w:hAnsi="Arial" w:cs="Arial"/>
          <w:sz w:val="24"/>
          <w:szCs w:val="24"/>
        </w:rPr>
        <w:t xml:space="preserve">was </w:t>
      </w:r>
      <w:r w:rsidR="001A2984">
        <w:rPr>
          <w:rFonts w:ascii="Arial" w:eastAsia="Times New Roman" w:hAnsi="Arial" w:cs="Arial"/>
          <w:sz w:val="24"/>
          <w:szCs w:val="24"/>
        </w:rPr>
        <w:t xml:space="preserve">proposed for implementation of the </w:t>
      </w:r>
      <w:r w:rsidR="00BD27C7">
        <w:rPr>
          <w:rFonts w:ascii="Arial" w:eastAsia="Times New Roman" w:hAnsi="Arial" w:cs="Arial"/>
          <w:sz w:val="24"/>
          <w:szCs w:val="24"/>
        </w:rPr>
        <w:t>n</w:t>
      </w:r>
      <w:r w:rsidR="001A2984">
        <w:rPr>
          <w:rFonts w:ascii="Arial" w:eastAsia="Times New Roman" w:hAnsi="Arial" w:cs="Arial"/>
          <w:sz w:val="24"/>
          <w:szCs w:val="24"/>
        </w:rPr>
        <w:t xml:space="preserve">ew/revised limits in the latest amendment </w:t>
      </w:r>
      <w:r w:rsidR="00BD27C7">
        <w:rPr>
          <w:rFonts w:ascii="Arial" w:eastAsia="Times New Roman" w:hAnsi="Arial" w:cs="Arial"/>
          <w:sz w:val="24"/>
          <w:szCs w:val="24"/>
        </w:rPr>
        <w:t>to the D</w:t>
      </w:r>
      <w:r w:rsidR="001A2984">
        <w:rPr>
          <w:rFonts w:ascii="Arial" w:eastAsia="Times New Roman" w:hAnsi="Arial" w:cs="Arial"/>
          <w:sz w:val="24"/>
          <w:szCs w:val="24"/>
        </w:rPr>
        <w:t>irective.</w:t>
      </w:r>
    </w:p>
    <w:p w14:paraId="200A2CB5" w14:textId="77777777" w:rsidR="001A2984" w:rsidRDefault="001A2984" w:rsidP="006374F6">
      <w:pPr>
        <w:spacing w:after="0" w:line="240" w:lineRule="auto"/>
        <w:contextualSpacing/>
        <w:jc w:val="both"/>
        <w:rPr>
          <w:rFonts w:ascii="Arial" w:eastAsia="Times New Roman" w:hAnsi="Arial" w:cs="Arial"/>
          <w:sz w:val="24"/>
          <w:szCs w:val="24"/>
        </w:rPr>
      </w:pPr>
    </w:p>
    <w:p w14:paraId="5954CD2A" w14:textId="4543C60B" w:rsidR="006374F6" w:rsidRPr="006374F6" w:rsidRDefault="001A2984" w:rsidP="004B21A6">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The W</w:t>
      </w:r>
      <w:r w:rsidR="00BD27C7">
        <w:rPr>
          <w:rFonts w:ascii="Arial" w:eastAsia="Times New Roman" w:hAnsi="Arial" w:cs="Arial"/>
          <w:sz w:val="24"/>
          <w:szCs w:val="24"/>
        </w:rPr>
        <w:t>EL</w:t>
      </w:r>
      <w:r>
        <w:rPr>
          <w:rFonts w:ascii="Arial" w:eastAsia="Times New Roman" w:hAnsi="Arial" w:cs="Arial"/>
          <w:sz w:val="24"/>
          <w:szCs w:val="24"/>
        </w:rPr>
        <w:t>s in Table 1 of EH40/2</w:t>
      </w:r>
      <w:r w:rsidR="00DB5FCC">
        <w:rPr>
          <w:rFonts w:ascii="Arial" w:eastAsia="Times New Roman" w:hAnsi="Arial" w:cs="Arial"/>
          <w:sz w:val="24"/>
          <w:szCs w:val="24"/>
        </w:rPr>
        <w:t>0</w:t>
      </w:r>
      <w:r>
        <w:rPr>
          <w:rFonts w:ascii="Arial" w:eastAsia="Times New Roman" w:hAnsi="Arial" w:cs="Arial"/>
          <w:sz w:val="24"/>
          <w:szCs w:val="24"/>
        </w:rPr>
        <w:t xml:space="preserve">05 are binding.  The requirement to comply with WELs </w:t>
      </w:r>
      <w:r w:rsidR="003179AB">
        <w:rPr>
          <w:rFonts w:ascii="Arial" w:eastAsia="Times New Roman" w:hAnsi="Arial" w:cs="Arial"/>
          <w:sz w:val="24"/>
          <w:szCs w:val="24"/>
        </w:rPr>
        <w:t xml:space="preserve">is </w:t>
      </w:r>
      <w:r>
        <w:rPr>
          <w:rFonts w:ascii="Arial" w:eastAsia="Times New Roman" w:hAnsi="Arial" w:cs="Arial"/>
          <w:sz w:val="24"/>
          <w:szCs w:val="24"/>
        </w:rPr>
        <w:t>set out in regulation 7(7) of the Control of Substances Hazardous to Health Regulations 2002 (as amended).</w:t>
      </w:r>
      <w:r w:rsidR="006374F6" w:rsidRPr="006374F6">
        <w:rPr>
          <w:rFonts w:ascii="Arial" w:eastAsia="Times New Roman" w:hAnsi="Arial" w:cs="Arial"/>
          <w:sz w:val="24"/>
          <w:szCs w:val="24"/>
        </w:rPr>
        <w:t xml:space="preserve"> </w:t>
      </w:r>
    </w:p>
    <w:p w14:paraId="7DC3D078" w14:textId="77777777" w:rsidR="006374F6" w:rsidRPr="006374F6" w:rsidRDefault="006374F6" w:rsidP="006374F6">
      <w:pPr>
        <w:spacing w:after="0" w:line="240" w:lineRule="auto"/>
        <w:jc w:val="both"/>
        <w:rPr>
          <w:rFonts w:ascii="Arial" w:eastAsia="Times New Roman" w:hAnsi="Arial" w:cs="Arial"/>
          <w:i/>
          <w:sz w:val="24"/>
          <w:szCs w:val="24"/>
        </w:rPr>
      </w:pPr>
    </w:p>
    <w:p w14:paraId="5C219323" w14:textId="6B50D056" w:rsidR="006374F6" w:rsidRPr="006374F6" w:rsidRDefault="006374F6" w:rsidP="006374F6">
      <w:pPr>
        <w:spacing w:after="0" w:line="240" w:lineRule="auto"/>
        <w:contextualSpacing/>
        <w:jc w:val="both"/>
        <w:rPr>
          <w:rFonts w:ascii="Arial" w:eastAsia="Times New Roman" w:hAnsi="Arial" w:cs="Arial"/>
          <w:sz w:val="24"/>
          <w:szCs w:val="24"/>
        </w:rPr>
      </w:pPr>
      <w:r w:rsidRPr="006374F6">
        <w:rPr>
          <w:rFonts w:ascii="Arial" w:eastAsia="Times New Roman" w:hAnsi="Arial" w:cs="Arial"/>
          <w:sz w:val="24"/>
          <w:szCs w:val="24"/>
        </w:rPr>
        <w:t xml:space="preserve">The </w:t>
      </w:r>
      <w:r w:rsidR="003179AB">
        <w:rPr>
          <w:rFonts w:ascii="Arial" w:eastAsia="Times New Roman" w:hAnsi="Arial" w:cs="Arial"/>
          <w:sz w:val="24"/>
          <w:szCs w:val="24"/>
        </w:rPr>
        <w:t>B</w:t>
      </w:r>
      <w:r w:rsidRPr="006374F6">
        <w:rPr>
          <w:rFonts w:ascii="Arial" w:eastAsia="Times New Roman" w:hAnsi="Arial" w:cs="Arial"/>
          <w:sz w:val="24"/>
          <w:szCs w:val="24"/>
        </w:rPr>
        <w:t xml:space="preserve">OELVs listed in the amending Directive </w:t>
      </w:r>
      <w:r w:rsidR="001A2984">
        <w:rPr>
          <w:rFonts w:ascii="Arial" w:eastAsia="Times New Roman" w:hAnsi="Arial" w:cs="Arial"/>
          <w:sz w:val="24"/>
          <w:szCs w:val="24"/>
        </w:rPr>
        <w:t>were</w:t>
      </w:r>
      <w:r w:rsidRPr="006374F6">
        <w:rPr>
          <w:rFonts w:ascii="Arial" w:eastAsia="Times New Roman" w:hAnsi="Arial" w:cs="Arial"/>
          <w:sz w:val="24"/>
          <w:szCs w:val="24"/>
        </w:rPr>
        <w:t xml:space="preserve"> </w:t>
      </w:r>
      <w:r w:rsidR="00B74C3B">
        <w:rPr>
          <w:rFonts w:ascii="Arial" w:eastAsia="Times New Roman" w:hAnsi="Arial" w:cs="Arial"/>
          <w:sz w:val="24"/>
          <w:szCs w:val="24"/>
        </w:rPr>
        <w:t xml:space="preserve">based on the opinions of a committee </w:t>
      </w:r>
      <w:r w:rsidR="00596F4F">
        <w:rPr>
          <w:rFonts w:ascii="Arial" w:eastAsia="Times New Roman" w:hAnsi="Arial" w:cs="Arial"/>
          <w:sz w:val="24"/>
          <w:szCs w:val="24"/>
        </w:rPr>
        <w:t xml:space="preserve">of independent experts </w:t>
      </w:r>
      <w:r w:rsidR="00B74C3B" w:rsidRPr="00B74C3B">
        <w:rPr>
          <w:rFonts w:ascii="Arial" w:eastAsia="Times New Roman" w:hAnsi="Arial" w:cs="Arial"/>
          <w:sz w:val="24"/>
          <w:szCs w:val="24"/>
        </w:rPr>
        <w:t>(The Scientific Committee on Occupational Exposure Limits) after review and examination of scientific and epidemiological data</w:t>
      </w:r>
      <w:r w:rsidR="00B74C3B">
        <w:rPr>
          <w:rFonts w:ascii="Arial" w:eastAsia="Times New Roman" w:hAnsi="Arial" w:cs="Arial"/>
          <w:sz w:val="24"/>
          <w:szCs w:val="24"/>
        </w:rPr>
        <w:t xml:space="preserve">. Those opinions were subsequently </w:t>
      </w:r>
      <w:r w:rsidR="00A06E97">
        <w:rPr>
          <w:rFonts w:ascii="Arial" w:eastAsia="Times New Roman" w:hAnsi="Arial" w:cs="Arial"/>
          <w:sz w:val="24"/>
          <w:szCs w:val="24"/>
        </w:rPr>
        <w:t>considered</w:t>
      </w:r>
      <w:r w:rsidR="00A06E97" w:rsidRPr="006374F6">
        <w:rPr>
          <w:rFonts w:ascii="Arial" w:eastAsia="Times New Roman" w:hAnsi="Arial" w:cs="Arial"/>
          <w:sz w:val="24"/>
          <w:szCs w:val="24"/>
        </w:rPr>
        <w:t xml:space="preserve"> </w:t>
      </w:r>
      <w:r w:rsidR="00B74C3B">
        <w:rPr>
          <w:rFonts w:ascii="Arial" w:eastAsia="Times New Roman" w:hAnsi="Arial" w:cs="Arial"/>
          <w:sz w:val="24"/>
          <w:szCs w:val="24"/>
        </w:rPr>
        <w:t xml:space="preserve">and endorsed </w:t>
      </w:r>
      <w:r w:rsidRPr="006374F6">
        <w:rPr>
          <w:rFonts w:ascii="Arial" w:eastAsia="Times New Roman" w:hAnsi="Arial" w:cs="Arial"/>
          <w:sz w:val="24"/>
          <w:szCs w:val="24"/>
        </w:rPr>
        <w:t xml:space="preserve">by the </w:t>
      </w:r>
      <w:r w:rsidR="003179AB">
        <w:rPr>
          <w:rFonts w:ascii="Arial" w:eastAsia="Times New Roman" w:hAnsi="Arial" w:cs="Arial"/>
          <w:sz w:val="24"/>
          <w:szCs w:val="24"/>
        </w:rPr>
        <w:t xml:space="preserve">EU </w:t>
      </w:r>
      <w:r w:rsidRPr="006374F6">
        <w:rPr>
          <w:rFonts w:ascii="Arial" w:eastAsia="Times New Roman" w:hAnsi="Arial" w:cs="Arial"/>
          <w:sz w:val="24"/>
          <w:szCs w:val="24"/>
        </w:rPr>
        <w:t>Working Party on Chemicals (WPC)</w:t>
      </w:r>
      <w:r w:rsidR="001A2984">
        <w:rPr>
          <w:rFonts w:ascii="Arial" w:eastAsia="Times New Roman" w:hAnsi="Arial" w:cs="Arial"/>
          <w:sz w:val="24"/>
          <w:szCs w:val="24"/>
        </w:rPr>
        <w:t xml:space="preserve"> (</w:t>
      </w:r>
      <w:r w:rsidRPr="006374F6">
        <w:rPr>
          <w:rFonts w:ascii="Arial" w:eastAsia="Times New Roman" w:hAnsi="Arial" w:cs="Arial"/>
          <w:sz w:val="24"/>
          <w:szCs w:val="24"/>
        </w:rPr>
        <w:t>a sub-group of the tripartite Advisory Committee on Safety and Hea</w:t>
      </w:r>
      <w:r w:rsidR="00020C6A">
        <w:rPr>
          <w:rFonts w:ascii="Arial" w:eastAsia="Times New Roman" w:hAnsi="Arial" w:cs="Arial"/>
          <w:sz w:val="24"/>
          <w:szCs w:val="24"/>
        </w:rPr>
        <w:t>l</w:t>
      </w:r>
      <w:r w:rsidRPr="006374F6">
        <w:rPr>
          <w:rFonts w:ascii="Arial" w:eastAsia="Times New Roman" w:hAnsi="Arial" w:cs="Arial"/>
          <w:sz w:val="24"/>
          <w:szCs w:val="24"/>
        </w:rPr>
        <w:t>th at Work (ACSH)</w:t>
      </w:r>
      <w:r w:rsidR="001A2984">
        <w:rPr>
          <w:rFonts w:ascii="Arial" w:eastAsia="Times New Roman" w:hAnsi="Arial" w:cs="Arial"/>
          <w:sz w:val="24"/>
          <w:szCs w:val="24"/>
        </w:rPr>
        <w:t xml:space="preserve">) </w:t>
      </w:r>
      <w:r w:rsidR="00020C6A">
        <w:rPr>
          <w:rFonts w:ascii="Arial" w:eastAsia="Times New Roman" w:hAnsi="Arial" w:cs="Arial"/>
          <w:sz w:val="24"/>
          <w:szCs w:val="24"/>
        </w:rPr>
        <w:t xml:space="preserve">- </w:t>
      </w:r>
      <w:r w:rsidR="001A2984">
        <w:rPr>
          <w:rFonts w:ascii="Arial" w:eastAsia="Times New Roman" w:hAnsi="Arial" w:cs="Arial"/>
          <w:sz w:val="24"/>
          <w:szCs w:val="24"/>
        </w:rPr>
        <w:t xml:space="preserve">on which the UK </w:t>
      </w:r>
      <w:r w:rsidR="00020C6A">
        <w:rPr>
          <w:rFonts w:ascii="Arial" w:eastAsia="Times New Roman" w:hAnsi="Arial" w:cs="Arial"/>
          <w:sz w:val="24"/>
          <w:szCs w:val="24"/>
        </w:rPr>
        <w:t>Government was</w:t>
      </w:r>
      <w:r w:rsidR="001A2984">
        <w:rPr>
          <w:rFonts w:ascii="Arial" w:eastAsia="Times New Roman" w:hAnsi="Arial" w:cs="Arial"/>
          <w:sz w:val="24"/>
          <w:szCs w:val="24"/>
        </w:rPr>
        <w:t xml:space="preserve"> represented</w:t>
      </w:r>
      <w:r w:rsidR="0062161F">
        <w:rPr>
          <w:rFonts w:ascii="Arial" w:eastAsia="Times New Roman" w:hAnsi="Arial" w:cs="Arial"/>
          <w:sz w:val="24"/>
          <w:szCs w:val="24"/>
        </w:rPr>
        <w:t xml:space="preserve"> -</w:t>
      </w:r>
      <w:r w:rsidR="00B74C3B">
        <w:rPr>
          <w:rFonts w:ascii="Arial" w:eastAsia="Times New Roman" w:hAnsi="Arial" w:cs="Arial"/>
          <w:sz w:val="24"/>
          <w:szCs w:val="24"/>
        </w:rPr>
        <w:t xml:space="preserve"> and by the </w:t>
      </w:r>
      <w:r w:rsidRPr="006374F6">
        <w:rPr>
          <w:rFonts w:ascii="Arial" w:eastAsia="Times New Roman" w:hAnsi="Arial" w:cs="Arial"/>
          <w:sz w:val="24"/>
          <w:szCs w:val="24"/>
        </w:rPr>
        <w:t>ACSH</w:t>
      </w:r>
      <w:r w:rsidR="00B74C3B">
        <w:rPr>
          <w:rFonts w:ascii="Arial" w:eastAsia="Times New Roman" w:hAnsi="Arial" w:cs="Arial"/>
          <w:sz w:val="24"/>
          <w:szCs w:val="24"/>
        </w:rPr>
        <w:t xml:space="preserve"> itself</w:t>
      </w:r>
      <w:r w:rsidRPr="006374F6">
        <w:rPr>
          <w:rFonts w:ascii="Arial" w:eastAsia="Times New Roman" w:hAnsi="Arial" w:cs="Arial"/>
          <w:sz w:val="24"/>
          <w:szCs w:val="24"/>
        </w:rPr>
        <w:t xml:space="preserve">. </w:t>
      </w:r>
      <w:r w:rsidR="00C369F7">
        <w:rPr>
          <w:rFonts w:ascii="Arial" w:eastAsia="Times New Roman" w:hAnsi="Arial" w:cs="Arial"/>
          <w:sz w:val="24"/>
          <w:szCs w:val="24"/>
        </w:rPr>
        <w:t xml:space="preserve"> </w:t>
      </w:r>
      <w:r w:rsidR="003B1AA8">
        <w:rPr>
          <w:rFonts w:ascii="Arial" w:eastAsia="Times New Roman" w:hAnsi="Arial" w:cs="Arial"/>
          <w:sz w:val="24"/>
          <w:szCs w:val="24"/>
        </w:rPr>
        <w:t>An analysis of the socio-eco</w:t>
      </w:r>
      <w:r w:rsidR="005B2E14">
        <w:rPr>
          <w:rFonts w:ascii="Arial" w:eastAsia="Times New Roman" w:hAnsi="Arial" w:cs="Arial"/>
          <w:sz w:val="24"/>
          <w:szCs w:val="24"/>
        </w:rPr>
        <w:t>no</w:t>
      </w:r>
      <w:r w:rsidR="003B1AA8">
        <w:rPr>
          <w:rFonts w:ascii="Arial" w:eastAsia="Times New Roman" w:hAnsi="Arial" w:cs="Arial"/>
          <w:sz w:val="24"/>
          <w:szCs w:val="24"/>
        </w:rPr>
        <w:t xml:space="preserve">mic impact of the revised BOELVs was also undertaken before the </w:t>
      </w:r>
      <w:r w:rsidR="005B2E14">
        <w:rPr>
          <w:rFonts w:ascii="Arial" w:eastAsia="Times New Roman" w:hAnsi="Arial" w:cs="Arial"/>
          <w:sz w:val="24"/>
          <w:szCs w:val="24"/>
        </w:rPr>
        <w:t>Directive was published.</w:t>
      </w:r>
    </w:p>
    <w:p w14:paraId="0F16962F" w14:textId="77777777" w:rsidR="006374F6" w:rsidRPr="006374F6" w:rsidRDefault="006374F6" w:rsidP="006374F6">
      <w:pPr>
        <w:spacing w:after="0" w:line="240" w:lineRule="auto"/>
        <w:jc w:val="both"/>
        <w:rPr>
          <w:rFonts w:ascii="Arial" w:eastAsia="Times New Roman" w:hAnsi="Arial" w:cs="Arial"/>
          <w:sz w:val="24"/>
          <w:szCs w:val="24"/>
        </w:rPr>
      </w:pPr>
    </w:p>
    <w:p w14:paraId="708C5533" w14:textId="36F6469F" w:rsidR="006374F6" w:rsidRPr="006374F6" w:rsidRDefault="006374F6" w:rsidP="006374F6">
      <w:pPr>
        <w:spacing w:after="0" w:line="240" w:lineRule="auto"/>
        <w:contextualSpacing/>
        <w:jc w:val="both"/>
        <w:rPr>
          <w:rFonts w:ascii="Arial" w:eastAsia="Times New Roman" w:hAnsi="Arial" w:cs="Arial"/>
          <w:sz w:val="24"/>
          <w:szCs w:val="24"/>
        </w:rPr>
      </w:pPr>
      <w:r w:rsidRPr="006374F6">
        <w:rPr>
          <w:rFonts w:ascii="Arial" w:eastAsia="Times New Roman" w:hAnsi="Arial" w:cs="Arial"/>
          <w:sz w:val="24"/>
          <w:szCs w:val="24"/>
        </w:rPr>
        <w:t xml:space="preserve">HSE officials consulted </w:t>
      </w:r>
      <w:r w:rsidR="00702CFA">
        <w:rPr>
          <w:rFonts w:ascii="Arial" w:eastAsia="Times New Roman" w:hAnsi="Arial" w:cs="Arial"/>
          <w:sz w:val="24"/>
          <w:szCs w:val="24"/>
        </w:rPr>
        <w:t>GB</w:t>
      </w:r>
      <w:r w:rsidR="00702CFA" w:rsidRPr="006374F6">
        <w:rPr>
          <w:rFonts w:ascii="Arial" w:eastAsia="Times New Roman" w:hAnsi="Arial" w:cs="Arial"/>
          <w:sz w:val="24"/>
          <w:szCs w:val="24"/>
        </w:rPr>
        <w:t xml:space="preserve"> </w:t>
      </w:r>
      <w:r w:rsidRPr="006374F6">
        <w:rPr>
          <w:rFonts w:ascii="Arial" w:eastAsia="Times New Roman" w:hAnsi="Arial" w:cs="Arial"/>
          <w:sz w:val="24"/>
          <w:szCs w:val="24"/>
        </w:rPr>
        <w:t xml:space="preserve">industry stakeholders </w:t>
      </w:r>
      <w:r w:rsidR="000A2F48">
        <w:rPr>
          <w:rFonts w:ascii="Arial" w:eastAsia="Times New Roman" w:hAnsi="Arial" w:cs="Arial"/>
          <w:sz w:val="24"/>
          <w:szCs w:val="24"/>
        </w:rPr>
        <w:t>during</w:t>
      </w:r>
      <w:r w:rsidRPr="006374F6">
        <w:rPr>
          <w:rFonts w:ascii="Arial" w:eastAsia="Times New Roman" w:hAnsi="Arial" w:cs="Arial"/>
          <w:sz w:val="24"/>
          <w:szCs w:val="24"/>
        </w:rPr>
        <w:t xml:space="preserve"> the WPC discussions on the </w:t>
      </w:r>
      <w:r w:rsidR="003179AB">
        <w:rPr>
          <w:rFonts w:ascii="Arial" w:eastAsia="Times New Roman" w:hAnsi="Arial" w:cs="Arial"/>
          <w:sz w:val="24"/>
          <w:szCs w:val="24"/>
        </w:rPr>
        <w:t>B</w:t>
      </w:r>
      <w:r w:rsidRPr="006374F6">
        <w:rPr>
          <w:rFonts w:ascii="Arial" w:eastAsia="Times New Roman" w:hAnsi="Arial" w:cs="Arial"/>
          <w:sz w:val="24"/>
          <w:szCs w:val="24"/>
        </w:rPr>
        <w:t xml:space="preserve">OELVs. </w:t>
      </w:r>
      <w:r w:rsidR="000A2F48">
        <w:rPr>
          <w:rFonts w:ascii="Arial" w:eastAsia="Times New Roman" w:hAnsi="Arial" w:cs="Arial"/>
          <w:sz w:val="24"/>
          <w:szCs w:val="24"/>
        </w:rPr>
        <w:t xml:space="preserve"> The views of industry and workers at European level were also directly represented on the WPC.</w:t>
      </w:r>
    </w:p>
    <w:p w14:paraId="52AD7458" w14:textId="77777777" w:rsidR="006374F6" w:rsidRPr="006374F6" w:rsidRDefault="006374F6" w:rsidP="006374F6">
      <w:pPr>
        <w:spacing w:after="0" w:line="240" w:lineRule="auto"/>
        <w:ind w:left="644"/>
        <w:contextualSpacing/>
        <w:jc w:val="both"/>
        <w:rPr>
          <w:rFonts w:ascii="Arial" w:eastAsia="Times New Roman" w:hAnsi="Arial" w:cs="Arial"/>
          <w:sz w:val="24"/>
          <w:szCs w:val="24"/>
        </w:rPr>
      </w:pPr>
    </w:p>
    <w:p w14:paraId="635546AF" w14:textId="2E93733D" w:rsidR="006374F6" w:rsidRDefault="006374F6" w:rsidP="006374F6">
      <w:pPr>
        <w:spacing w:after="0" w:line="240" w:lineRule="auto"/>
        <w:contextualSpacing/>
        <w:jc w:val="both"/>
        <w:rPr>
          <w:rFonts w:ascii="Arial" w:eastAsia="Times New Roman" w:hAnsi="Arial" w:cs="Arial"/>
          <w:sz w:val="24"/>
          <w:szCs w:val="24"/>
        </w:rPr>
      </w:pPr>
      <w:r w:rsidRPr="006374F6">
        <w:rPr>
          <w:rFonts w:ascii="Arial" w:eastAsia="Times New Roman" w:hAnsi="Arial" w:cs="Arial"/>
          <w:sz w:val="24"/>
          <w:szCs w:val="24"/>
        </w:rPr>
        <w:t xml:space="preserve">The final </w:t>
      </w:r>
      <w:r w:rsidR="003179AB">
        <w:rPr>
          <w:rFonts w:ascii="Arial" w:eastAsia="Times New Roman" w:hAnsi="Arial" w:cs="Arial"/>
          <w:sz w:val="24"/>
          <w:szCs w:val="24"/>
        </w:rPr>
        <w:t>B</w:t>
      </w:r>
      <w:r w:rsidRPr="006374F6">
        <w:rPr>
          <w:rFonts w:ascii="Arial" w:eastAsia="Times New Roman" w:hAnsi="Arial" w:cs="Arial"/>
          <w:sz w:val="24"/>
          <w:szCs w:val="24"/>
        </w:rPr>
        <w:t xml:space="preserve">OELVs in the Directive were agreed by the European Council </w:t>
      </w:r>
      <w:r w:rsidR="00B74C3B">
        <w:rPr>
          <w:rFonts w:ascii="Arial" w:eastAsia="Times New Roman" w:hAnsi="Arial" w:cs="Arial"/>
          <w:sz w:val="24"/>
          <w:szCs w:val="24"/>
        </w:rPr>
        <w:t xml:space="preserve">(including the UK) </w:t>
      </w:r>
      <w:r w:rsidRPr="006374F6">
        <w:rPr>
          <w:rFonts w:ascii="Arial" w:eastAsia="Times New Roman" w:hAnsi="Arial" w:cs="Arial"/>
          <w:sz w:val="24"/>
          <w:szCs w:val="24"/>
        </w:rPr>
        <w:t>and European Parliament.</w:t>
      </w:r>
    </w:p>
    <w:p w14:paraId="0ADE9C89" w14:textId="1927EE5E" w:rsidR="00C0112C" w:rsidRDefault="00C0112C" w:rsidP="006374F6">
      <w:pPr>
        <w:spacing w:after="0" w:line="240" w:lineRule="auto"/>
        <w:contextualSpacing/>
        <w:jc w:val="both"/>
        <w:rPr>
          <w:rFonts w:ascii="Arial" w:eastAsia="Times New Roman" w:hAnsi="Arial" w:cs="Arial"/>
          <w:sz w:val="24"/>
          <w:szCs w:val="24"/>
        </w:rPr>
      </w:pPr>
    </w:p>
    <w:p w14:paraId="2BF04146" w14:textId="4082A20E" w:rsidR="00C0112C" w:rsidRPr="006374F6" w:rsidRDefault="00C0112C" w:rsidP="006374F6">
      <w:pPr>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 xml:space="preserve">This consultation related to the </w:t>
      </w:r>
      <w:r w:rsidR="003179AB">
        <w:rPr>
          <w:rFonts w:ascii="Arial" w:eastAsia="Times New Roman" w:hAnsi="Arial" w:cs="Arial"/>
          <w:sz w:val="24"/>
          <w:szCs w:val="24"/>
        </w:rPr>
        <w:t>B</w:t>
      </w:r>
      <w:r>
        <w:rPr>
          <w:rFonts w:ascii="Arial" w:eastAsia="Times New Roman" w:hAnsi="Arial" w:cs="Arial"/>
          <w:sz w:val="24"/>
          <w:szCs w:val="24"/>
        </w:rPr>
        <w:t xml:space="preserve">OELVs scheduled for introduction in 2020.  The amendment to CMD also contains additional, lower </w:t>
      </w:r>
      <w:r w:rsidR="003179AB">
        <w:rPr>
          <w:rFonts w:ascii="Arial" w:eastAsia="Times New Roman" w:hAnsi="Arial" w:cs="Arial"/>
          <w:sz w:val="24"/>
          <w:szCs w:val="24"/>
        </w:rPr>
        <w:t>B</w:t>
      </w:r>
      <w:r>
        <w:rPr>
          <w:rFonts w:ascii="Arial" w:eastAsia="Times New Roman" w:hAnsi="Arial" w:cs="Arial"/>
          <w:sz w:val="24"/>
          <w:szCs w:val="24"/>
        </w:rPr>
        <w:t>OELVs for hardwood dust and Chromium VI compound</w:t>
      </w:r>
      <w:r w:rsidR="00BD27C7">
        <w:rPr>
          <w:rFonts w:ascii="Arial" w:eastAsia="Times New Roman" w:hAnsi="Arial" w:cs="Arial"/>
          <w:sz w:val="24"/>
          <w:szCs w:val="24"/>
        </w:rPr>
        <w:t>s,</w:t>
      </w:r>
      <w:r>
        <w:rPr>
          <w:rFonts w:ascii="Arial" w:eastAsia="Times New Roman" w:hAnsi="Arial" w:cs="Arial"/>
          <w:sz w:val="24"/>
          <w:szCs w:val="24"/>
        </w:rPr>
        <w:t xml:space="preserve"> scheduled for introduction in 2023 and 2025 respectively.  These additional limits </w:t>
      </w:r>
      <w:r w:rsidR="003179AB">
        <w:rPr>
          <w:rFonts w:ascii="Arial" w:eastAsia="Times New Roman" w:hAnsi="Arial" w:cs="Arial"/>
          <w:sz w:val="24"/>
          <w:szCs w:val="24"/>
        </w:rPr>
        <w:t xml:space="preserve">were </w:t>
      </w:r>
      <w:r>
        <w:rPr>
          <w:rFonts w:ascii="Arial" w:eastAsia="Times New Roman" w:hAnsi="Arial" w:cs="Arial"/>
          <w:sz w:val="24"/>
          <w:szCs w:val="24"/>
        </w:rPr>
        <w:t>not part of this consultation</w:t>
      </w:r>
      <w:r w:rsidR="00B74C3B">
        <w:rPr>
          <w:rFonts w:ascii="Arial" w:eastAsia="Times New Roman" w:hAnsi="Arial" w:cs="Arial"/>
          <w:sz w:val="24"/>
          <w:szCs w:val="24"/>
        </w:rPr>
        <w:t xml:space="preserve"> and will be subject to further consideration </w:t>
      </w:r>
      <w:proofErr w:type="gramStart"/>
      <w:r>
        <w:rPr>
          <w:rFonts w:ascii="Arial" w:eastAsia="Times New Roman" w:hAnsi="Arial" w:cs="Arial"/>
          <w:sz w:val="24"/>
          <w:szCs w:val="24"/>
        </w:rPr>
        <w:t>at a later date</w:t>
      </w:r>
      <w:proofErr w:type="gramEnd"/>
      <w:r>
        <w:rPr>
          <w:rFonts w:ascii="Arial" w:eastAsia="Times New Roman" w:hAnsi="Arial" w:cs="Arial"/>
          <w:sz w:val="24"/>
          <w:szCs w:val="24"/>
        </w:rPr>
        <w:t>.</w:t>
      </w:r>
    </w:p>
    <w:p w14:paraId="0DF8FC0D" w14:textId="77777777" w:rsidR="005A38D8" w:rsidRPr="007F1703" w:rsidRDefault="005A38D8" w:rsidP="005A38D8">
      <w:pPr>
        <w:pStyle w:val="Default"/>
      </w:pPr>
    </w:p>
    <w:p w14:paraId="23EA3C9E" w14:textId="77777777" w:rsidR="005A38D8" w:rsidRPr="007F1703" w:rsidRDefault="005A38D8" w:rsidP="005A38D8">
      <w:pPr>
        <w:pStyle w:val="Default"/>
        <w:rPr>
          <w:b/>
          <w:bCs/>
        </w:rPr>
      </w:pPr>
      <w:r w:rsidRPr="007F1703">
        <w:rPr>
          <w:b/>
          <w:bCs/>
        </w:rPr>
        <w:t xml:space="preserve">Previous communications with stakeholders </w:t>
      </w:r>
    </w:p>
    <w:p w14:paraId="6C242E38" w14:textId="77777777" w:rsidR="005A38D8" w:rsidRPr="007F1703" w:rsidRDefault="005A38D8" w:rsidP="005A38D8">
      <w:pPr>
        <w:pStyle w:val="Default"/>
      </w:pPr>
    </w:p>
    <w:p w14:paraId="430E1CB8" w14:textId="0C9C292B" w:rsidR="005A38D8" w:rsidRPr="007F1703" w:rsidRDefault="005A38D8" w:rsidP="00F65D1E">
      <w:pPr>
        <w:pStyle w:val="Default"/>
        <w:jc w:val="both"/>
      </w:pPr>
      <w:r w:rsidRPr="007F1703">
        <w:t xml:space="preserve">Ongoing stakeholder engagement has been an integral part of negotiating and transposing the Directive. HSE contacted representatives from </w:t>
      </w:r>
      <w:r w:rsidR="003179AB">
        <w:t xml:space="preserve">industry </w:t>
      </w:r>
      <w:r w:rsidRPr="007F1703">
        <w:t xml:space="preserve">sectors potentially affected by the Directive.  Several key stakeholders from industry were contacted. Some of the representatives were from trade and professional associations and bodies, who obtained and passed on views from their members and shared information with them to increase awareness further. </w:t>
      </w:r>
      <w:r w:rsidR="003179AB" w:rsidRPr="007F1703">
        <w:t xml:space="preserve">Their feedback was then used to inform HSE’s negotiating position early in the process.   </w:t>
      </w:r>
      <w:r w:rsidRPr="007F1703">
        <w:t xml:space="preserve">This enabled HSE to receive valuable early insight on policy proposals and on the key issues for industry together with evidence on potential implementation costs. </w:t>
      </w:r>
    </w:p>
    <w:p w14:paraId="0F709AC9" w14:textId="77777777" w:rsidR="005A38D8" w:rsidRPr="007F1703" w:rsidRDefault="005A38D8" w:rsidP="005A38D8">
      <w:pPr>
        <w:pStyle w:val="Default"/>
      </w:pPr>
    </w:p>
    <w:p w14:paraId="033EB4C6" w14:textId="77777777" w:rsidR="005A38D8" w:rsidRPr="007F1703" w:rsidRDefault="005A38D8" w:rsidP="005A38D8">
      <w:pPr>
        <w:spacing w:line="240" w:lineRule="auto"/>
        <w:rPr>
          <w:rFonts w:ascii="Arial" w:hAnsi="Arial" w:cs="Arial"/>
          <w:b/>
          <w:sz w:val="24"/>
          <w:szCs w:val="24"/>
        </w:rPr>
      </w:pPr>
      <w:r w:rsidRPr="007F1703">
        <w:rPr>
          <w:rFonts w:ascii="Arial" w:hAnsi="Arial" w:cs="Arial"/>
          <w:b/>
          <w:sz w:val="24"/>
          <w:szCs w:val="24"/>
        </w:rPr>
        <w:t>Public consultation</w:t>
      </w:r>
    </w:p>
    <w:p w14:paraId="17A9CCD9" w14:textId="4214AE3E" w:rsidR="005A38D8" w:rsidRPr="007F1703" w:rsidRDefault="005A38D8" w:rsidP="00F65D1E">
      <w:pPr>
        <w:pStyle w:val="Default"/>
        <w:jc w:val="both"/>
      </w:pPr>
      <w:r w:rsidRPr="007F1703">
        <w:t xml:space="preserve">The formal public consultation ran from 15 April until 7 June 2019 (8 weeks).   </w:t>
      </w:r>
    </w:p>
    <w:p w14:paraId="68246E29" w14:textId="77777777" w:rsidR="005A38D8" w:rsidRPr="007F1703" w:rsidRDefault="005A38D8" w:rsidP="005A38D8">
      <w:pPr>
        <w:pStyle w:val="Default"/>
      </w:pPr>
    </w:p>
    <w:p w14:paraId="58A2F6C1" w14:textId="0BE49851" w:rsidR="005A38D8" w:rsidRPr="007F1703" w:rsidRDefault="005A38D8" w:rsidP="00F65D1E">
      <w:pPr>
        <w:pStyle w:val="Default"/>
        <w:jc w:val="both"/>
      </w:pPr>
      <w:r w:rsidRPr="007F1703">
        <w:t>The launch of the public consultation was communicated via the HSE Website and through the HSE COSHH</w:t>
      </w:r>
      <w:r w:rsidR="001A2984">
        <w:t xml:space="preserve"> and Construction</w:t>
      </w:r>
      <w:r w:rsidRPr="007F1703">
        <w:t xml:space="preserve"> e-bulletin</w:t>
      </w:r>
      <w:r w:rsidR="001A2984">
        <w:t>s</w:t>
      </w:r>
      <w:r w:rsidR="00020C6A">
        <w:t xml:space="preserve"> (which between them have over 200,000 subscribers)</w:t>
      </w:r>
      <w:r w:rsidRPr="007F1703">
        <w:t>. HSE also directly co</w:t>
      </w:r>
      <w:bookmarkStart w:id="0" w:name="_GoBack"/>
      <w:bookmarkEnd w:id="0"/>
      <w:r w:rsidRPr="007F1703">
        <w:t xml:space="preserve">ntacted individuals/companies and trade associations to inform them of the start of the consultation.   The </w:t>
      </w:r>
      <w:r w:rsidR="00C14C9B">
        <w:t xml:space="preserve">webpage containing the </w:t>
      </w:r>
      <w:r w:rsidRPr="007F1703">
        <w:t xml:space="preserve">consultation document was viewed </w:t>
      </w:r>
      <w:r w:rsidR="00C14C9B" w:rsidRPr="00C14C9B">
        <w:t xml:space="preserve">11,192 </w:t>
      </w:r>
      <w:r w:rsidRPr="007F1703">
        <w:t>times during the consultation period.</w:t>
      </w:r>
      <w:r w:rsidR="00C14C9B">
        <w:t xml:space="preserve">  </w:t>
      </w:r>
      <w:r w:rsidR="000A2F48">
        <w:lastRenderedPageBreak/>
        <w:t>Of these</w:t>
      </w:r>
      <w:r w:rsidR="00BD27C7">
        <w:t>,</w:t>
      </w:r>
      <w:r w:rsidR="00C14C9B" w:rsidRPr="00C14C9B">
        <w:t xml:space="preserve"> 1124 visits to the consultation </w:t>
      </w:r>
      <w:r w:rsidR="00C14C9B">
        <w:t xml:space="preserve">webpage </w:t>
      </w:r>
      <w:r w:rsidR="000A2F48">
        <w:t xml:space="preserve">were </w:t>
      </w:r>
      <w:r w:rsidR="00C14C9B" w:rsidRPr="00C14C9B">
        <w:t>from recipients of the COSHH e-Bulletin and 284 visits from the construction e-Bulletin.</w:t>
      </w:r>
    </w:p>
    <w:p w14:paraId="7EE13E79" w14:textId="77777777" w:rsidR="005A38D8" w:rsidRPr="007F1703" w:rsidRDefault="005A38D8" w:rsidP="005A38D8">
      <w:pPr>
        <w:pStyle w:val="Default"/>
      </w:pPr>
    </w:p>
    <w:p w14:paraId="64118736" w14:textId="2A94913B" w:rsidR="003B57EA" w:rsidRDefault="005A38D8" w:rsidP="00F65D1E">
      <w:pPr>
        <w:pStyle w:val="Default"/>
        <w:jc w:val="both"/>
      </w:pPr>
      <w:r w:rsidRPr="007F1703">
        <w:t xml:space="preserve">Respondents were encouraged to reply using the online </w:t>
      </w:r>
      <w:r w:rsidR="005A30C7" w:rsidRPr="007F1703">
        <w:t>questionnaire,</w:t>
      </w:r>
      <w:r w:rsidRPr="007F1703">
        <w:t xml:space="preserve"> but </w:t>
      </w:r>
      <w:r w:rsidR="003179AB">
        <w:t xml:space="preserve">they </w:t>
      </w:r>
      <w:r w:rsidRPr="007F1703">
        <w:t>could also use a Word version of the questionnaire (available via HSE’s website) or respond by email. General narrative responses were also received from respondents and</w:t>
      </w:r>
      <w:r w:rsidR="003179AB">
        <w:t xml:space="preserve"> these</w:t>
      </w:r>
      <w:r w:rsidRPr="007F1703">
        <w:t xml:space="preserve"> are included in the consultation analysis. This analysis is designed to be read in conjunction with the consultative document (CD287) at:</w:t>
      </w:r>
    </w:p>
    <w:p w14:paraId="2226AB89" w14:textId="0F7D1915" w:rsidR="005A38D8" w:rsidRPr="007F1703" w:rsidRDefault="00E154EA" w:rsidP="00F65D1E">
      <w:pPr>
        <w:pStyle w:val="Default"/>
        <w:jc w:val="both"/>
      </w:pPr>
      <w:hyperlink r:id="rId10" w:history="1">
        <w:r w:rsidR="00174855" w:rsidRPr="00FD47F5">
          <w:rPr>
            <w:rStyle w:val="Hyperlink"/>
          </w:rPr>
          <w:t>https://consultations.hse.gov.uk/hse/carcinogens-mutagens-revision-of-limit-values/</w:t>
        </w:r>
      </w:hyperlink>
      <w:r w:rsidR="00174855">
        <w:rPr>
          <w:rStyle w:val="Hyperlink"/>
        </w:rPr>
        <w:t xml:space="preserve"> </w:t>
      </w:r>
    </w:p>
    <w:p w14:paraId="408F58BF" w14:textId="78711DED" w:rsidR="005A38D8" w:rsidRPr="007F1703" w:rsidRDefault="005A38D8" w:rsidP="005A38D8">
      <w:pPr>
        <w:pStyle w:val="Default"/>
      </w:pPr>
    </w:p>
    <w:p w14:paraId="564C7725" w14:textId="77777777" w:rsidR="005A38D8" w:rsidRPr="007F1703" w:rsidRDefault="005A38D8" w:rsidP="005A38D8">
      <w:pPr>
        <w:pStyle w:val="Default"/>
        <w:rPr>
          <w:b/>
          <w:bCs/>
        </w:rPr>
      </w:pPr>
      <w:r w:rsidRPr="007F1703">
        <w:rPr>
          <w:b/>
          <w:bCs/>
        </w:rPr>
        <w:t xml:space="preserve">Response demographics </w:t>
      </w:r>
    </w:p>
    <w:p w14:paraId="4E83A586" w14:textId="77777777" w:rsidR="005A38D8" w:rsidRPr="007F1703" w:rsidRDefault="005A38D8" w:rsidP="005A38D8">
      <w:pPr>
        <w:pStyle w:val="Default"/>
      </w:pPr>
    </w:p>
    <w:p w14:paraId="2B71F2C7" w14:textId="5DE417A8" w:rsidR="005A38D8" w:rsidRDefault="00541BDC" w:rsidP="00F65D1E">
      <w:pPr>
        <w:pStyle w:val="Default"/>
        <w:jc w:val="both"/>
      </w:pPr>
      <w:r>
        <w:t xml:space="preserve">A total of </w:t>
      </w:r>
      <w:r w:rsidR="005A38D8" w:rsidRPr="007F1703">
        <w:t xml:space="preserve">33 </w:t>
      </w:r>
      <w:r w:rsidR="00FA65B3">
        <w:t>r</w:t>
      </w:r>
      <w:r w:rsidR="005A38D8" w:rsidRPr="007F1703">
        <w:t xml:space="preserve">esponses were received from a range of </w:t>
      </w:r>
      <w:r w:rsidR="00FA65B3">
        <w:t xml:space="preserve">industry </w:t>
      </w:r>
      <w:r w:rsidR="005A38D8" w:rsidRPr="007F1703">
        <w:t>sectors and organisations</w:t>
      </w:r>
      <w:r w:rsidR="004E2D63">
        <w:t xml:space="preserve">. </w:t>
      </w:r>
      <w:r w:rsidR="004E2D63" w:rsidRPr="004E2D63">
        <w:t>28 responses were received via the on-line consultation and 5 responses by email.</w:t>
      </w:r>
      <w:r w:rsidR="004E2D63">
        <w:t xml:space="preserve"> </w:t>
      </w:r>
    </w:p>
    <w:p w14:paraId="199E7DB6" w14:textId="70496390" w:rsidR="004E2D63" w:rsidRDefault="004E2D63" w:rsidP="005A38D8">
      <w:pPr>
        <w:pStyle w:val="Default"/>
      </w:pPr>
    </w:p>
    <w:p w14:paraId="4A7D9136" w14:textId="49C84485" w:rsidR="004E2D63" w:rsidRPr="00767398" w:rsidRDefault="004E2D63" w:rsidP="005A38D8">
      <w:pPr>
        <w:pStyle w:val="Default"/>
        <w:rPr>
          <w:b/>
          <w:u w:val="single"/>
        </w:rPr>
      </w:pPr>
      <w:r w:rsidRPr="00767398">
        <w:rPr>
          <w:b/>
          <w:u w:val="single"/>
        </w:rPr>
        <w:t>Responses by organisation type</w:t>
      </w:r>
    </w:p>
    <w:p w14:paraId="22F990D6" w14:textId="0FF97F23" w:rsidR="004E2D63" w:rsidRDefault="004E2D63" w:rsidP="005A38D8">
      <w:pPr>
        <w:pStyle w:val="Default"/>
      </w:pPr>
    </w:p>
    <w:p w14:paraId="718F1C30" w14:textId="1189B193" w:rsidR="00450A08" w:rsidRDefault="00450A08" w:rsidP="00F65D1E">
      <w:pPr>
        <w:pStyle w:val="Default"/>
        <w:jc w:val="both"/>
      </w:pPr>
      <w:proofErr w:type="gramStart"/>
      <w:r>
        <w:t>The majority of</w:t>
      </w:r>
      <w:proofErr w:type="gramEnd"/>
      <w:r>
        <w:t xml:space="preserve"> responses were from industry and trade associations representing industry.</w:t>
      </w:r>
    </w:p>
    <w:p w14:paraId="2633D198" w14:textId="77777777" w:rsidR="00450A08" w:rsidRDefault="00450A08" w:rsidP="005A38D8">
      <w:pPr>
        <w:pStyle w:val="Default"/>
      </w:pPr>
    </w:p>
    <w:tbl>
      <w:tblPr>
        <w:tblStyle w:val="TableGrid"/>
        <w:tblW w:w="0" w:type="auto"/>
        <w:tblLook w:val="04A0" w:firstRow="1" w:lastRow="0" w:firstColumn="1" w:lastColumn="0" w:noHBand="0" w:noVBand="1"/>
      </w:tblPr>
      <w:tblGrid>
        <w:gridCol w:w="4508"/>
        <w:gridCol w:w="4508"/>
      </w:tblGrid>
      <w:tr w:rsidR="004E2D63" w14:paraId="1E9E2377" w14:textId="77777777" w:rsidTr="004E2D63">
        <w:tc>
          <w:tcPr>
            <w:tcW w:w="4508" w:type="dxa"/>
          </w:tcPr>
          <w:p w14:paraId="0EF16838" w14:textId="4D519470" w:rsidR="004E2D63" w:rsidRDefault="004E2D63" w:rsidP="005A38D8">
            <w:pPr>
              <w:pStyle w:val="Default"/>
            </w:pPr>
            <w:r w:rsidRPr="004E2D63">
              <w:t>Consultancy</w:t>
            </w:r>
          </w:p>
        </w:tc>
        <w:tc>
          <w:tcPr>
            <w:tcW w:w="4508" w:type="dxa"/>
          </w:tcPr>
          <w:p w14:paraId="5E37D2C8" w14:textId="1FB405FC" w:rsidR="004E2D63" w:rsidRDefault="004E2D63" w:rsidP="005A38D8">
            <w:pPr>
              <w:pStyle w:val="Default"/>
            </w:pPr>
            <w:r w:rsidRPr="004E2D63">
              <w:t>3 responses</w:t>
            </w:r>
          </w:p>
        </w:tc>
      </w:tr>
      <w:tr w:rsidR="004E2D63" w14:paraId="18ED24F1" w14:textId="77777777" w:rsidTr="004E2D63">
        <w:tc>
          <w:tcPr>
            <w:tcW w:w="4508" w:type="dxa"/>
          </w:tcPr>
          <w:p w14:paraId="33C359C8" w14:textId="72BE28F3" w:rsidR="004E2D63" w:rsidRDefault="004E2D63" w:rsidP="005A38D8">
            <w:pPr>
              <w:pStyle w:val="Default"/>
            </w:pPr>
            <w:r w:rsidRPr="004E2D63">
              <w:t>Industry</w:t>
            </w:r>
          </w:p>
        </w:tc>
        <w:tc>
          <w:tcPr>
            <w:tcW w:w="4508" w:type="dxa"/>
          </w:tcPr>
          <w:p w14:paraId="6858276B" w14:textId="0CC90918" w:rsidR="004E2D63" w:rsidRDefault="004E2D63" w:rsidP="005A38D8">
            <w:pPr>
              <w:pStyle w:val="Default"/>
            </w:pPr>
            <w:r w:rsidRPr="004E2D63">
              <w:t>18 responses</w:t>
            </w:r>
          </w:p>
        </w:tc>
      </w:tr>
      <w:tr w:rsidR="004E2D63" w14:paraId="58EFCF03" w14:textId="77777777" w:rsidTr="004E2D63">
        <w:tc>
          <w:tcPr>
            <w:tcW w:w="4508" w:type="dxa"/>
          </w:tcPr>
          <w:p w14:paraId="5CAEE8B2" w14:textId="3259275A" w:rsidR="004E2D63" w:rsidRDefault="004E2D63" w:rsidP="005A38D8">
            <w:pPr>
              <w:pStyle w:val="Default"/>
            </w:pPr>
            <w:r w:rsidRPr="004E2D63">
              <w:t>National and Local government</w:t>
            </w:r>
          </w:p>
        </w:tc>
        <w:tc>
          <w:tcPr>
            <w:tcW w:w="4508" w:type="dxa"/>
          </w:tcPr>
          <w:p w14:paraId="3D21E8E1" w14:textId="1595C341" w:rsidR="004E2D63" w:rsidRDefault="004E2D63" w:rsidP="005A38D8">
            <w:pPr>
              <w:pStyle w:val="Default"/>
            </w:pPr>
            <w:r w:rsidRPr="004E2D63">
              <w:t>1 response</w:t>
            </w:r>
          </w:p>
        </w:tc>
      </w:tr>
      <w:tr w:rsidR="004E2D63" w14:paraId="68CBEEE7" w14:textId="77777777" w:rsidTr="004E2D63">
        <w:tc>
          <w:tcPr>
            <w:tcW w:w="4508" w:type="dxa"/>
          </w:tcPr>
          <w:p w14:paraId="02E586AD" w14:textId="5594B0EC" w:rsidR="004E2D63" w:rsidRDefault="004E2D63" w:rsidP="005A38D8">
            <w:pPr>
              <w:pStyle w:val="Default"/>
            </w:pPr>
            <w:r w:rsidRPr="004E2D63">
              <w:t>Private Individual</w:t>
            </w:r>
          </w:p>
        </w:tc>
        <w:tc>
          <w:tcPr>
            <w:tcW w:w="4508" w:type="dxa"/>
          </w:tcPr>
          <w:p w14:paraId="3A6C537E" w14:textId="0CC75D40" w:rsidR="004E2D63" w:rsidRDefault="004E2D63" w:rsidP="005A38D8">
            <w:pPr>
              <w:pStyle w:val="Default"/>
            </w:pPr>
            <w:r w:rsidRPr="004E2D63">
              <w:t>2 responses</w:t>
            </w:r>
          </w:p>
        </w:tc>
      </w:tr>
      <w:tr w:rsidR="004E2D63" w14:paraId="29EEAE5B" w14:textId="77777777" w:rsidTr="004E2D63">
        <w:tc>
          <w:tcPr>
            <w:tcW w:w="4508" w:type="dxa"/>
          </w:tcPr>
          <w:p w14:paraId="7298F47F" w14:textId="2E157312" w:rsidR="004E2D63" w:rsidRDefault="004E2D63" w:rsidP="005A38D8">
            <w:pPr>
              <w:pStyle w:val="Default"/>
            </w:pPr>
            <w:r w:rsidRPr="004E2D63">
              <w:t>Professional body</w:t>
            </w:r>
          </w:p>
        </w:tc>
        <w:tc>
          <w:tcPr>
            <w:tcW w:w="4508" w:type="dxa"/>
          </w:tcPr>
          <w:p w14:paraId="70E8B182" w14:textId="2376A4EA" w:rsidR="004E2D63" w:rsidRDefault="004E2D63" w:rsidP="005A38D8">
            <w:pPr>
              <w:pStyle w:val="Default"/>
            </w:pPr>
            <w:r w:rsidRPr="004E2D63">
              <w:t>2 responses</w:t>
            </w:r>
          </w:p>
        </w:tc>
      </w:tr>
      <w:tr w:rsidR="004E2D63" w14:paraId="01A07915" w14:textId="77777777" w:rsidTr="004E2D63">
        <w:tc>
          <w:tcPr>
            <w:tcW w:w="4508" w:type="dxa"/>
          </w:tcPr>
          <w:p w14:paraId="44A3A2B7" w14:textId="49A85F1E" w:rsidR="004E2D63" w:rsidRDefault="004E2D63" w:rsidP="005A38D8">
            <w:pPr>
              <w:pStyle w:val="Default"/>
            </w:pPr>
            <w:r w:rsidRPr="004E2D63">
              <w:t>Trade Association</w:t>
            </w:r>
          </w:p>
        </w:tc>
        <w:tc>
          <w:tcPr>
            <w:tcW w:w="4508" w:type="dxa"/>
          </w:tcPr>
          <w:p w14:paraId="54A60F29" w14:textId="60E9A3FF" w:rsidR="004E2D63" w:rsidRDefault="004E2D63" w:rsidP="005A38D8">
            <w:pPr>
              <w:pStyle w:val="Default"/>
            </w:pPr>
            <w:r w:rsidRPr="004E2D63">
              <w:t>4 responses</w:t>
            </w:r>
          </w:p>
        </w:tc>
      </w:tr>
      <w:tr w:rsidR="004E2D63" w14:paraId="085513A5" w14:textId="77777777" w:rsidTr="004E2D63">
        <w:tc>
          <w:tcPr>
            <w:tcW w:w="4508" w:type="dxa"/>
          </w:tcPr>
          <w:p w14:paraId="0451BE4C" w14:textId="0867A351" w:rsidR="004E2D63" w:rsidRDefault="004E2D63" w:rsidP="005A38D8">
            <w:pPr>
              <w:pStyle w:val="Default"/>
            </w:pPr>
            <w:r w:rsidRPr="004E2D63">
              <w:t>Training organisation</w:t>
            </w:r>
          </w:p>
        </w:tc>
        <w:tc>
          <w:tcPr>
            <w:tcW w:w="4508" w:type="dxa"/>
          </w:tcPr>
          <w:p w14:paraId="4EFE2EC5" w14:textId="56308EB7" w:rsidR="004E2D63" w:rsidRDefault="004E2D63" w:rsidP="005A38D8">
            <w:pPr>
              <w:pStyle w:val="Default"/>
            </w:pPr>
            <w:r w:rsidRPr="004E2D63">
              <w:t>2 responses</w:t>
            </w:r>
          </w:p>
        </w:tc>
      </w:tr>
      <w:tr w:rsidR="004E2D63" w14:paraId="2A07C5F2" w14:textId="77777777" w:rsidTr="004E2D63">
        <w:tc>
          <w:tcPr>
            <w:tcW w:w="4508" w:type="dxa"/>
          </w:tcPr>
          <w:p w14:paraId="42DF4D86" w14:textId="07C78551" w:rsidR="004E2D63" w:rsidRDefault="004E2D63" w:rsidP="005A38D8">
            <w:pPr>
              <w:pStyle w:val="Default"/>
            </w:pPr>
            <w:r w:rsidRPr="004E2D63">
              <w:t>Trade Union</w:t>
            </w:r>
          </w:p>
        </w:tc>
        <w:tc>
          <w:tcPr>
            <w:tcW w:w="4508" w:type="dxa"/>
          </w:tcPr>
          <w:p w14:paraId="0BADEA72" w14:textId="359B73CC" w:rsidR="004E2D63" w:rsidRDefault="004E2D63" w:rsidP="005A38D8">
            <w:pPr>
              <w:pStyle w:val="Default"/>
            </w:pPr>
            <w:r w:rsidRPr="004E2D63">
              <w:t>1 response</w:t>
            </w:r>
          </w:p>
        </w:tc>
      </w:tr>
    </w:tbl>
    <w:p w14:paraId="4A22BA1A" w14:textId="77777777" w:rsidR="004E2D63" w:rsidRDefault="004E2D63" w:rsidP="005A38D8">
      <w:pPr>
        <w:pStyle w:val="Default"/>
      </w:pPr>
    </w:p>
    <w:p w14:paraId="1A305B5D" w14:textId="4C2DC8AA" w:rsidR="001A2984" w:rsidRDefault="001A2984" w:rsidP="005A38D8">
      <w:pPr>
        <w:pStyle w:val="Default"/>
      </w:pPr>
    </w:p>
    <w:p w14:paraId="281102B2" w14:textId="159E4741" w:rsidR="00450A08" w:rsidRDefault="004E2D63" w:rsidP="005A38D8">
      <w:pPr>
        <w:pStyle w:val="Default"/>
        <w:rPr>
          <w:b/>
          <w:u w:val="single"/>
        </w:rPr>
      </w:pPr>
      <w:r w:rsidRPr="00767398">
        <w:rPr>
          <w:b/>
          <w:u w:val="single"/>
        </w:rPr>
        <w:t>Industry responses by size of business</w:t>
      </w:r>
    </w:p>
    <w:p w14:paraId="742046E0" w14:textId="77777777" w:rsidR="002672C3" w:rsidRDefault="002672C3" w:rsidP="005A38D8">
      <w:pPr>
        <w:pStyle w:val="Default"/>
      </w:pPr>
    </w:p>
    <w:p w14:paraId="54C1EE3D" w14:textId="041E0D86" w:rsidR="00450A08" w:rsidRDefault="00450A08" w:rsidP="005A38D8">
      <w:pPr>
        <w:pStyle w:val="Default"/>
      </w:pPr>
      <w:r>
        <w:t>The responses from industry represented businesses ranging in size from 15 to 5700 employees</w:t>
      </w:r>
    </w:p>
    <w:p w14:paraId="6C663C1E" w14:textId="291D2D48" w:rsidR="004E2D63" w:rsidRDefault="004E2D63" w:rsidP="005A38D8">
      <w:pPr>
        <w:pStyle w:val="Default"/>
      </w:pPr>
    </w:p>
    <w:tbl>
      <w:tblPr>
        <w:tblStyle w:val="TableGrid"/>
        <w:tblW w:w="0" w:type="auto"/>
        <w:tblLook w:val="04A0" w:firstRow="1" w:lastRow="0" w:firstColumn="1" w:lastColumn="0" w:noHBand="0" w:noVBand="1"/>
      </w:tblPr>
      <w:tblGrid>
        <w:gridCol w:w="4508"/>
        <w:gridCol w:w="4508"/>
      </w:tblGrid>
      <w:tr w:rsidR="00C90D53" w14:paraId="70939104" w14:textId="77777777" w:rsidTr="00C90D53">
        <w:tc>
          <w:tcPr>
            <w:tcW w:w="4508" w:type="dxa"/>
          </w:tcPr>
          <w:p w14:paraId="2895AB4A" w14:textId="2B69EFDE" w:rsidR="00C90D53" w:rsidRDefault="00C90D53" w:rsidP="005A38D8">
            <w:pPr>
              <w:pStyle w:val="Default"/>
            </w:pPr>
            <w:r>
              <w:t>1000+ employees</w:t>
            </w:r>
          </w:p>
        </w:tc>
        <w:tc>
          <w:tcPr>
            <w:tcW w:w="4508" w:type="dxa"/>
          </w:tcPr>
          <w:p w14:paraId="10D904A3" w14:textId="654DDFB3" w:rsidR="00C90D53" w:rsidRDefault="00C90D53" w:rsidP="005A38D8">
            <w:pPr>
              <w:pStyle w:val="Default"/>
            </w:pPr>
            <w:r>
              <w:t xml:space="preserve">7 </w:t>
            </w:r>
            <w:r w:rsidR="00450A08">
              <w:t>responses</w:t>
            </w:r>
          </w:p>
        </w:tc>
      </w:tr>
      <w:tr w:rsidR="00C90D53" w14:paraId="0D83F0FF" w14:textId="77777777" w:rsidTr="00C90D53">
        <w:tc>
          <w:tcPr>
            <w:tcW w:w="4508" w:type="dxa"/>
          </w:tcPr>
          <w:p w14:paraId="682F424F" w14:textId="07FE0503" w:rsidR="00C90D53" w:rsidRDefault="00C90D53" w:rsidP="005A38D8">
            <w:pPr>
              <w:pStyle w:val="Default"/>
            </w:pPr>
            <w:r>
              <w:t>250 – 999 employees</w:t>
            </w:r>
          </w:p>
        </w:tc>
        <w:tc>
          <w:tcPr>
            <w:tcW w:w="4508" w:type="dxa"/>
          </w:tcPr>
          <w:p w14:paraId="780FB447" w14:textId="26DB5F54" w:rsidR="00C90D53" w:rsidRDefault="00C90D53" w:rsidP="005A38D8">
            <w:pPr>
              <w:pStyle w:val="Default"/>
            </w:pPr>
            <w:r>
              <w:t>5</w:t>
            </w:r>
            <w:r w:rsidR="00450A08">
              <w:t xml:space="preserve"> responses</w:t>
            </w:r>
          </w:p>
        </w:tc>
      </w:tr>
      <w:tr w:rsidR="00C90D53" w14:paraId="56A96D55" w14:textId="77777777" w:rsidTr="00C90D53">
        <w:tc>
          <w:tcPr>
            <w:tcW w:w="4508" w:type="dxa"/>
          </w:tcPr>
          <w:p w14:paraId="19C11B04" w14:textId="16D65CC6" w:rsidR="00C90D53" w:rsidRDefault="00C90D53" w:rsidP="005A38D8">
            <w:pPr>
              <w:pStyle w:val="Default"/>
            </w:pPr>
            <w:r>
              <w:t>50 – 249 employees</w:t>
            </w:r>
          </w:p>
        </w:tc>
        <w:tc>
          <w:tcPr>
            <w:tcW w:w="4508" w:type="dxa"/>
          </w:tcPr>
          <w:p w14:paraId="20361AA8" w14:textId="354A6064" w:rsidR="00C90D53" w:rsidRDefault="00C90D53" w:rsidP="005A38D8">
            <w:pPr>
              <w:pStyle w:val="Default"/>
            </w:pPr>
            <w:r>
              <w:t>2</w:t>
            </w:r>
            <w:r w:rsidR="00450A08">
              <w:t xml:space="preserve"> responses</w:t>
            </w:r>
          </w:p>
        </w:tc>
      </w:tr>
      <w:tr w:rsidR="00C90D53" w14:paraId="05CF90BC" w14:textId="77777777" w:rsidTr="00C90D53">
        <w:tc>
          <w:tcPr>
            <w:tcW w:w="4508" w:type="dxa"/>
          </w:tcPr>
          <w:p w14:paraId="3CD4289A" w14:textId="61D55CCB" w:rsidR="00C90D53" w:rsidRDefault="00C90D53" w:rsidP="005A38D8">
            <w:pPr>
              <w:pStyle w:val="Default"/>
            </w:pPr>
            <w:r>
              <w:t>10 – 49 employees</w:t>
            </w:r>
          </w:p>
        </w:tc>
        <w:tc>
          <w:tcPr>
            <w:tcW w:w="4508" w:type="dxa"/>
          </w:tcPr>
          <w:p w14:paraId="322663CD" w14:textId="55694A0E" w:rsidR="00C90D53" w:rsidRDefault="00450A08" w:rsidP="005A38D8">
            <w:pPr>
              <w:pStyle w:val="Default"/>
            </w:pPr>
            <w:r>
              <w:t>4 responses</w:t>
            </w:r>
          </w:p>
        </w:tc>
      </w:tr>
    </w:tbl>
    <w:p w14:paraId="5F5EE9AA" w14:textId="77777777" w:rsidR="004E2D63" w:rsidRPr="007F1703" w:rsidRDefault="004E2D63" w:rsidP="005A38D8">
      <w:pPr>
        <w:pStyle w:val="Default"/>
      </w:pPr>
    </w:p>
    <w:p w14:paraId="01824356" w14:textId="77777777" w:rsidR="001A2984" w:rsidRPr="007F1703" w:rsidRDefault="001A2984" w:rsidP="005A38D8">
      <w:pPr>
        <w:pStyle w:val="Default"/>
      </w:pPr>
    </w:p>
    <w:p w14:paraId="6C42054E" w14:textId="77777777" w:rsidR="005A38D8" w:rsidRPr="007F1703" w:rsidRDefault="005A38D8" w:rsidP="005A38D8">
      <w:pPr>
        <w:pStyle w:val="Default"/>
      </w:pPr>
    </w:p>
    <w:p w14:paraId="15FCBA17" w14:textId="77777777" w:rsidR="005A38D8" w:rsidRPr="007F1703" w:rsidRDefault="005A38D8" w:rsidP="005A38D8">
      <w:pPr>
        <w:pStyle w:val="Default"/>
      </w:pPr>
    </w:p>
    <w:p w14:paraId="1B7BD3EF" w14:textId="617C4BF1" w:rsidR="005A38D8" w:rsidRPr="007F1703" w:rsidRDefault="005A38D8" w:rsidP="005A38D8">
      <w:pPr>
        <w:pStyle w:val="Default"/>
      </w:pPr>
      <w:r w:rsidRPr="007F1703">
        <w:t xml:space="preserve">All responses were analysed to establish if there were any common themes. </w:t>
      </w:r>
    </w:p>
    <w:p w14:paraId="787E278D" w14:textId="77777777" w:rsidR="005A38D8" w:rsidRPr="007F1703" w:rsidRDefault="005A38D8" w:rsidP="005A38D8">
      <w:pPr>
        <w:pStyle w:val="Default"/>
      </w:pPr>
    </w:p>
    <w:p w14:paraId="5C8EB6CC" w14:textId="154BFD68" w:rsidR="005A38D8" w:rsidRDefault="005A38D8" w:rsidP="005A38D8">
      <w:pPr>
        <w:rPr>
          <w:rFonts w:ascii="Arial" w:hAnsi="Arial" w:cs="Arial"/>
          <w:sz w:val="24"/>
          <w:szCs w:val="24"/>
        </w:rPr>
      </w:pPr>
    </w:p>
    <w:p w14:paraId="1F454657" w14:textId="48F2DC72" w:rsidR="002672C3" w:rsidRDefault="002672C3" w:rsidP="005A38D8">
      <w:pPr>
        <w:rPr>
          <w:rFonts w:ascii="Arial" w:hAnsi="Arial" w:cs="Arial"/>
          <w:sz w:val="24"/>
          <w:szCs w:val="24"/>
        </w:rPr>
      </w:pPr>
    </w:p>
    <w:p w14:paraId="6C90BF66" w14:textId="1D899E3E" w:rsidR="005A38D8" w:rsidRPr="007F1703" w:rsidRDefault="00541BDC" w:rsidP="005A38D8">
      <w:pPr>
        <w:rPr>
          <w:rFonts w:ascii="Arial" w:hAnsi="Arial" w:cs="Arial"/>
          <w:b/>
          <w:sz w:val="24"/>
          <w:szCs w:val="24"/>
        </w:rPr>
      </w:pPr>
      <w:r>
        <w:rPr>
          <w:rFonts w:ascii="Arial" w:hAnsi="Arial" w:cs="Arial"/>
          <w:b/>
          <w:sz w:val="24"/>
          <w:szCs w:val="24"/>
        </w:rPr>
        <w:lastRenderedPageBreak/>
        <w:t>Summary</w:t>
      </w:r>
      <w:r w:rsidRPr="007F1703">
        <w:rPr>
          <w:rFonts w:ascii="Arial" w:hAnsi="Arial" w:cs="Arial"/>
          <w:b/>
          <w:sz w:val="24"/>
          <w:szCs w:val="24"/>
        </w:rPr>
        <w:t xml:space="preserve"> </w:t>
      </w:r>
      <w:r w:rsidR="005A38D8" w:rsidRPr="007F1703">
        <w:rPr>
          <w:rFonts w:ascii="Arial" w:hAnsi="Arial" w:cs="Arial"/>
          <w:b/>
          <w:sz w:val="24"/>
          <w:szCs w:val="24"/>
        </w:rPr>
        <w:t>of responses</w:t>
      </w:r>
    </w:p>
    <w:p w14:paraId="3F2D5C25" w14:textId="3FA83CFD" w:rsidR="005A38D8" w:rsidRPr="007F1703" w:rsidRDefault="005A38D8" w:rsidP="005A38D8">
      <w:pPr>
        <w:spacing w:after="0"/>
        <w:rPr>
          <w:rFonts w:ascii="Arial" w:eastAsiaTheme="minorEastAsia" w:hAnsi="Arial" w:cs="Arial"/>
          <w:b/>
          <w:sz w:val="24"/>
          <w:szCs w:val="24"/>
        </w:rPr>
      </w:pPr>
      <w:r w:rsidRPr="007F1703">
        <w:rPr>
          <w:rFonts w:ascii="Arial" w:eastAsiaTheme="minorEastAsia" w:hAnsi="Arial" w:cs="Arial"/>
          <w:b/>
          <w:sz w:val="24"/>
          <w:szCs w:val="24"/>
        </w:rPr>
        <w:t>Question 1</w:t>
      </w:r>
    </w:p>
    <w:p w14:paraId="4A34BA6D" w14:textId="77777777" w:rsidR="005A38D8" w:rsidRPr="007F1703" w:rsidRDefault="005A38D8" w:rsidP="005A38D8">
      <w:pPr>
        <w:spacing w:after="0"/>
        <w:rPr>
          <w:rFonts w:ascii="Arial" w:eastAsiaTheme="minorEastAsia" w:hAnsi="Arial" w:cs="Arial"/>
          <w:sz w:val="24"/>
          <w:szCs w:val="24"/>
        </w:rPr>
      </w:pPr>
    </w:p>
    <w:p w14:paraId="63E0D045" w14:textId="77777777" w:rsidR="005A38D8" w:rsidRPr="007F1703" w:rsidRDefault="005A38D8" w:rsidP="005A38D8">
      <w:pPr>
        <w:tabs>
          <w:tab w:val="left" w:pos="0"/>
        </w:tabs>
        <w:overflowPunct w:val="0"/>
        <w:autoSpaceDE w:val="0"/>
        <w:autoSpaceDN w:val="0"/>
        <w:adjustRightInd w:val="0"/>
        <w:spacing w:after="160" w:line="240" w:lineRule="auto"/>
        <w:jc w:val="both"/>
        <w:rPr>
          <w:rFonts w:ascii="Arial" w:eastAsia="Times New Roman" w:hAnsi="Arial" w:cs="Arial"/>
          <w:b/>
          <w:bCs/>
          <w:sz w:val="24"/>
          <w:szCs w:val="24"/>
        </w:rPr>
      </w:pPr>
      <w:r w:rsidRPr="007F1703">
        <w:rPr>
          <w:rFonts w:ascii="Arial" w:eastAsia="Times New Roman" w:hAnsi="Arial" w:cs="Arial"/>
          <w:b/>
          <w:bCs/>
          <w:sz w:val="24"/>
          <w:szCs w:val="24"/>
        </w:rPr>
        <w:t xml:space="preserve">Q.1 </w:t>
      </w:r>
      <w:r w:rsidRPr="00767398">
        <w:rPr>
          <w:rFonts w:ascii="Arial" w:eastAsia="Times New Roman" w:hAnsi="Arial" w:cs="Arial"/>
          <w:bCs/>
          <w:i/>
          <w:sz w:val="24"/>
          <w:szCs w:val="24"/>
        </w:rPr>
        <w:t>The findings of the impact assessment (IA) suggest there is unlikely to be any significant additional costs to business from complying with the revised workplace exposure limits (WELs) following implementation of Phase 1 of the Carcinogens and Mutagens Directive (CMD). Based on your knowledge and understanding of the changes, do you agree or disagree with the IA finding?</w:t>
      </w:r>
    </w:p>
    <w:p w14:paraId="519AB15E" w14:textId="1E41368F" w:rsidR="000A2126" w:rsidRDefault="000A2126" w:rsidP="000A2126">
      <w:pPr>
        <w:rPr>
          <w:rFonts w:ascii="Arial" w:hAnsi="Arial" w:cs="Arial"/>
          <w:sz w:val="24"/>
          <w:szCs w:val="24"/>
          <w:lang w:eastAsia="en-GB"/>
        </w:rPr>
      </w:pPr>
      <w:r>
        <w:rPr>
          <w:rFonts w:ascii="Arial" w:hAnsi="Arial" w:cs="Arial"/>
          <w:b/>
          <w:bCs/>
          <w:sz w:val="24"/>
          <w:szCs w:val="24"/>
          <w:lang w:eastAsia="en-GB"/>
        </w:rPr>
        <w:t xml:space="preserve">Of the 33 total responses, 17 </w:t>
      </w:r>
      <w:r w:rsidR="008E5689">
        <w:rPr>
          <w:rFonts w:ascii="Arial" w:hAnsi="Arial" w:cs="Arial"/>
          <w:b/>
          <w:bCs/>
          <w:sz w:val="24"/>
          <w:szCs w:val="24"/>
          <w:lang w:eastAsia="en-GB"/>
        </w:rPr>
        <w:t>(52</w:t>
      </w:r>
      <w:r w:rsidR="00AD2FD5">
        <w:rPr>
          <w:rFonts w:ascii="Arial" w:hAnsi="Arial" w:cs="Arial"/>
          <w:b/>
          <w:bCs/>
          <w:sz w:val="24"/>
          <w:szCs w:val="24"/>
          <w:lang w:eastAsia="en-GB"/>
        </w:rPr>
        <w:t xml:space="preserve">%) </w:t>
      </w:r>
      <w:r>
        <w:rPr>
          <w:rFonts w:ascii="Arial" w:hAnsi="Arial" w:cs="Arial"/>
          <w:b/>
          <w:bCs/>
          <w:sz w:val="24"/>
          <w:szCs w:val="24"/>
          <w:lang w:eastAsia="en-GB"/>
        </w:rPr>
        <w:t>agreed with the findings of the IA.  Of the 17 in agreement, 11 responses were from businesses in the sector and 2 were from trade associations. Overall, 50% of trade associations that responded agreed with the findings of the IA.</w:t>
      </w:r>
    </w:p>
    <w:p w14:paraId="1D068AF0" w14:textId="77777777" w:rsidR="005A38D8" w:rsidRPr="007F1703" w:rsidRDefault="005A38D8" w:rsidP="00F65D1E">
      <w:pPr>
        <w:jc w:val="both"/>
        <w:rPr>
          <w:rFonts w:ascii="Arial" w:hAnsi="Arial" w:cs="Arial"/>
          <w:b/>
          <w:noProof/>
          <w:sz w:val="24"/>
          <w:szCs w:val="24"/>
          <w:lang w:eastAsia="en-GB"/>
        </w:rPr>
      </w:pPr>
      <w:r w:rsidRPr="007F1703">
        <w:rPr>
          <w:rFonts w:ascii="Arial" w:hAnsi="Arial" w:cs="Arial"/>
          <w:b/>
          <w:noProof/>
          <w:sz w:val="24"/>
          <w:szCs w:val="24"/>
          <w:lang w:eastAsia="en-GB"/>
        </w:rPr>
        <w:t>8 (24%) respondents  disagreed with the IA findings</w:t>
      </w:r>
      <w:r w:rsidR="00A06564" w:rsidRPr="007F1703">
        <w:rPr>
          <w:rFonts w:ascii="Arial" w:hAnsi="Arial" w:cs="Arial"/>
          <w:b/>
          <w:noProof/>
          <w:sz w:val="24"/>
          <w:szCs w:val="24"/>
          <w:lang w:eastAsia="en-GB"/>
        </w:rPr>
        <w:t xml:space="preserve"> and provided </w:t>
      </w:r>
      <w:r w:rsidRPr="007F1703">
        <w:rPr>
          <w:rFonts w:ascii="Arial" w:hAnsi="Arial" w:cs="Arial"/>
          <w:b/>
          <w:noProof/>
          <w:sz w:val="24"/>
          <w:szCs w:val="24"/>
          <w:lang w:eastAsia="en-GB"/>
        </w:rPr>
        <w:t xml:space="preserve">                                                                 </w:t>
      </w:r>
      <w:r w:rsidR="00A06564" w:rsidRPr="007F1703">
        <w:rPr>
          <w:rFonts w:ascii="Arial" w:hAnsi="Arial" w:cs="Arial"/>
          <w:b/>
          <w:noProof/>
          <w:sz w:val="24"/>
          <w:szCs w:val="24"/>
          <w:lang w:eastAsia="en-GB"/>
        </w:rPr>
        <w:t>c</w:t>
      </w:r>
      <w:r w:rsidRPr="007F1703">
        <w:rPr>
          <w:rFonts w:ascii="Arial" w:hAnsi="Arial" w:cs="Arial"/>
          <w:b/>
          <w:noProof/>
          <w:sz w:val="24"/>
          <w:szCs w:val="24"/>
          <w:lang w:eastAsia="en-GB"/>
        </w:rPr>
        <w:t xml:space="preserve">omments </w:t>
      </w:r>
      <w:r w:rsidR="00A06564" w:rsidRPr="007F1703">
        <w:rPr>
          <w:rFonts w:ascii="Arial" w:hAnsi="Arial" w:cs="Arial"/>
          <w:b/>
          <w:noProof/>
          <w:sz w:val="24"/>
          <w:szCs w:val="24"/>
          <w:lang w:eastAsia="en-GB"/>
        </w:rPr>
        <w:t>relating to</w:t>
      </w:r>
      <w:r w:rsidR="00A870F8" w:rsidRPr="007F1703">
        <w:rPr>
          <w:rFonts w:ascii="Arial" w:hAnsi="Arial" w:cs="Arial"/>
          <w:b/>
          <w:noProof/>
          <w:sz w:val="24"/>
          <w:szCs w:val="24"/>
          <w:lang w:eastAsia="en-GB"/>
        </w:rPr>
        <w:t xml:space="preserve"> following substances</w:t>
      </w:r>
      <w:r w:rsidRPr="007F1703">
        <w:rPr>
          <w:rFonts w:ascii="Arial" w:hAnsi="Arial" w:cs="Arial"/>
          <w:b/>
          <w:noProof/>
          <w:sz w:val="24"/>
          <w:szCs w:val="24"/>
          <w:lang w:eastAsia="en-GB"/>
        </w:rPr>
        <w:t>:</w:t>
      </w:r>
    </w:p>
    <w:p w14:paraId="1F0CDE59" w14:textId="6B303B84" w:rsidR="00E0659D" w:rsidRPr="007F1703" w:rsidRDefault="00EA612E" w:rsidP="00F65D1E">
      <w:pPr>
        <w:jc w:val="both"/>
        <w:rPr>
          <w:rFonts w:ascii="Arial" w:hAnsi="Arial" w:cs="Arial"/>
          <w:noProof/>
          <w:sz w:val="24"/>
          <w:szCs w:val="24"/>
          <w:lang w:eastAsia="en-GB"/>
        </w:rPr>
      </w:pPr>
      <w:r w:rsidRPr="007F1703">
        <w:rPr>
          <w:rFonts w:ascii="Arial" w:hAnsi="Arial" w:cs="Arial"/>
          <w:b/>
          <w:noProof/>
          <w:sz w:val="24"/>
          <w:szCs w:val="24"/>
          <w:lang w:eastAsia="en-GB"/>
        </w:rPr>
        <w:t>Hardwood dust</w:t>
      </w:r>
      <w:r w:rsidR="005A38D8" w:rsidRPr="007F1703">
        <w:rPr>
          <w:rFonts w:ascii="Arial" w:hAnsi="Arial" w:cs="Arial"/>
          <w:noProof/>
          <w:sz w:val="24"/>
          <w:szCs w:val="24"/>
          <w:lang w:eastAsia="en-GB"/>
        </w:rPr>
        <w:t xml:space="preserve"> </w:t>
      </w:r>
      <w:r w:rsidRPr="007F1703">
        <w:rPr>
          <w:rFonts w:ascii="Arial" w:hAnsi="Arial" w:cs="Arial"/>
          <w:noProof/>
          <w:sz w:val="24"/>
          <w:szCs w:val="24"/>
          <w:lang w:eastAsia="en-GB"/>
        </w:rPr>
        <w:t>–</w:t>
      </w:r>
      <w:r w:rsidR="005A38D8" w:rsidRPr="007F1703">
        <w:rPr>
          <w:rFonts w:ascii="Arial" w:hAnsi="Arial" w:cs="Arial"/>
          <w:noProof/>
          <w:sz w:val="24"/>
          <w:szCs w:val="24"/>
          <w:lang w:eastAsia="en-GB"/>
        </w:rPr>
        <w:t xml:space="preserve"> </w:t>
      </w:r>
      <w:r w:rsidRPr="007F1703">
        <w:rPr>
          <w:rFonts w:ascii="Arial" w:hAnsi="Arial" w:cs="Arial"/>
          <w:noProof/>
          <w:sz w:val="24"/>
          <w:szCs w:val="24"/>
          <w:lang w:eastAsia="en-GB"/>
        </w:rPr>
        <w:t xml:space="preserve">There was a concern from a </w:t>
      </w:r>
      <w:r w:rsidR="006D191B" w:rsidRPr="007F1703">
        <w:rPr>
          <w:rFonts w:ascii="Arial" w:hAnsi="Arial" w:cs="Arial"/>
          <w:noProof/>
          <w:sz w:val="24"/>
          <w:szCs w:val="24"/>
          <w:lang w:eastAsia="en-GB"/>
        </w:rPr>
        <w:t>training company that</w:t>
      </w:r>
      <w:r w:rsidR="008F5D4E">
        <w:rPr>
          <w:rFonts w:ascii="Arial" w:hAnsi="Arial" w:cs="Arial"/>
          <w:noProof/>
          <w:sz w:val="24"/>
          <w:szCs w:val="24"/>
          <w:lang w:eastAsia="en-GB"/>
        </w:rPr>
        <w:t xml:space="preserve"> </w:t>
      </w:r>
      <w:r w:rsidRPr="007F1703">
        <w:rPr>
          <w:rFonts w:ascii="Arial" w:hAnsi="Arial" w:cs="Arial"/>
          <w:noProof/>
          <w:sz w:val="24"/>
          <w:szCs w:val="24"/>
          <w:lang w:eastAsia="en-GB"/>
        </w:rPr>
        <w:t>many businesses in the sector are micro or SM</w:t>
      </w:r>
      <w:r w:rsidR="00B32E89" w:rsidRPr="007F1703">
        <w:rPr>
          <w:rFonts w:ascii="Arial" w:hAnsi="Arial" w:cs="Arial"/>
          <w:noProof/>
          <w:sz w:val="24"/>
          <w:szCs w:val="24"/>
          <w:lang w:eastAsia="en-GB"/>
        </w:rPr>
        <w:t>E</w:t>
      </w:r>
      <w:r w:rsidR="008F283C" w:rsidRPr="007F1703">
        <w:rPr>
          <w:rFonts w:ascii="Arial" w:hAnsi="Arial" w:cs="Arial"/>
          <w:noProof/>
          <w:sz w:val="24"/>
          <w:szCs w:val="24"/>
          <w:lang w:eastAsia="en-GB"/>
        </w:rPr>
        <w:t xml:space="preserve">, and often lag behind </w:t>
      </w:r>
      <w:r w:rsidR="000F0DD4" w:rsidRPr="007F1703">
        <w:rPr>
          <w:rFonts w:ascii="Arial" w:hAnsi="Arial" w:cs="Arial"/>
          <w:noProof/>
          <w:sz w:val="24"/>
          <w:szCs w:val="24"/>
          <w:lang w:eastAsia="en-GB"/>
        </w:rPr>
        <w:t>standards in larger companies</w:t>
      </w:r>
      <w:r w:rsidR="002335F6" w:rsidRPr="007F1703">
        <w:rPr>
          <w:rFonts w:ascii="Arial" w:hAnsi="Arial" w:cs="Arial"/>
          <w:noProof/>
          <w:sz w:val="24"/>
          <w:szCs w:val="24"/>
          <w:lang w:eastAsia="en-GB"/>
        </w:rPr>
        <w:t>,</w:t>
      </w:r>
      <w:r w:rsidR="00B32E89" w:rsidRPr="007F1703">
        <w:rPr>
          <w:rFonts w:ascii="Arial" w:hAnsi="Arial" w:cs="Arial"/>
          <w:noProof/>
          <w:sz w:val="24"/>
          <w:szCs w:val="24"/>
          <w:lang w:eastAsia="en-GB"/>
        </w:rPr>
        <w:t xml:space="preserve"> </w:t>
      </w:r>
      <w:r w:rsidRPr="007F1703">
        <w:rPr>
          <w:rFonts w:ascii="Arial" w:hAnsi="Arial" w:cs="Arial"/>
          <w:noProof/>
          <w:sz w:val="24"/>
          <w:szCs w:val="24"/>
          <w:lang w:eastAsia="en-GB"/>
        </w:rPr>
        <w:t xml:space="preserve">that </w:t>
      </w:r>
      <w:r w:rsidR="00F3513A" w:rsidRPr="007F1703">
        <w:rPr>
          <w:rFonts w:ascii="Arial" w:hAnsi="Arial" w:cs="Arial"/>
          <w:noProof/>
          <w:sz w:val="24"/>
          <w:szCs w:val="24"/>
          <w:lang w:eastAsia="en-GB"/>
        </w:rPr>
        <w:t xml:space="preserve">there would be cost implications in achieving compliance. </w:t>
      </w:r>
    </w:p>
    <w:p w14:paraId="4BBAC8E9" w14:textId="6E8FCD5F" w:rsidR="005A38D8" w:rsidRPr="007F1703" w:rsidRDefault="000F0DD4" w:rsidP="00F65D1E">
      <w:pPr>
        <w:jc w:val="both"/>
        <w:rPr>
          <w:rFonts w:ascii="Arial" w:hAnsi="Arial" w:cs="Arial"/>
          <w:noProof/>
          <w:sz w:val="24"/>
          <w:szCs w:val="24"/>
          <w:lang w:eastAsia="en-GB"/>
        </w:rPr>
      </w:pPr>
      <w:r w:rsidRPr="007F1703">
        <w:rPr>
          <w:rFonts w:ascii="Arial" w:hAnsi="Arial" w:cs="Arial"/>
          <w:b/>
          <w:noProof/>
          <w:sz w:val="24"/>
          <w:szCs w:val="24"/>
          <w:lang w:eastAsia="en-GB"/>
        </w:rPr>
        <w:t>HSE response</w:t>
      </w:r>
      <w:r w:rsidR="009753BA">
        <w:rPr>
          <w:rFonts w:ascii="Arial" w:hAnsi="Arial" w:cs="Arial"/>
          <w:b/>
          <w:noProof/>
          <w:sz w:val="24"/>
          <w:szCs w:val="24"/>
          <w:lang w:eastAsia="en-GB"/>
        </w:rPr>
        <w:t xml:space="preserve">: </w:t>
      </w:r>
      <w:r w:rsidR="0007354C" w:rsidRPr="007F1703">
        <w:rPr>
          <w:rFonts w:ascii="Arial" w:hAnsi="Arial" w:cs="Arial"/>
          <w:noProof/>
          <w:sz w:val="24"/>
          <w:szCs w:val="24"/>
          <w:lang w:eastAsia="en-GB"/>
        </w:rPr>
        <w:t xml:space="preserve">Those businesses that are already compliant with the current </w:t>
      </w:r>
      <w:r w:rsidR="00A66358" w:rsidRPr="007F1703">
        <w:rPr>
          <w:rFonts w:ascii="Arial" w:hAnsi="Arial" w:cs="Arial"/>
          <w:noProof/>
          <w:sz w:val="24"/>
          <w:szCs w:val="24"/>
          <w:lang w:eastAsia="en-GB"/>
        </w:rPr>
        <w:t>occupational exposure limit, should have no issues in meeting the lower limit</w:t>
      </w:r>
      <w:r w:rsidR="00541BDC">
        <w:rPr>
          <w:rFonts w:ascii="Arial" w:hAnsi="Arial" w:cs="Arial"/>
          <w:noProof/>
          <w:sz w:val="24"/>
          <w:szCs w:val="24"/>
          <w:lang w:eastAsia="en-GB"/>
        </w:rPr>
        <w:t xml:space="preserve"> to be introduced in 2020</w:t>
      </w:r>
      <w:r w:rsidR="00A66358" w:rsidRPr="007F1703">
        <w:rPr>
          <w:rFonts w:ascii="Arial" w:hAnsi="Arial" w:cs="Arial"/>
          <w:noProof/>
          <w:sz w:val="24"/>
          <w:szCs w:val="24"/>
          <w:lang w:eastAsia="en-GB"/>
        </w:rPr>
        <w:t xml:space="preserve">. </w:t>
      </w:r>
      <w:r w:rsidR="00541BDC">
        <w:rPr>
          <w:rFonts w:ascii="Arial" w:hAnsi="Arial" w:cs="Arial"/>
          <w:noProof/>
          <w:sz w:val="24"/>
          <w:szCs w:val="24"/>
          <w:lang w:eastAsia="en-GB"/>
        </w:rPr>
        <w:t xml:space="preserve">The CMD contains a transitional period before </w:t>
      </w:r>
      <w:r w:rsidR="00FA65B3">
        <w:rPr>
          <w:rFonts w:ascii="Arial" w:hAnsi="Arial" w:cs="Arial"/>
          <w:noProof/>
          <w:sz w:val="24"/>
          <w:szCs w:val="24"/>
          <w:lang w:eastAsia="en-GB"/>
        </w:rPr>
        <w:t xml:space="preserve">the </w:t>
      </w:r>
      <w:r w:rsidR="00A66358" w:rsidRPr="007F1703">
        <w:rPr>
          <w:rFonts w:ascii="Arial" w:hAnsi="Arial" w:cs="Arial"/>
          <w:noProof/>
          <w:sz w:val="24"/>
          <w:szCs w:val="24"/>
          <w:lang w:eastAsia="en-GB"/>
        </w:rPr>
        <w:t xml:space="preserve"> </w:t>
      </w:r>
      <w:r w:rsidR="007C37B2" w:rsidRPr="007F1703">
        <w:rPr>
          <w:rFonts w:ascii="Arial" w:hAnsi="Arial" w:cs="Arial"/>
          <w:noProof/>
          <w:sz w:val="24"/>
          <w:szCs w:val="24"/>
          <w:lang w:eastAsia="en-GB"/>
        </w:rPr>
        <w:t xml:space="preserve">limit </w:t>
      </w:r>
      <w:r w:rsidR="00FA65B3">
        <w:rPr>
          <w:rFonts w:ascii="Arial" w:hAnsi="Arial" w:cs="Arial"/>
          <w:noProof/>
          <w:sz w:val="24"/>
          <w:szCs w:val="24"/>
          <w:lang w:eastAsia="en-GB"/>
        </w:rPr>
        <w:t xml:space="preserve">reduces </w:t>
      </w:r>
      <w:r w:rsidR="00541BDC">
        <w:rPr>
          <w:rFonts w:ascii="Arial" w:hAnsi="Arial" w:cs="Arial"/>
          <w:noProof/>
          <w:sz w:val="24"/>
          <w:szCs w:val="24"/>
          <w:lang w:eastAsia="en-GB"/>
        </w:rPr>
        <w:t xml:space="preserve">further </w:t>
      </w:r>
      <w:r w:rsidR="007C37B2" w:rsidRPr="007F1703">
        <w:rPr>
          <w:rFonts w:ascii="Arial" w:hAnsi="Arial" w:cs="Arial"/>
          <w:noProof/>
          <w:sz w:val="24"/>
          <w:szCs w:val="24"/>
          <w:lang w:eastAsia="en-GB"/>
        </w:rPr>
        <w:t>in 2023</w:t>
      </w:r>
      <w:r w:rsidR="00541BDC">
        <w:rPr>
          <w:rFonts w:ascii="Arial" w:hAnsi="Arial" w:cs="Arial"/>
          <w:noProof/>
          <w:sz w:val="24"/>
          <w:szCs w:val="24"/>
          <w:lang w:eastAsia="en-GB"/>
        </w:rPr>
        <w:t xml:space="preserve">.  This </w:t>
      </w:r>
      <w:r w:rsidR="00FA65B3">
        <w:rPr>
          <w:rFonts w:ascii="Arial" w:hAnsi="Arial" w:cs="Arial"/>
          <w:noProof/>
          <w:sz w:val="24"/>
          <w:szCs w:val="24"/>
          <w:lang w:eastAsia="en-GB"/>
        </w:rPr>
        <w:t xml:space="preserve">further </w:t>
      </w:r>
      <w:r w:rsidR="00541BDC">
        <w:rPr>
          <w:rFonts w:ascii="Arial" w:hAnsi="Arial" w:cs="Arial"/>
          <w:noProof/>
          <w:sz w:val="24"/>
          <w:szCs w:val="24"/>
          <w:lang w:eastAsia="en-GB"/>
        </w:rPr>
        <w:t>lower limit</w:t>
      </w:r>
      <w:r w:rsidR="00651B47">
        <w:rPr>
          <w:rFonts w:ascii="Arial" w:hAnsi="Arial" w:cs="Arial"/>
          <w:noProof/>
          <w:sz w:val="24"/>
          <w:szCs w:val="24"/>
          <w:lang w:eastAsia="en-GB"/>
        </w:rPr>
        <w:t>, scheduled to come into effect in 2023</w:t>
      </w:r>
      <w:r w:rsidR="00596F4F">
        <w:rPr>
          <w:rFonts w:ascii="Arial" w:hAnsi="Arial" w:cs="Arial"/>
          <w:noProof/>
          <w:sz w:val="24"/>
          <w:szCs w:val="24"/>
          <w:lang w:eastAsia="en-GB"/>
        </w:rPr>
        <w:t>,</w:t>
      </w:r>
      <w:r w:rsidR="00651B47">
        <w:rPr>
          <w:rFonts w:ascii="Arial" w:hAnsi="Arial" w:cs="Arial"/>
          <w:noProof/>
          <w:sz w:val="24"/>
          <w:szCs w:val="24"/>
          <w:lang w:eastAsia="en-GB"/>
        </w:rPr>
        <w:t xml:space="preserve"> </w:t>
      </w:r>
      <w:r w:rsidR="00541BDC">
        <w:rPr>
          <w:rFonts w:ascii="Arial" w:hAnsi="Arial" w:cs="Arial"/>
          <w:noProof/>
          <w:sz w:val="24"/>
          <w:szCs w:val="24"/>
          <w:lang w:eastAsia="en-GB"/>
        </w:rPr>
        <w:t xml:space="preserve"> was not the subject of this consultation and will be considered </w:t>
      </w:r>
      <w:r w:rsidR="00651B47">
        <w:rPr>
          <w:rFonts w:ascii="Arial" w:hAnsi="Arial" w:cs="Arial"/>
          <w:noProof/>
          <w:sz w:val="24"/>
          <w:szCs w:val="24"/>
          <w:lang w:eastAsia="en-GB"/>
        </w:rPr>
        <w:t xml:space="preserve">seperately </w:t>
      </w:r>
      <w:r w:rsidR="00541BDC">
        <w:rPr>
          <w:rFonts w:ascii="Arial" w:hAnsi="Arial" w:cs="Arial"/>
          <w:noProof/>
          <w:sz w:val="24"/>
          <w:szCs w:val="24"/>
          <w:lang w:eastAsia="en-GB"/>
        </w:rPr>
        <w:t>at a later date.</w:t>
      </w:r>
    </w:p>
    <w:p w14:paraId="57BA5E8C" w14:textId="6EB473B9" w:rsidR="00995288" w:rsidRPr="007F1703" w:rsidRDefault="00995288" w:rsidP="00F65D1E">
      <w:pPr>
        <w:jc w:val="both"/>
        <w:rPr>
          <w:rFonts w:ascii="Arial" w:hAnsi="Arial" w:cs="Arial"/>
          <w:noProof/>
          <w:sz w:val="24"/>
          <w:szCs w:val="24"/>
          <w:lang w:eastAsia="en-GB"/>
        </w:rPr>
      </w:pPr>
      <w:r w:rsidRPr="007F1703">
        <w:rPr>
          <w:rFonts w:ascii="Arial" w:hAnsi="Arial" w:cs="Arial"/>
          <w:b/>
          <w:noProof/>
          <w:sz w:val="24"/>
          <w:szCs w:val="24"/>
          <w:lang w:eastAsia="en-GB"/>
        </w:rPr>
        <w:t>Chromium (VI)</w:t>
      </w:r>
      <w:r w:rsidR="005A38D8" w:rsidRPr="007F1703">
        <w:rPr>
          <w:rFonts w:ascii="Arial" w:hAnsi="Arial" w:cs="Arial"/>
          <w:noProof/>
          <w:sz w:val="24"/>
          <w:szCs w:val="24"/>
          <w:lang w:eastAsia="en-GB"/>
        </w:rPr>
        <w:t xml:space="preserve"> </w:t>
      </w:r>
      <w:r w:rsidR="00927917" w:rsidRPr="007F1703">
        <w:rPr>
          <w:rFonts w:ascii="Arial" w:hAnsi="Arial" w:cs="Arial"/>
          <w:noProof/>
          <w:sz w:val="24"/>
          <w:szCs w:val="24"/>
          <w:lang w:eastAsia="en-GB"/>
        </w:rPr>
        <w:t xml:space="preserve"> </w:t>
      </w:r>
      <w:r w:rsidR="00927917" w:rsidRPr="007F1703">
        <w:rPr>
          <w:rFonts w:ascii="Arial" w:hAnsi="Arial" w:cs="Arial"/>
          <w:b/>
          <w:noProof/>
          <w:sz w:val="24"/>
          <w:szCs w:val="24"/>
          <w:lang w:eastAsia="en-GB"/>
        </w:rPr>
        <w:t>Compounds</w:t>
      </w:r>
      <w:r w:rsidR="00927917" w:rsidRPr="007F1703">
        <w:rPr>
          <w:rFonts w:ascii="Arial" w:hAnsi="Arial" w:cs="Arial"/>
          <w:noProof/>
          <w:sz w:val="24"/>
          <w:szCs w:val="24"/>
          <w:lang w:eastAsia="en-GB"/>
        </w:rPr>
        <w:t xml:space="preserve"> </w:t>
      </w:r>
      <w:r w:rsidRPr="007F1703">
        <w:rPr>
          <w:rFonts w:ascii="Arial" w:hAnsi="Arial" w:cs="Arial"/>
          <w:noProof/>
          <w:sz w:val="24"/>
          <w:szCs w:val="24"/>
          <w:lang w:eastAsia="en-GB"/>
        </w:rPr>
        <w:t>–</w:t>
      </w:r>
      <w:r w:rsidR="005A38D8" w:rsidRPr="007F1703">
        <w:rPr>
          <w:rFonts w:ascii="Arial" w:hAnsi="Arial" w:cs="Arial"/>
          <w:noProof/>
          <w:sz w:val="24"/>
          <w:szCs w:val="24"/>
          <w:lang w:eastAsia="en-GB"/>
        </w:rPr>
        <w:t xml:space="preserve"> </w:t>
      </w:r>
      <w:r w:rsidR="00155724" w:rsidRPr="007F1703">
        <w:rPr>
          <w:rFonts w:ascii="Arial" w:hAnsi="Arial" w:cs="Arial"/>
          <w:noProof/>
          <w:sz w:val="24"/>
          <w:szCs w:val="24"/>
          <w:lang w:eastAsia="en-GB"/>
        </w:rPr>
        <w:t>There was concern from a</w:t>
      </w:r>
      <w:r w:rsidR="003A14F9" w:rsidRPr="007F1703">
        <w:rPr>
          <w:rFonts w:ascii="Arial" w:hAnsi="Arial" w:cs="Arial"/>
          <w:noProof/>
          <w:sz w:val="24"/>
          <w:szCs w:val="24"/>
          <w:lang w:eastAsia="en-GB"/>
        </w:rPr>
        <w:t xml:space="preserve"> private company</w:t>
      </w:r>
      <w:r w:rsidR="00155724" w:rsidRPr="007F1703">
        <w:rPr>
          <w:rFonts w:ascii="Arial" w:hAnsi="Arial" w:cs="Arial"/>
          <w:noProof/>
          <w:sz w:val="24"/>
          <w:szCs w:val="24"/>
          <w:lang w:eastAsia="en-GB"/>
        </w:rPr>
        <w:t xml:space="preserve"> </w:t>
      </w:r>
      <w:r w:rsidR="00B04BB5" w:rsidRPr="007F1703">
        <w:rPr>
          <w:rFonts w:ascii="Arial" w:hAnsi="Arial" w:cs="Arial"/>
          <w:noProof/>
          <w:sz w:val="24"/>
          <w:szCs w:val="24"/>
          <w:lang w:eastAsia="en-GB"/>
        </w:rPr>
        <w:t>undertaking chrome plating and gri</w:t>
      </w:r>
      <w:r w:rsidR="00357CCC" w:rsidRPr="007F1703">
        <w:rPr>
          <w:rFonts w:ascii="Arial" w:hAnsi="Arial" w:cs="Arial"/>
          <w:noProof/>
          <w:sz w:val="24"/>
          <w:szCs w:val="24"/>
          <w:lang w:eastAsia="en-GB"/>
        </w:rPr>
        <w:t>n</w:t>
      </w:r>
      <w:r w:rsidR="00B04BB5" w:rsidRPr="007F1703">
        <w:rPr>
          <w:rFonts w:ascii="Arial" w:hAnsi="Arial" w:cs="Arial"/>
          <w:noProof/>
          <w:sz w:val="24"/>
          <w:szCs w:val="24"/>
          <w:lang w:eastAsia="en-GB"/>
        </w:rPr>
        <w:t xml:space="preserve">ding services </w:t>
      </w:r>
      <w:r w:rsidR="00155724" w:rsidRPr="007F1703">
        <w:rPr>
          <w:rFonts w:ascii="Arial" w:hAnsi="Arial" w:cs="Arial"/>
          <w:noProof/>
          <w:sz w:val="24"/>
          <w:szCs w:val="24"/>
          <w:lang w:eastAsia="en-GB"/>
        </w:rPr>
        <w:t xml:space="preserve">that </w:t>
      </w:r>
      <w:r w:rsidR="00C777F4" w:rsidRPr="007F1703">
        <w:rPr>
          <w:rFonts w:ascii="Arial" w:hAnsi="Arial" w:cs="Arial"/>
          <w:noProof/>
          <w:sz w:val="24"/>
          <w:szCs w:val="24"/>
          <w:lang w:eastAsia="en-GB"/>
        </w:rPr>
        <w:t xml:space="preserve">reducing the limit any lower than the current limit would </w:t>
      </w:r>
      <w:r w:rsidR="0041455A" w:rsidRPr="007F1703">
        <w:rPr>
          <w:rFonts w:ascii="Arial" w:hAnsi="Arial" w:cs="Arial"/>
          <w:noProof/>
          <w:sz w:val="24"/>
          <w:szCs w:val="24"/>
          <w:lang w:eastAsia="en-GB"/>
        </w:rPr>
        <w:t>incur costs for installation of exhaust ventillation</w:t>
      </w:r>
      <w:r w:rsidR="00646FA4" w:rsidRPr="007F1703">
        <w:rPr>
          <w:rFonts w:ascii="Arial" w:hAnsi="Arial" w:cs="Arial"/>
          <w:noProof/>
          <w:sz w:val="24"/>
          <w:szCs w:val="24"/>
          <w:lang w:eastAsia="en-GB"/>
        </w:rPr>
        <w:t xml:space="preserve">.  </w:t>
      </w:r>
    </w:p>
    <w:p w14:paraId="23C9FAC6" w14:textId="35755777" w:rsidR="00546C0E" w:rsidRPr="007F1703" w:rsidRDefault="007009F5" w:rsidP="00F65D1E">
      <w:pPr>
        <w:jc w:val="both"/>
        <w:rPr>
          <w:rFonts w:ascii="Arial" w:hAnsi="Arial" w:cs="Arial"/>
          <w:noProof/>
          <w:sz w:val="24"/>
          <w:szCs w:val="24"/>
          <w:lang w:eastAsia="en-GB"/>
        </w:rPr>
      </w:pPr>
      <w:r w:rsidRPr="007F1703">
        <w:rPr>
          <w:rFonts w:ascii="Arial" w:hAnsi="Arial" w:cs="Arial"/>
          <w:noProof/>
          <w:sz w:val="24"/>
          <w:szCs w:val="24"/>
          <w:lang w:eastAsia="en-GB"/>
        </w:rPr>
        <w:t xml:space="preserve">A private powder coating and galvanising company stated that the revised exposure limits will almost certainly entail improved PPE. They also advised that there are suitable alternatives for the use of chromate for surface treatment of alluminium, and authorisation </w:t>
      </w:r>
      <w:r w:rsidR="00BA0DCA">
        <w:rPr>
          <w:rFonts w:ascii="Arial" w:hAnsi="Arial" w:cs="Arial"/>
          <w:noProof/>
          <w:sz w:val="24"/>
          <w:szCs w:val="24"/>
          <w:lang w:eastAsia="en-GB"/>
        </w:rPr>
        <w:t xml:space="preserve">[under </w:t>
      </w:r>
      <w:r w:rsidR="00BA0DCA" w:rsidRPr="007F1703">
        <w:rPr>
          <w:rFonts w:ascii="Arial" w:hAnsi="Arial" w:cs="Arial"/>
          <w:noProof/>
          <w:sz w:val="24"/>
          <w:szCs w:val="24"/>
          <w:lang w:eastAsia="en-GB"/>
        </w:rPr>
        <w:t xml:space="preserve">the </w:t>
      </w:r>
      <w:r w:rsidR="00BA0DCA" w:rsidRPr="007F1703">
        <w:rPr>
          <w:rFonts w:ascii="Arial" w:hAnsi="Arial" w:cs="Arial"/>
          <w:bCs/>
          <w:noProof/>
          <w:sz w:val="24"/>
          <w:szCs w:val="24"/>
          <w:lang w:eastAsia="en-GB"/>
        </w:rPr>
        <w:t>R</w:t>
      </w:r>
      <w:r w:rsidR="00BA0DCA" w:rsidRPr="007F1703">
        <w:rPr>
          <w:rFonts w:ascii="Arial" w:hAnsi="Arial" w:cs="Arial"/>
          <w:noProof/>
          <w:sz w:val="24"/>
          <w:szCs w:val="24"/>
          <w:lang w:eastAsia="en-GB"/>
        </w:rPr>
        <w:t xml:space="preserve">egistration, </w:t>
      </w:r>
      <w:r w:rsidR="00BA0DCA" w:rsidRPr="007F1703">
        <w:rPr>
          <w:rFonts w:ascii="Arial" w:hAnsi="Arial" w:cs="Arial"/>
          <w:bCs/>
          <w:noProof/>
          <w:sz w:val="24"/>
          <w:szCs w:val="24"/>
          <w:lang w:eastAsia="en-GB"/>
        </w:rPr>
        <w:t>E</w:t>
      </w:r>
      <w:r w:rsidR="00BA0DCA" w:rsidRPr="007F1703">
        <w:rPr>
          <w:rFonts w:ascii="Arial" w:hAnsi="Arial" w:cs="Arial"/>
          <w:noProof/>
          <w:sz w:val="24"/>
          <w:szCs w:val="24"/>
          <w:lang w:eastAsia="en-GB"/>
        </w:rPr>
        <w:t xml:space="preserve">valuation, </w:t>
      </w:r>
      <w:r w:rsidR="00BA0DCA" w:rsidRPr="007F1703">
        <w:rPr>
          <w:rFonts w:ascii="Arial" w:hAnsi="Arial" w:cs="Arial"/>
          <w:bCs/>
          <w:noProof/>
          <w:sz w:val="24"/>
          <w:szCs w:val="24"/>
          <w:lang w:eastAsia="en-GB"/>
        </w:rPr>
        <w:t>A</w:t>
      </w:r>
      <w:r w:rsidR="00BA0DCA" w:rsidRPr="007F1703">
        <w:rPr>
          <w:rFonts w:ascii="Arial" w:hAnsi="Arial" w:cs="Arial"/>
          <w:noProof/>
          <w:sz w:val="24"/>
          <w:szCs w:val="24"/>
          <w:lang w:eastAsia="en-GB"/>
        </w:rPr>
        <w:t xml:space="preserve">uthorisation &amp; restriction of </w:t>
      </w:r>
      <w:r w:rsidR="00BA0DCA" w:rsidRPr="007F1703">
        <w:rPr>
          <w:rFonts w:ascii="Arial" w:hAnsi="Arial" w:cs="Arial"/>
          <w:bCs/>
          <w:noProof/>
          <w:sz w:val="24"/>
          <w:szCs w:val="24"/>
          <w:lang w:eastAsia="en-GB"/>
        </w:rPr>
        <w:t>Ch</w:t>
      </w:r>
      <w:r w:rsidR="00BA0DCA" w:rsidRPr="007F1703">
        <w:rPr>
          <w:rFonts w:ascii="Arial" w:hAnsi="Arial" w:cs="Arial"/>
          <w:noProof/>
          <w:sz w:val="24"/>
          <w:szCs w:val="24"/>
          <w:lang w:eastAsia="en-GB"/>
        </w:rPr>
        <w:t>emicals</w:t>
      </w:r>
      <w:r w:rsidR="00BA0DCA">
        <w:rPr>
          <w:rFonts w:ascii="Arial" w:hAnsi="Arial" w:cs="Arial"/>
          <w:noProof/>
          <w:sz w:val="24"/>
          <w:szCs w:val="24"/>
          <w:lang w:eastAsia="en-GB"/>
        </w:rPr>
        <w:t xml:space="preserve"> Regulations (REACH)]</w:t>
      </w:r>
      <w:r w:rsidR="00AE2CE5">
        <w:rPr>
          <w:rFonts w:ascii="Arial" w:hAnsi="Arial" w:cs="Arial"/>
          <w:noProof/>
          <w:sz w:val="24"/>
          <w:szCs w:val="24"/>
          <w:lang w:eastAsia="en-GB"/>
        </w:rPr>
        <w:t xml:space="preserve"> </w:t>
      </w:r>
      <w:r w:rsidRPr="007F1703">
        <w:rPr>
          <w:rFonts w:ascii="Arial" w:hAnsi="Arial" w:cs="Arial"/>
          <w:noProof/>
          <w:sz w:val="24"/>
          <w:szCs w:val="24"/>
          <w:lang w:eastAsia="en-GB"/>
        </w:rPr>
        <w:t>should not be given now that alternative technology is available.</w:t>
      </w:r>
    </w:p>
    <w:p w14:paraId="16A65693" w14:textId="2659AF8E" w:rsidR="00332D18" w:rsidRPr="007F1703" w:rsidRDefault="00332D18" w:rsidP="00F65D1E">
      <w:pPr>
        <w:jc w:val="both"/>
        <w:rPr>
          <w:rFonts w:ascii="Arial" w:hAnsi="Arial" w:cs="Arial"/>
          <w:noProof/>
          <w:sz w:val="24"/>
          <w:szCs w:val="24"/>
          <w:lang w:eastAsia="en-GB"/>
        </w:rPr>
      </w:pPr>
      <w:r w:rsidRPr="007F1703">
        <w:rPr>
          <w:rFonts w:ascii="Arial" w:hAnsi="Arial" w:cs="Arial"/>
          <w:noProof/>
          <w:sz w:val="24"/>
          <w:szCs w:val="24"/>
          <w:lang w:eastAsia="en-GB"/>
        </w:rPr>
        <w:t xml:space="preserve">Another </w:t>
      </w:r>
      <w:r w:rsidR="0078751D" w:rsidRPr="007F1703">
        <w:rPr>
          <w:rFonts w:ascii="Arial" w:hAnsi="Arial" w:cs="Arial"/>
          <w:noProof/>
          <w:sz w:val="24"/>
          <w:szCs w:val="24"/>
          <w:lang w:eastAsia="en-GB"/>
        </w:rPr>
        <w:t xml:space="preserve">private company undertaking </w:t>
      </w:r>
      <w:r w:rsidR="00CE4195" w:rsidRPr="007F1703">
        <w:rPr>
          <w:rFonts w:ascii="Arial" w:hAnsi="Arial" w:cs="Arial"/>
          <w:noProof/>
          <w:sz w:val="24"/>
          <w:szCs w:val="24"/>
          <w:lang w:eastAsia="en-GB"/>
        </w:rPr>
        <w:t xml:space="preserve">chrome plating </w:t>
      </w:r>
      <w:r w:rsidR="003921F1" w:rsidRPr="007F1703">
        <w:rPr>
          <w:rFonts w:ascii="Arial" w:hAnsi="Arial" w:cs="Arial"/>
          <w:noProof/>
          <w:sz w:val="24"/>
          <w:szCs w:val="24"/>
          <w:lang w:eastAsia="en-GB"/>
        </w:rPr>
        <w:t xml:space="preserve">thought the </w:t>
      </w:r>
      <w:r w:rsidR="00122F34" w:rsidRPr="007F1703">
        <w:rPr>
          <w:rFonts w:ascii="Arial" w:hAnsi="Arial" w:cs="Arial"/>
          <w:noProof/>
          <w:sz w:val="24"/>
          <w:szCs w:val="24"/>
          <w:lang w:eastAsia="en-GB"/>
        </w:rPr>
        <w:t>costs associat</w:t>
      </w:r>
      <w:r w:rsidR="00C978A9" w:rsidRPr="007F1703">
        <w:rPr>
          <w:rFonts w:ascii="Arial" w:hAnsi="Arial" w:cs="Arial"/>
          <w:noProof/>
          <w:sz w:val="24"/>
          <w:szCs w:val="24"/>
          <w:lang w:eastAsia="en-GB"/>
        </w:rPr>
        <w:t>e</w:t>
      </w:r>
      <w:r w:rsidR="00122F34" w:rsidRPr="007F1703">
        <w:rPr>
          <w:rFonts w:ascii="Arial" w:hAnsi="Arial" w:cs="Arial"/>
          <w:noProof/>
          <w:sz w:val="24"/>
          <w:szCs w:val="24"/>
          <w:lang w:eastAsia="en-GB"/>
        </w:rPr>
        <w:t xml:space="preserve">d for the initial limit </w:t>
      </w:r>
      <w:r w:rsidR="00AD4E0F">
        <w:rPr>
          <w:rFonts w:ascii="Arial" w:hAnsi="Arial" w:cs="Arial"/>
          <w:noProof/>
          <w:sz w:val="24"/>
          <w:szCs w:val="24"/>
          <w:lang w:eastAsia="en-GB"/>
        </w:rPr>
        <w:t xml:space="preserve">to come into effect in 2020 </w:t>
      </w:r>
      <w:r w:rsidR="00122F34" w:rsidRPr="007F1703">
        <w:rPr>
          <w:rFonts w:ascii="Arial" w:hAnsi="Arial" w:cs="Arial"/>
          <w:noProof/>
          <w:sz w:val="24"/>
          <w:szCs w:val="24"/>
          <w:lang w:eastAsia="en-GB"/>
        </w:rPr>
        <w:t xml:space="preserve">would be reasonably affordable, but </w:t>
      </w:r>
      <w:r w:rsidR="00AD4E0F">
        <w:rPr>
          <w:rFonts w:ascii="Arial" w:hAnsi="Arial" w:cs="Arial"/>
          <w:noProof/>
          <w:sz w:val="24"/>
          <w:szCs w:val="24"/>
          <w:lang w:eastAsia="en-GB"/>
        </w:rPr>
        <w:t>was</w:t>
      </w:r>
      <w:r w:rsidR="00AD4E0F" w:rsidRPr="007F1703">
        <w:rPr>
          <w:rFonts w:ascii="Arial" w:hAnsi="Arial" w:cs="Arial"/>
          <w:noProof/>
          <w:sz w:val="24"/>
          <w:szCs w:val="24"/>
          <w:lang w:eastAsia="en-GB"/>
        </w:rPr>
        <w:t xml:space="preserve"> </w:t>
      </w:r>
      <w:r w:rsidR="00122F34" w:rsidRPr="007F1703">
        <w:rPr>
          <w:rFonts w:ascii="Arial" w:hAnsi="Arial" w:cs="Arial"/>
          <w:noProof/>
          <w:sz w:val="24"/>
          <w:szCs w:val="24"/>
          <w:lang w:eastAsia="en-GB"/>
        </w:rPr>
        <w:t xml:space="preserve">concered </w:t>
      </w:r>
      <w:r w:rsidR="001F5B39" w:rsidRPr="007F1703">
        <w:rPr>
          <w:rFonts w:ascii="Arial" w:hAnsi="Arial" w:cs="Arial"/>
          <w:noProof/>
          <w:sz w:val="24"/>
          <w:szCs w:val="24"/>
          <w:lang w:eastAsia="en-GB"/>
        </w:rPr>
        <w:t xml:space="preserve">that the </w:t>
      </w:r>
      <w:r w:rsidR="00AD4E0F">
        <w:rPr>
          <w:rFonts w:ascii="Arial" w:hAnsi="Arial" w:cs="Arial"/>
          <w:noProof/>
          <w:sz w:val="24"/>
          <w:szCs w:val="24"/>
          <w:lang w:eastAsia="en-GB"/>
        </w:rPr>
        <w:t xml:space="preserve">further reduced </w:t>
      </w:r>
      <w:r w:rsidR="001F5B39" w:rsidRPr="007F1703">
        <w:rPr>
          <w:rFonts w:ascii="Arial" w:hAnsi="Arial" w:cs="Arial"/>
          <w:noProof/>
          <w:sz w:val="24"/>
          <w:szCs w:val="24"/>
          <w:lang w:eastAsia="en-GB"/>
        </w:rPr>
        <w:t xml:space="preserve">limit </w:t>
      </w:r>
      <w:r w:rsidR="00AD4E0F">
        <w:rPr>
          <w:rFonts w:ascii="Arial" w:hAnsi="Arial" w:cs="Arial"/>
          <w:noProof/>
          <w:sz w:val="24"/>
          <w:szCs w:val="24"/>
          <w:lang w:eastAsia="en-GB"/>
        </w:rPr>
        <w:t xml:space="preserve">due to be </w:t>
      </w:r>
      <w:r w:rsidR="001F5B39" w:rsidRPr="007F1703">
        <w:rPr>
          <w:rFonts w:ascii="Arial" w:hAnsi="Arial" w:cs="Arial"/>
          <w:noProof/>
          <w:sz w:val="24"/>
          <w:szCs w:val="24"/>
          <w:lang w:eastAsia="en-GB"/>
        </w:rPr>
        <w:t>to be introduced</w:t>
      </w:r>
      <w:r w:rsidR="00AD4E0F">
        <w:rPr>
          <w:rFonts w:ascii="Arial" w:hAnsi="Arial" w:cs="Arial"/>
          <w:noProof/>
          <w:sz w:val="24"/>
          <w:szCs w:val="24"/>
          <w:lang w:eastAsia="en-GB"/>
        </w:rPr>
        <w:t xml:space="preserve"> in 2025</w:t>
      </w:r>
      <w:r w:rsidR="001F5B39" w:rsidRPr="007F1703">
        <w:rPr>
          <w:rFonts w:ascii="Arial" w:hAnsi="Arial" w:cs="Arial"/>
          <w:noProof/>
          <w:sz w:val="24"/>
          <w:szCs w:val="24"/>
          <w:lang w:eastAsia="en-GB"/>
        </w:rPr>
        <w:t xml:space="preserve"> following </w:t>
      </w:r>
      <w:r w:rsidR="00AD4E0F">
        <w:rPr>
          <w:rFonts w:ascii="Arial" w:hAnsi="Arial" w:cs="Arial"/>
          <w:noProof/>
          <w:sz w:val="24"/>
          <w:szCs w:val="24"/>
          <w:lang w:eastAsia="en-GB"/>
        </w:rPr>
        <w:t>a transitional period</w:t>
      </w:r>
      <w:r w:rsidR="001F5B39" w:rsidRPr="007F1703">
        <w:rPr>
          <w:rFonts w:ascii="Arial" w:hAnsi="Arial" w:cs="Arial"/>
          <w:noProof/>
          <w:sz w:val="24"/>
          <w:szCs w:val="24"/>
          <w:lang w:eastAsia="en-GB"/>
        </w:rPr>
        <w:t xml:space="preserve"> would </w:t>
      </w:r>
      <w:r w:rsidR="005367F8" w:rsidRPr="007F1703">
        <w:rPr>
          <w:rFonts w:ascii="Arial" w:hAnsi="Arial" w:cs="Arial"/>
          <w:noProof/>
          <w:sz w:val="24"/>
          <w:szCs w:val="24"/>
          <w:lang w:eastAsia="en-GB"/>
        </w:rPr>
        <w:t>necessitate significant investment</w:t>
      </w:r>
      <w:r w:rsidR="00FA65B3">
        <w:rPr>
          <w:rFonts w:ascii="Arial" w:hAnsi="Arial" w:cs="Arial"/>
          <w:noProof/>
          <w:sz w:val="24"/>
          <w:szCs w:val="24"/>
          <w:lang w:eastAsia="en-GB"/>
        </w:rPr>
        <w:t xml:space="preserve"> and</w:t>
      </w:r>
      <w:r w:rsidR="00AD4E0F" w:rsidRPr="00AD4E0F">
        <w:t xml:space="preserve"> </w:t>
      </w:r>
      <w:r w:rsidR="00AD4E0F" w:rsidRPr="00AD4E0F">
        <w:rPr>
          <w:rFonts w:ascii="Arial" w:hAnsi="Arial" w:cs="Arial"/>
          <w:noProof/>
          <w:sz w:val="24"/>
          <w:szCs w:val="24"/>
          <w:lang w:eastAsia="en-GB"/>
        </w:rPr>
        <w:t>create significant barriers to effective operation of plating processes</w:t>
      </w:r>
      <w:r w:rsidR="00AD4E0F">
        <w:rPr>
          <w:rFonts w:ascii="Arial" w:hAnsi="Arial" w:cs="Arial"/>
          <w:noProof/>
          <w:sz w:val="24"/>
          <w:szCs w:val="24"/>
          <w:lang w:eastAsia="en-GB"/>
        </w:rPr>
        <w:t xml:space="preserve"> such as Chromium plating</w:t>
      </w:r>
      <w:r w:rsidR="005367F8" w:rsidRPr="007F1703">
        <w:rPr>
          <w:rFonts w:ascii="Arial" w:hAnsi="Arial" w:cs="Arial"/>
          <w:noProof/>
          <w:sz w:val="24"/>
          <w:szCs w:val="24"/>
          <w:lang w:eastAsia="en-GB"/>
        </w:rPr>
        <w:t>.</w:t>
      </w:r>
      <w:r w:rsidR="007C5282" w:rsidRPr="007F1703">
        <w:rPr>
          <w:rFonts w:ascii="Arial" w:hAnsi="Arial" w:cs="Arial"/>
          <w:noProof/>
          <w:sz w:val="24"/>
          <w:szCs w:val="24"/>
          <w:lang w:eastAsia="en-GB"/>
        </w:rPr>
        <w:t xml:space="preserve"> </w:t>
      </w:r>
      <w:r w:rsidR="00AD4E0F">
        <w:rPr>
          <w:rFonts w:ascii="Arial" w:hAnsi="Arial" w:cs="Arial"/>
          <w:noProof/>
          <w:sz w:val="24"/>
          <w:szCs w:val="24"/>
          <w:lang w:eastAsia="en-GB"/>
        </w:rPr>
        <w:t xml:space="preserve">It </w:t>
      </w:r>
      <w:r w:rsidR="007C5282" w:rsidRPr="007F1703">
        <w:rPr>
          <w:rFonts w:ascii="Arial" w:hAnsi="Arial" w:cs="Arial"/>
          <w:noProof/>
          <w:sz w:val="24"/>
          <w:szCs w:val="24"/>
          <w:lang w:eastAsia="en-GB"/>
        </w:rPr>
        <w:t>also</w:t>
      </w:r>
      <w:r w:rsidR="00614A00" w:rsidRPr="007F1703">
        <w:rPr>
          <w:rFonts w:ascii="Arial" w:hAnsi="Arial" w:cs="Arial"/>
          <w:noProof/>
          <w:sz w:val="24"/>
          <w:szCs w:val="24"/>
          <w:lang w:eastAsia="en-GB"/>
        </w:rPr>
        <w:t xml:space="preserve"> stated</w:t>
      </w:r>
      <w:r w:rsidR="00AD4E0F">
        <w:rPr>
          <w:rFonts w:ascii="Arial" w:hAnsi="Arial" w:cs="Arial"/>
          <w:noProof/>
          <w:sz w:val="24"/>
          <w:szCs w:val="24"/>
          <w:lang w:eastAsia="en-GB"/>
        </w:rPr>
        <w:t xml:space="preserve"> its view</w:t>
      </w:r>
      <w:r w:rsidR="00614A00" w:rsidRPr="007F1703">
        <w:rPr>
          <w:rFonts w:ascii="Arial" w:hAnsi="Arial" w:cs="Arial"/>
          <w:noProof/>
          <w:sz w:val="24"/>
          <w:szCs w:val="24"/>
          <w:lang w:eastAsia="en-GB"/>
        </w:rPr>
        <w:t xml:space="preserve"> that new measuring equipment would need to be developed </w:t>
      </w:r>
      <w:r w:rsidR="00CB05FA" w:rsidRPr="007F1703">
        <w:rPr>
          <w:rFonts w:ascii="Arial" w:hAnsi="Arial" w:cs="Arial"/>
          <w:noProof/>
          <w:sz w:val="24"/>
          <w:szCs w:val="24"/>
          <w:lang w:eastAsia="en-GB"/>
        </w:rPr>
        <w:t xml:space="preserve">for the lower limit </w:t>
      </w:r>
      <w:r w:rsidR="00614A00" w:rsidRPr="007F1703">
        <w:rPr>
          <w:rFonts w:ascii="Arial" w:hAnsi="Arial" w:cs="Arial"/>
          <w:noProof/>
          <w:sz w:val="24"/>
          <w:szCs w:val="24"/>
          <w:lang w:eastAsia="en-GB"/>
        </w:rPr>
        <w:t>as it is not currently possible to de</w:t>
      </w:r>
      <w:r w:rsidR="00CB05FA" w:rsidRPr="007F1703">
        <w:rPr>
          <w:rFonts w:ascii="Arial" w:hAnsi="Arial" w:cs="Arial"/>
          <w:noProof/>
          <w:sz w:val="24"/>
          <w:szCs w:val="24"/>
          <w:lang w:eastAsia="en-GB"/>
        </w:rPr>
        <w:t xml:space="preserve">tect such a low concentration. </w:t>
      </w:r>
    </w:p>
    <w:p w14:paraId="0653F450" w14:textId="140A5F07" w:rsidR="00180B67" w:rsidRPr="007F1703" w:rsidRDefault="00DE37DC" w:rsidP="00F65D1E">
      <w:pPr>
        <w:jc w:val="both"/>
        <w:rPr>
          <w:rFonts w:ascii="Arial" w:hAnsi="Arial" w:cs="Arial"/>
          <w:noProof/>
          <w:sz w:val="24"/>
          <w:szCs w:val="24"/>
          <w:lang w:eastAsia="en-GB"/>
        </w:rPr>
      </w:pPr>
      <w:r w:rsidRPr="007F1703">
        <w:rPr>
          <w:rFonts w:ascii="Arial" w:hAnsi="Arial" w:cs="Arial"/>
          <w:noProof/>
          <w:sz w:val="24"/>
          <w:szCs w:val="24"/>
          <w:lang w:eastAsia="en-GB"/>
        </w:rPr>
        <w:lastRenderedPageBreak/>
        <w:t xml:space="preserve">A trade association </w:t>
      </w:r>
      <w:r w:rsidR="004F1133" w:rsidRPr="007F1703">
        <w:rPr>
          <w:rFonts w:ascii="Arial" w:hAnsi="Arial" w:cs="Arial"/>
          <w:noProof/>
          <w:sz w:val="24"/>
          <w:szCs w:val="24"/>
          <w:lang w:eastAsia="en-GB"/>
        </w:rPr>
        <w:t xml:space="preserve">also commented </w:t>
      </w:r>
      <w:r w:rsidR="002D06D6" w:rsidRPr="007F1703">
        <w:rPr>
          <w:rFonts w:ascii="Arial" w:hAnsi="Arial" w:cs="Arial"/>
          <w:noProof/>
          <w:sz w:val="24"/>
          <w:szCs w:val="24"/>
          <w:lang w:eastAsia="en-GB"/>
        </w:rPr>
        <w:t>that there would be</w:t>
      </w:r>
      <w:r w:rsidR="004F1133" w:rsidRPr="007F1703">
        <w:rPr>
          <w:rFonts w:ascii="Arial" w:hAnsi="Arial" w:cs="Arial"/>
          <w:noProof/>
          <w:sz w:val="24"/>
          <w:szCs w:val="24"/>
          <w:lang w:eastAsia="en-GB"/>
        </w:rPr>
        <w:t xml:space="preserve"> </w:t>
      </w:r>
      <w:r w:rsidR="002D06D6" w:rsidRPr="007F1703">
        <w:rPr>
          <w:rFonts w:ascii="Arial" w:hAnsi="Arial" w:cs="Arial"/>
          <w:noProof/>
          <w:sz w:val="24"/>
          <w:szCs w:val="24"/>
          <w:lang w:eastAsia="en-GB"/>
        </w:rPr>
        <w:t xml:space="preserve">difficulty in measuring to the </w:t>
      </w:r>
      <w:r w:rsidR="00AD4E0F">
        <w:rPr>
          <w:rFonts w:ascii="Arial" w:hAnsi="Arial" w:cs="Arial"/>
          <w:noProof/>
          <w:sz w:val="24"/>
          <w:szCs w:val="24"/>
          <w:lang w:eastAsia="en-GB"/>
        </w:rPr>
        <w:t xml:space="preserve">2025 </w:t>
      </w:r>
      <w:r w:rsidR="002D06D6" w:rsidRPr="007F1703">
        <w:rPr>
          <w:rFonts w:ascii="Arial" w:hAnsi="Arial" w:cs="Arial"/>
          <w:noProof/>
          <w:sz w:val="24"/>
          <w:szCs w:val="24"/>
          <w:lang w:eastAsia="en-GB"/>
        </w:rPr>
        <w:t>limit.</w:t>
      </w:r>
    </w:p>
    <w:p w14:paraId="7484C39F" w14:textId="5B1ACF1F" w:rsidR="006B61BE" w:rsidRPr="007F1703" w:rsidRDefault="00486B67" w:rsidP="00F65D1E">
      <w:pPr>
        <w:jc w:val="both"/>
        <w:rPr>
          <w:rFonts w:ascii="Arial" w:hAnsi="Arial" w:cs="Arial"/>
          <w:noProof/>
          <w:sz w:val="24"/>
          <w:szCs w:val="24"/>
          <w:lang w:eastAsia="en-GB"/>
        </w:rPr>
      </w:pPr>
      <w:r w:rsidRPr="007F1703">
        <w:rPr>
          <w:rFonts w:ascii="Arial" w:hAnsi="Arial" w:cs="Arial"/>
          <w:noProof/>
          <w:sz w:val="24"/>
          <w:szCs w:val="24"/>
          <w:lang w:eastAsia="en-GB"/>
        </w:rPr>
        <w:t>A</w:t>
      </w:r>
      <w:r w:rsidR="00AD4E0F">
        <w:rPr>
          <w:rFonts w:ascii="Arial" w:hAnsi="Arial" w:cs="Arial"/>
          <w:noProof/>
          <w:sz w:val="24"/>
          <w:szCs w:val="24"/>
          <w:lang w:eastAsia="en-GB"/>
        </w:rPr>
        <w:t>n</w:t>
      </w:r>
      <w:r w:rsidRPr="007F1703">
        <w:rPr>
          <w:rFonts w:ascii="Arial" w:hAnsi="Arial" w:cs="Arial"/>
          <w:noProof/>
          <w:sz w:val="24"/>
          <w:szCs w:val="24"/>
          <w:lang w:eastAsia="en-GB"/>
        </w:rPr>
        <w:t xml:space="preserve"> </w:t>
      </w:r>
      <w:r w:rsidR="00C14C9B" w:rsidRPr="007F1703">
        <w:rPr>
          <w:rFonts w:ascii="Arial" w:hAnsi="Arial" w:cs="Arial"/>
          <w:noProof/>
          <w:sz w:val="24"/>
          <w:szCs w:val="24"/>
          <w:lang w:eastAsia="en-GB"/>
        </w:rPr>
        <w:t xml:space="preserve"> </w:t>
      </w:r>
      <w:r w:rsidRPr="007F1703">
        <w:rPr>
          <w:rFonts w:ascii="Arial" w:hAnsi="Arial" w:cs="Arial"/>
          <w:noProof/>
          <w:sz w:val="24"/>
          <w:szCs w:val="24"/>
          <w:lang w:eastAsia="en-GB"/>
        </w:rPr>
        <w:t xml:space="preserve">organisation </w:t>
      </w:r>
      <w:r w:rsidR="00C14C9B">
        <w:rPr>
          <w:rFonts w:ascii="Arial" w:hAnsi="Arial" w:cs="Arial"/>
          <w:noProof/>
          <w:sz w:val="24"/>
          <w:szCs w:val="24"/>
          <w:lang w:eastAsia="en-GB"/>
        </w:rPr>
        <w:t>repre</w:t>
      </w:r>
      <w:r w:rsidR="00AD4E0F">
        <w:rPr>
          <w:rFonts w:ascii="Arial" w:hAnsi="Arial" w:cs="Arial"/>
          <w:noProof/>
          <w:sz w:val="24"/>
          <w:szCs w:val="24"/>
          <w:lang w:eastAsia="en-GB"/>
        </w:rPr>
        <w:t>s</w:t>
      </w:r>
      <w:r w:rsidR="00C14C9B">
        <w:rPr>
          <w:rFonts w:ascii="Arial" w:hAnsi="Arial" w:cs="Arial"/>
          <w:noProof/>
          <w:sz w:val="24"/>
          <w:szCs w:val="24"/>
          <w:lang w:eastAsia="en-GB"/>
        </w:rPr>
        <w:t xml:space="preserve">enting </w:t>
      </w:r>
      <w:r w:rsidRPr="007F1703">
        <w:rPr>
          <w:rFonts w:ascii="Arial" w:hAnsi="Arial" w:cs="Arial"/>
          <w:noProof/>
          <w:sz w:val="24"/>
          <w:szCs w:val="24"/>
          <w:lang w:eastAsia="en-GB"/>
        </w:rPr>
        <w:t xml:space="preserve"> </w:t>
      </w:r>
      <w:r w:rsidR="000871E1" w:rsidRPr="007F1703">
        <w:rPr>
          <w:rFonts w:ascii="Arial" w:hAnsi="Arial" w:cs="Arial"/>
          <w:noProof/>
          <w:sz w:val="24"/>
          <w:szCs w:val="24"/>
          <w:lang w:eastAsia="en-GB"/>
        </w:rPr>
        <w:t xml:space="preserve">safety and health professionals </w:t>
      </w:r>
      <w:r w:rsidR="006B61BE" w:rsidRPr="007F1703">
        <w:rPr>
          <w:rFonts w:ascii="Arial" w:hAnsi="Arial" w:cs="Arial"/>
          <w:noProof/>
          <w:sz w:val="24"/>
          <w:szCs w:val="24"/>
          <w:lang w:eastAsia="en-GB"/>
        </w:rPr>
        <w:t>believe</w:t>
      </w:r>
      <w:r w:rsidR="00C14C9B">
        <w:rPr>
          <w:rFonts w:ascii="Arial" w:hAnsi="Arial" w:cs="Arial"/>
          <w:noProof/>
          <w:sz w:val="24"/>
          <w:szCs w:val="24"/>
          <w:lang w:eastAsia="en-GB"/>
        </w:rPr>
        <w:t>d</w:t>
      </w:r>
      <w:r w:rsidR="006B61BE" w:rsidRPr="007F1703">
        <w:rPr>
          <w:rFonts w:ascii="Arial" w:hAnsi="Arial" w:cs="Arial"/>
          <w:noProof/>
          <w:sz w:val="24"/>
          <w:szCs w:val="24"/>
          <w:lang w:eastAsia="en-GB"/>
        </w:rPr>
        <w:t xml:space="preserve"> </w:t>
      </w:r>
      <w:r w:rsidR="00C14C9B">
        <w:rPr>
          <w:rFonts w:ascii="Arial" w:hAnsi="Arial" w:cs="Arial"/>
          <w:noProof/>
          <w:sz w:val="24"/>
          <w:szCs w:val="24"/>
          <w:lang w:eastAsia="en-GB"/>
        </w:rPr>
        <w:t xml:space="preserve">that </w:t>
      </w:r>
      <w:r w:rsidR="006B61BE" w:rsidRPr="007F1703">
        <w:rPr>
          <w:rFonts w:ascii="Arial" w:hAnsi="Arial" w:cs="Arial"/>
          <w:noProof/>
          <w:sz w:val="24"/>
          <w:szCs w:val="24"/>
          <w:lang w:eastAsia="en-GB"/>
        </w:rPr>
        <w:t xml:space="preserve">the impact for the revised WEL for Chromium </w:t>
      </w:r>
      <w:r w:rsidR="007A23D2" w:rsidRPr="007F1703">
        <w:rPr>
          <w:rFonts w:ascii="Arial" w:hAnsi="Arial" w:cs="Arial"/>
          <w:noProof/>
          <w:sz w:val="24"/>
          <w:szCs w:val="24"/>
          <w:lang w:eastAsia="en-GB"/>
        </w:rPr>
        <w:t>(</w:t>
      </w:r>
      <w:r w:rsidR="006B61BE" w:rsidRPr="007F1703">
        <w:rPr>
          <w:rFonts w:ascii="Arial" w:hAnsi="Arial" w:cs="Arial"/>
          <w:noProof/>
          <w:sz w:val="24"/>
          <w:szCs w:val="24"/>
          <w:lang w:eastAsia="en-GB"/>
        </w:rPr>
        <w:t>VI</w:t>
      </w:r>
      <w:r w:rsidR="007A23D2" w:rsidRPr="007F1703">
        <w:rPr>
          <w:rFonts w:ascii="Arial" w:hAnsi="Arial" w:cs="Arial"/>
          <w:noProof/>
          <w:sz w:val="24"/>
          <w:szCs w:val="24"/>
          <w:lang w:eastAsia="en-GB"/>
        </w:rPr>
        <w:t>)</w:t>
      </w:r>
      <w:r w:rsidR="006B61BE" w:rsidRPr="007F1703">
        <w:rPr>
          <w:rFonts w:ascii="Arial" w:hAnsi="Arial" w:cs="Arial"/>
          <w:noProof/>
          <w:sz w:val="24"/>
          <w:szCs w:val="24"/>
          <w:lang w:eastAsia="en-GB"/>
        </w:rPr>
        <w:t xml:space="preserve"> process-generated may be underestimated. </w:t>
      </w:r>
      <w:r w:rsidR="00C14C9B">
        <w:rPr>
          <w:rFonts w:ascii="Arial" w:hAnsi="Arial" w:cs="Arial"/>
          <w:noProof/>
          <w:sz w:val="24"/>
          <w:szCs w:val="24"/>
          <w:lang w:eastAsia="en-GB"/>
        </w:rPr>
        <w:t xml:space="preserve">  </w:t>
      </w:r>
      <w:r w:rsidR="00541BDC">
        <w:rPr>
          <w:rFonts w:ascii="Arial" w:hAnsi="Arial" w:cs="Arial"/>
          <w:noProof/>
          <w:sz w:val="24"/>
          <w:szCs w:val="24"/>
          <w:lang w:eastAsia="en-GB"/>
        </w:rPr>
        <w:t xml:space="preserve">It stated </w:t>
      </w:r>
      <w:r w:rsidR="00502490" w:rsidRPr="007F1703">
        <w:rPr>
          <w:rFonts w:ascii="Arial" w:hAnsi="Arial" w:cs="Arial"/>
          <w:noProof/>
          <w:sz w:val="24"/>
          <w:szCs w:val="24"/>
          <w:lang w:eastAsia="en-GB"/>
        </w:rPr>
        <w:t xml:space="preserve"> </w:t>
      </w:r>
      <w:r w:rsidR="00541BDC">
        <w:rPr>
          <w:rFonts w:ascii="Arial" w:hAnsi="Arial" w:cs="Arial"/>
          <w:noProof/>
          <w:sz w:val="24"/>
          <w:szCs w:val="24"/>
          <w:lang w:eastAsia="en-GB"/>
        </w:rPr>
        <w:t xml:space="preserve">its belief </w:t>
      </w:r>
      <w:r w:rsidR="00502490" w:rsidRPr="007F1703">
        <w:rPr>
          <w:rFonts w:ascii="Arial" w:hAnsi="Arial" w:cs="Arial"/>
          <w:noProof/>
          <w:sz w:val="24"/>
          <w:szCs w:val="24"/>
          <w:lang w:eastAsia="en-GB"/>
        </w:rPr>
        <w:t>that l</w:t>
      </w:r>
      <w:r w:rsidR="006B61BE" w:rsidRPr="007F1703">
        <w:rPr>
          <w:rFonts w:ascii="Arial" w:hAnsi="Arial" w:cs="Arial"/>
          <w:noProof/>
          <w:sz w:val="24"/>
          <w:szCs w:val="24"/>
          <w:lang w:eastAsia="en-GB"/>
        </w:rPr>
        <w:t xml:space="preserve">arge-scale indoor welding such as tanks and structures will require the use of more innovative Local Exhaust Ventilation (LEV) solutions, rather than seeking to rely on the use of Respiratory Protective Equipment (RPE) to mitigate exposure. </w:t>
      </w:r>
      <w:r w:rsidR="00541BDC">
        <w:rPr>
          <w:rFonts w:ascii="Arial" w:hAnsi="Arial" w:cs="Arial"/>
          <w:noProof/>
          <w:sz w:val="24"/>
          <w:szCs w:val="24"/>
          <w:lang w:eastAsia="en-GB"/>
        </w:rPr>
        <w:t xml:space="preserve"> </w:t>
      </w:r>
      <w:r w:rsidR="00541BDC" w:rsidRPr="00541BDC">
        <w:rPr>
          <w:rFonts w:ascii="Arial" w:hAnsi="Arial" w:cs="Arial"/>
          <w:noProof/>
          <w:sz w:val="24"/>
          <w:szCs w:val="24"/>
          <w:lang w:eastAsia="en-GB"/>
        </w:rPr>
        <w:t xml:space="preserve">It </w:t>
      </w:r>
      <w:r w:rsidR="00AD4E0F">
        <w:rPr>
          <w:rFonts w:ascii="Arial" w:hAnsi="Arial" w:cs="Arial"/>
          <w:noProof/>
          <w:sz w:val="24"/>
          <w:szCs w:val="24"/>
          <w:lang w:eastAsia="en-GB"/>
        </w:rPr>
        <w:t xml:space="preserve">did not </w:t>
      </w:r>
      <w:r w:rsidR="00541BDC" w:rsidRPr="00541BDC">
        <w:rPr>
          <w:rFonts w:ascii="Arial" w:hAnsi="Arial" w:cs="Arial"/>
          <w:noProof/>
          <w:sz w:val="24"/>
          <w:szCs w:val="24"/>
          <w:lang w:eastAsia="en-GB"/>
        </w:rPr>
        <w:t>provide any specific data to support this view, however.</w:t>
      </w:r>
    </w:p>
    <w:p w14:paraId="3BB0B0B0" w14:textId="03FEFC31" w:rsidR="00AD4E0F" w:rsidRDefault="00BF34D9" w:rsidP="00F65D1E">
      <w:pPr>
        <w:jc w:val="both"/>
        <w:rPr>
          <w:rFonts w:ascii="Arial" w:hAnsi="Arial" w:cs="Arial"/>
          <w:noProof/>
          <w:sz w:val="24"/>
          <w:szCs w:val="24"/>
          <w:lang w:eastAsia="en-GB"/>
        </w:rPr>
      </w:pPr>
      <w:r w:rsidRPr="007F1703">
        <w:rPr>
          <w:rFonts w:ascii="Arial" w:hAnsi="Arial" w:cs="Arial"/>
          <w:b/>
          <w:noProof/>
          <w:sz w:val="24"/>
          <w:szCs w:val="24"/>
          <w:lang w:eastAsia="en-GB"/>
        </w:rPr>
        <w:t>HSE response</w:t>
      </w:r>
      <w:r w:rsidRPr="007F1703">
        <w:rPr>
          <w:rFonts w:ascii="Arial" w:hAnsi="Arial" w:cs="Arial"/>
          <w:noProof/>
          <w:sz w:val="24"/>
          <w:szCs w:val="24"/>
          <w:lang w:eastAsia="en-GB"/>
        </w:rPr>
        <w:t xml:space="preserve"> </w:t>
      </w:r>
      <w:r w:rsidR="00EA10DC" w:rsidRPr="007F1703">
        <w:rPr>
          <w:rFonts w:ascii="Arial" w:hAnsi="Arial" w:cs="Arial"/>
          <w:noProof/>
          <w:sz w:val="24"/>
          <w:szCs w:val="24"/>
          <w:lang w:eastAsia="en-GB"/>
        </w:rPr>
        <w:t>–</w:t>
      </w:r>
      <w:r w:rsidRPr="007F1703">
        <w:rPr>
          <w:rFonts w:ascii="Arial" w:hAnsi="Arial" w:cs="Arial"/>
          <w:noProof/>
          <w:sz w:val="24"/>
          <w:szCs w:val="24"/>
          <w:lang w:eastAsia="en-GB"/>
        </w:rPr>
        <w:t xml:space="preserve"> </w:t>
      </w:r>
      <w:r w:rsidR="00EA10DC" w:rsidRPr="007F1703">
        <w:rPr>
          <w:rFonts w:ascii="Arial" w:hAnsi="Arial" w:cs="Arial"/>
          <w:noProof/>
          <w:sz w:val="24"/>
          <w:szCs w:val="24"/>
          <w:lang w:eastAsia="en-GB"/>
        </w:rPr>
        <w:t xml:space="preserve">Use of </w:t>
      </w:r>
      <w:r w:rsidR="00FE03BB" w:rsidRPr="007F1703">
        <w:rPr>
          <w:rFonts w:ascii="Arial" w:hAnsi="Arial" w:cs="Arial"/>
          <w:noProof/>
          <w:sz w:val="24"/>
          <w:szCs w:val="24"/>
          <w:lang w:eastAsia="en-GB"/>
        </w:rPr>
        <w:t xml:space="preserve">some </w:t>
      </w:r>
      <w:r w:rsidR="00EA10DC" w:rsidRPr="007F1703">
        <w:rPr>
          <w:rFonts w:ascii="Arial" w:hAnsi="Arial" w:cs="Arial"/>
          <w:noProof/>
          <w:sz w:val="24"/>
          <w:szCs w:val="24"/>
          <w:lang w:eastAsia="en-GB"/>
        </w:rPr>
        <w:t>Chromium (VI) Compounds</w:t>
      </w:r>
      <w:r w:rsidR="003055ED" w:rsidRPr="007F1703">
        <w:rPr>
          <w:rFonts w:ascii="Arial" w:hAnsi="Arial" w:cs="Arial"/>
          <w:noProof/>
          <w:sz w:val="24"/>
          <w:szCs w:val="24"/>
          <w:lang w:eastAsia="en-GB"/>
        </w:rPr>
        <w:t xml:space="preserve"> </w:t>
      </w:r>
      <w:r w:rsidR="007E0493" w:rsidRPr="007F1703">
        <w:rPr>
          <w:rFonts w:ascii="Arial" w:hAnsi="Arial" w:cs="Arial"/>
          <w:noProof/>
          <w:sz w:val="24"/>
          <w:szCs w:val="24"/>
          <w:lang w:eastAsia="en-GB"/>
        </w:rPr>
        <w:t>are now restricted under REACH Regulations and require authori</w:t>
      </w:r>
      <w:r w:rsidR="00AD4E0F">
        <w:rPr>
          <w:rFonts w:ascii="Arial" w:hAnsi="Arial" w:cs="Arial"/>
          <w:noProof/>
          <w:sz w:val="24"/>
          <w:szCs w:val="24"/>
          <w:lang w:eastAsia="en-GB"/>
        </w:rPr>
        <w:t>s</w:t>
      </w:r>
      <w:r w:rsidR="007E0493" w:rsidRPr="007F1703">
        <w:rPr>
          <w:rFonts w:ascii="Arial" w:hAnsi="Arial" w:cs="Arial"/>
          <w:noProof/>
          <w:sz w:val="24"/>
          <w:szCs w:val="24"/>
          <w:lang w:eastAsia="en-GB"/>
        </w:rPr>
        <w:t xml:space="preserve">ation for use. </w:t>
      </w:r>
      <w:r w:rsidR="00AD4E0F">
        <w:rPr>
          <w:rFonts w:ascii="Arial" w:hAnsi="Arial" w:cs="Arial"/>
          <w:noProof/>
          <w:sz w:val="24"/>
          <w:szCs w:val="24"/>
          <w:lang w:eastAsia="en-GB"/>
        </w:rPr>
        <w:t xml:space="preserve"> </w:t>
      </w:r>
      <w:r w:rsidR="00B41B92">
        <w:rPr>
          <w:rFonts w:ascii="Arial" w:hAnsi="Arial" w:cs="Arial"/>
          <w:noProof/>
          <w:sz w:val="24"/>
          <w:szCs w:val="24"/>
          <w:lang w:eastAsia="en-GB"/>
        </w:rPr>
        <w:t xml:space="preserve">HSE is </w:t>
      </w:r>
      <w:r w:rsidR="00AD4E0F">
        <w:rPr>
          <w:rFonts w:ascii="Arial" w:hAnsi="Arial" w:cs="Arial"/>
          <w:noProof/>
          <w:sz w:val="24"/>
          <w:szCs w:val="24"/>
          <w:lang w:eastAsia="en-GB"/>
        </w:rPr>
        <w:t>aware of industry concerns regarding the further reduction to the Chromium VI limit included in CMD</w:t>
      </w:r>
      <w:r w:rsidR="00B41B92">
        <w:rPr>
          <w:rFonts w:ascii="Arial" w:hAnsi="Arial" w:cs="Arial"/>
          <w:noProof/>
          <w:sz w:val="24"/>
          <w:szCs w:val="24"/>
          <w:lang w:eastAsia="en-GB"/>
        </w:rPr>
        <w:t xml:space="preserve"> (</w:t>
      </w:r>
      <w:r w:rsidR="00AD4E0F">
        <w:rPr>
          <w:rFonts w:ascii="Arial" w:hAnsi="Arial" w:cs="Arial"/>
          <w:noProof/>
          <w:sz w:val="24"/>
          <w:szCs w:val="24"/>
          <w:lang w:eastAsia="en-GB"/>
        </w:rPr>
        <w:t>and scheduled to come into effect in 2025</w:t>
      </w:r>
      <w:r w:rsidR="00B41B92">
        <w:rPr>
          <w:rFonts w:ascii="Arial" w:hAnsi="Arial" w:cs="Arial"/>
          <w:noProof/>
          <w:sz w:val="24"/>
          <w:szCs w:val="24"/>
          <w:lang w:eastAsia="en-GB"/>
        </w:rPr>
        <w:t>)</w:t>
      </w:r>
      <w:r w:rsidR="00AD4E0F">
        <w:rPr>
          <w:rFonts w:ascii="Arial" w:hAnsi="Arial" w:cs="Arial"/>
          <w:noProof/>
          <w:sz w:val="24"/>
          <w:szCs w:val="24"/>
          <w:lang w:eastAsia="en-GB"/>
        </w:rPr>
        <w:t xml:space="preserve">.  </w:t>
      </w:r>
      <w:r w:rsidR="007B28BF" w:rsidRPr="007B28BF">
        <w:rPr>
          <w:rFonts w:ascii="Arial" w:hAnsi="Arial" w:cs="Arial"/>
          <w:noProof/>
          <w:sz w:val="24"/>
          <w:szCs w:val="24"/>
          <w:lang w:eastAsia="en-GB"/>
        </w:rPr>
        <w:t>This further lower limit</w:t>
      </w:r>
      <w:r w:rsidR="00596F4F">
        <w:rPr>
          <w:rFonts w:ascii="Arial" w:hAnsi="Arial" w:cs="Arial"/>
          <w:noProof/>
          <w:sz w:val="24"/>
          <w:szCs w:val="24"/>
          <w:lang w:eastAsia="en-GB"/>
        </w:rPr>
        <w:t xml:space="preserve"> </w:t>
      </w:r>
      <w:r w:rsidR="007B28BF" w:rsidRPr="007B28BF">
        <w:rPr>
          <w:rFonts w:ascii="Arial" w:hAnsi="Arial" w:cs="Arial"/>
          <w:noProof/>
          <w:sz w:val="24"/>
          <w:szCs w:val="24"/>
          <w:lang w:eastAsia="en-GB"/>
        </w:rPr>
        <w:t>was not the subject of this consultation and will be considered seperately at a later date.</w:t>
      </w:r>
    </w:p>
    <w:p w14:paraId="6D6EA829" w14:textId="234DD502" w:rsidR="000476A7" w:rsidRPr="007F1703" w:rsidRDefault="005A38D8" w:rsidP="00F65D1E">
      <w:pPr>
        <w:jc w:val="both"/>
        <w:rPr>
          <w:rFonts w:ascii="Arial" w:hAnsi="Arial" w:cs="Arial"/>
          <w:noProof/>
          <w:sz w:val="24"/>
          <w:szCs w:val="24"/>
          <w:lang w:eastAsia="en-GB"/>
        </w:rPr>
      </w:pPr>
      <w:r w:rsidRPr="007F1703">
        <w:rPr>
          <w:rFonts w:ascii="Arial" w:hAnsi="Arial" w:cs="Arial"/>
          <w:b/>
          <w:noProof/>
          <w:sz w:val="24"/>
          <w:szCs w:val="24"/>
          <w:lang w:eastAsia="en-GB"/>
        </w:rPr>
        <w:t>Respirable Crystalline Silica</w:t>
      </w:r>
      <w:r w:rsidR="0033506F" w:rsidRPr="007F1703">
        <w:rPr>
          <w:rFonts w:ascii="Arial" w:hAnsi="Arial" w:cs="Arial"/>
          <w:b/>
          <w:noProof/>
          <w:sz w:val="24"/>
          <w:szCs w:val="24"/>
          <w:lang w:eastAsia="en-GB"/>
        </w:rPr>
        <w:t xml:space="preserve"> (RCS)</w:t>
      </w:r>
      <w:r w:rsidRPr="007F1703">
        <w:rPr>
          <w:rFonts w:ascii="Arial" w:hAnsi="Arial" w:cs="Arial"/>
          <w:noProof/>
          <w:sz w:val="24"/>
          <w:szCs w:val="24"/>
          <w:lang w:eastAsia="en-GB"/>
        </w:rPr>
        <w:t xml:space="preserve"> </w:t>
      </w:r>
      <w:r w:rsidR="00706B0C" w:rsidRPr="007F1703">
        <w:rPr>
          <w:rFonts w:ascii="Arial" w:hAnsi="Arial" w:cs="Arial"/>
          <w:noProof/>
          <w:sz w:val="24"/>
          <w:szCs w:val="24"/>
          <w:lang w:eastAsia="en-GB"/>
        </w:rPr>
        <w:t>–</w:t>
      </w:r>
      <w:r w:rsidRPr="007F1703">
        <w:rPr>
          <w:rFonts w:ascii="Arial" w:hAnsi="Arial" w:cs="Arial"/>
          <w:noProof/>
          <w:sz w:val="24"/>
          <w:szCs w:val="24"/>
          <w:lang w:eastAsia="en-GB"/>
        </w:rPr>
        <w:t xml:space="preserve"> </w:t>
      </w:r>
      <w:r w:rsidR="009753BA">
        <w:rPr>
          <w:rFonts w:ascii="Arial" w:hAnsi="Arial" w:cs="Arial"/>
          <w:noProof/>
          <w:sz w:val="24"/>
          <w:szCs w:val="24"/>
          <w:lang w:eastAsia="en-GB"/>
        </w:rPr>
        <w:t xml:space="preserve">Although the </w:t>
      </w:r>
      <w:r w:rsidR="00284BA4">
        <w:rPr>
          <w:rFonts w:ascii="Arial" w:hAnsi="Arial" w:cs="Arial"/>
          <w:noProof/>
          <w:sz w:val="24"/>
          <w:szCs w:val="24"/>
          <w:lang w:eastAsia="en-GB"/>
        </w:rPr>
        <w:t xml:space="preserve">GB </w:t>
      </w:r>
      <w:r w:rsidR="009753BA">
        <w:rPr>
          <w:rFonts w:ascii="Arial" w:hAnsi="Arial" w:cs="Arial"/>
          <w:noProof/>
          <w:sz w:val="24"/>
          <w:szCs w:val="24"/>
          <w:lang w:eastAsia="en-GB"/>
        </w:rPr>
        <w:t xml:space="preserve">WEL for </w:t>
      </w:r>
      <w:r w:rsidR="00284BA4">
        <w:rPr>
          <w:rFonts w:ascii="Arial" w:hAnsi="Arial" w:cs="Arial"/>
          <w:noProof/>
          <w:sz w:val="24"/>
          <w:szCs w:val="24"/>
          <w:lang w:eastAsia="en-GB"/>
        </w:rPr>
        <w:t xml:space="preserve">process-generated </w:t>
      </w:r>
      <w:r w:rsidR="009753BA">
        <w:rPr>
          <w:rFonts w:ascii="Arial" w:hAnsi="Arial" w:cs="Arial"/>
          <w:noProof/>
          <w:sz w:val="24"/>
          <w:szCs w:val="24"/>
          <w:lang w:eastAsia="en-GB"/>
        </w:rPr>
        <w:t>RCS will not change</w:t>
      </w:r>
      <w:r w:rsidR="00284BA4">
        <w:rPr>
          <w:rFonts w:ascii="Arial" w:hAnsi="Arial" w:cs="Arial"/>
          <w:noProof/>
          <w:sz w:val="24"/>
          <w:szCs w:val="24"/>
          <w:lang w:eastAsia="en-GB"/>
        </w:rPr>
        <w:t xml:space="preserve">, RCS has been added to the CMD as a carcinogen and the entry in EH40/2005 will be noted to reflect this.  </w:t>
      </w:r>
      <w:r w:rsidR="00706B0C" w:rsidRPr="007F1703">
        <w:rPr>
          <w:rFonts w:ascii="Arial" w:hAnsi="Arial" w:cs="Arial"/>
          <w:noProof/>
          <w:sz w:val="24"/>
          <w:szCs w:val="24"/>
          <w:lang w:eastAsia="en-GB"/>
        </w:rPr>
        <w:t xml:space="preserve">A </w:t>
      </w:r>
      <w:r w:rsidR="00284BA4">
        <w:rPr>
          <w:rFonts w:ascii="Arial" w:hAnsi="Arial" w:cs="Arial"/>
          <w:noProof/>
          <w:sz w:val="24"/>
          <w:szCs w:val="24"/>
          <w:lang w:eastAsia="en-GB"/>
        </w:rPr>
        <w:t>t</w:t>
      </w:r>
      <w:r w:rsidR="00284BA4" w:rsidRPr="007F1703">
        <w:rPr>
          <w:rFonts w:ascii="Arial" w:hAnsi="Arial" w:cs="Arial"/>
          <w:noProof/>
          <w:sz w:val="24"/>
          <w:szCs w:val="24"/>
          <w:lang w:eastAsia="en-GB"/>
        </w:rPr>
        <w:t xml:space="preserve">rade </w:t>
      </w:r>
      <w:r w:rsidR="00284BA4">
        <w:rPr>
          <w:rFonts w:ascii="Arial" w:hAnsi="Arial" w:cs="Arial"/>
          <w:noProof/>
          <w:sz w:val="24"/>
          <w:szCs w:val="24"/>
          <w:lang w:eastAsia="en-GB"/>
        </w:rPr>
        <w:t>a</w:t>
      </w:r>
      <w:r w:rsidR="00284BA4" w:rsidRPr="007F1703">
        <w:rPr>
          <w:rFonts w:ascii="Arial" w:hAnsi="Arial" w:cs="Arial"/>
          <w:noProof/>
          <w:sz w:val="24"/>
          <w:szCs w:val="24"/>
          <w:lang w:eastAsia="en-GB"/>
        </w:rPr>
        <w:t xml:space="preserve">ssociation </w:t>
      </w:r>
      <w:r w:rsidR="009753BA">
        <w:rPr>
          <w:rFonts w:ascii="Arial" w:hAnsi="Arial" w:cs="Arial"/>
          <w:noProof/>
          <w:sz w:val="24"/>
          <w:szCs w:val="24"/>
          <w:lang w:eastAsia="en-GB"/>
        </w:rPr>
        <w:t xml:space="preserve">was </w:t>
      </w:r>
      <w:r w:rsidR="0092792E" w:rsidRPr="007F1703">
        <w:rPr>
          <w:rFonts w:ascii="Arial" w:hAnsi="Arial" w:cs="Arial"/>
          <w:noProof/>
          <w:sz w:val="24"/>
          <w:szCs w:val="24"/>
          <w:lang w:eastAsia="en-GB"/>
        </w:rPr>
        <w:t xml:space="preserve"> concerned </w:t>
      </w:r>
      <w:r w:rsidR="009753BA">
        <w:rPr>
          <w:rFonts w:ascii="Arial" w:hAnsi="Arial" w:cs="Arial"/>
          <w:noProof/>
          <w:sz w:val="24"/>
          <w:szCs w:val="24"/>
          <w:lang w:eastAsia="en-GB"/>
        </w:rPr>
        <w:t xml:space="preserve">that adding a ‘cancer’ notation to the RCS entry in EH40/2005 </w:t>
      </w:r>
      <w:r w:rsidR="0092792E" w:rsidRPr="007F1703">
        <w:rPr>
          <w:rFonts w:ascii="Arial" w:hAnsi="Arial" w:cs="Arial"/>
          <w:noProof/>
          <w:sz w:val="24"/>
          <w:szCs w:val="24"/>
          <w:lang w:eastAsia="en-GB"/>
        </w:rPr>
        <w:t xml:space="preserve">  </w:t>
      </w:r>
      <w:r w:rsidR="009753BA">
        <w:rPr>
          <w:rFonts w:ascii="Arial" w:hAnsi="Arial" w:cs="Arial"/>
          <w:noProof/>
          <w:sz w:val="24"/>
          <w:szCs w:val="24"/>
          <w:lang w:eastAsia="en-GB"/>
        </w:rPr>
        <w:t xml:space="preserve">would </w:t>
      </w:r>
      <w:r w:rsidR="0092792E" w:rsidRPr="007F1703">
        <w:rPr>
          <w:rFonts w:ascii="Arial" w:hAnsi="Arial" w:cs="Arial"/>
          <w:noProof/>
          <w:sz w:val="24"/>
          <w:szCs w:val="24"/>
          <w:lang w:eastAsia="en-GB"/>
        </w:rPr>
        <w:t xml:space="preserve">impact the industry </w:t>
      </w:r>
      <w:r w:rsidR="009753BA">
        <w:rPr>
          <w:rFonts w:ascii="Arial" w:hAnsi="Arial" w:cs="Arial"/>
          <w:noProof/>
          <w:sz w:val="24"/>
          <w:szCs w:val="24"/>
          <w:lang w:eastAsia="en-GB"/>
        </w:rPr>
        <w:t xml:space="preserve">e.g. </w:t>
      </w:r>
      <w:r w:rsidR="00284BA4">
        <w:rPr>
          <w:rFonts w:ascii="Arial" w:hAnsi="Arial" w:cs="Arial"/>
          <w:noProof/>
          <w:sz w:val="24"/>
          <w:szCs w:val="24"/>
          <w:lang w:eastAsia="en-GB"/>
        </w:rPr>
        <w:t xml:space="preserve">it could be </w:t>
      </w:r>
      <w:r w:rsidR="009753BA">
        <w:rPr>
          <w:rFonts w:ascii="Arial" w:hAnsi="Arial" w:cs="Arial"/>
          <w:noProof/>
          <w:sz w:val="24"/>
          <w:szCs w:val="24"/>
          <w:lang w:eastAsia="en-GB"/>
        </w:rPr>
        <w:t xml:space="preserve">used by </w:t>
      </w:r>
      <w:r w:rsidRPr="007F1703">
        <w:rPr>
          <w:rFonts w:ascii="Arial" w:hAnsi="Arial" w:cs="Arial"/>
          <w:noProof/>
          <w:sz w:val="24"/>
          <w:szCs w:val="24"/>
          <w:lang w:eastAsia="en-GB"/>
        </w:rPr>
        <w:t>anti-quarrying pressure groups when companies are seeking planning permission for quarry working in areas where RCS will be generated</w:t>
      </w:r>
      <w:r w:rsidR="00EF68AB" w:rsidRPr="007F1703">
        <w:rPr>
          <w:rFonts w:ascii="Arial" w:hAnsi="Arial" w:cs="Arial"/>
          <w:noProof/>
          <w:sz w:val="24"/>
          <w:szCs w:val="24"/>
          <w:lang w:eastAsia="en-GB"/>
        </w:rPr>
        <w:t xml:space="preserve">. They are also worried about </w:t>
      </w:r>
      <w:r w:rsidRPr="007F1703">
        <w:rPr>
          <w:rFonts w:ascii="Arial" w:hAnsi="Arial" w:cs="Arial"/>
          <w:noProof/>
          <w:sz w:val="24"/>
          <w:szCs w:val="24"/>
          <w:lang w:eastAsia="en-GB"/>
        </w:rPr>
        <w:t xml:space="preserve">public relations as the general public may become alarmed that </w:t>
      </w:r>
      <w:r w:rsidR="00E210BC">
        <w:rPr>
          <w:rFonts w:ascii="Arial" w:hAnsi="Arial" w:cs="Arial"/>
          <w:noProof/>
          <w:sz w:val="24"/>
          <w:szCs w:val="24"/>
          <w:lang w:eastAsia="en-GB"/>
        </w:rPr>
        <w:t>any</w:t>
      </w:r>
      <w:r w:rsidRPr="007F1703">
        <w:rPr>
          <w:rFonts w:ascii="Arial" w:hAnsi="Arial" w:cs="Arial"/>
          <w:noProof/>
          <w:sz w:val="24"/>
          <w:szCs w:val="24"/>
          <w:lang w:eastAsia="en-GB"/>
        </w:rPr>
        <w:t xml:space="preserve"> quarry close by is working minerals that are categorised as human carcinogens.</w:t>
      </w:r>
    </w:p>
    <w:p w14:paraId="49361C8A" w14:textId="681D9746" w:rsidR="005A38D8" w:rsidRPr="007F1703" w:rsidRDefault="00277073" w:rsidP="00F65D1E">
      <w:pPr>
        <w:jc w:val="both"/>
        <w:rPr>
          <w:rFonts w:ascii="Arial" w:hAnsi="Arial" w:cs="Arial"/>
          <w:noProof/>
          <w:sz w:val="24"/>
          <w:szCs w:val="24"/>
          <w:lang w:eastAsia="en-GB"/>
        </w:rPr>
      </w:pPr>
      <w:r w:rsidRPr="007F1703">
        <w:rPr>
          <w:rFonts w:ascii="Arial" w:hAnsi="Arial" w:cs="Arial"/>
          <w:b/>
          <w:noProof/>
          <w:sz w:val="24"/>
          <w:szCs w:val="24"/>
          <w:lang w:eastAsia="en-GB"/>
        </w:rPr>
        <w:t>HSE response</w:t>
      </w:r>
      <w:r w:rsidRPr="007F1703">
        <w:rPr>
          <w:rFonts w:ascii="Arial" w:hAnsi="Arial" w:cs="Arial"/>
          <w:noProof/>
          <w:sz w:val="24"/>
          <w:szCs w:val="24"/>
          <w:lang w:eastAsia="en-GB"/>
        </w:rPr>
        <w:t xml:space="preserve"> - </w:t>
      </w:r>
      <w:r w:rsidR="001359E7" w:rsidRPr="007F1703">
        <w:rPr>
          <w:rFonts w:ascii="Arial" w:hAnsi="Arial" w:cs="Arial"/>
          <w:noProof/>
          <w:sz w:val="24"/>
          <w:szCs w:val="24"/>
          <w:lang w:eastAsia="en-GB"/>
        </w:rPr>
        <w:t xml:space="preserve">RCS </w:t>
      </w:r>
      <w:r w:rsidR="009753BA">
        <w:rPr>
          <w:rFonts w:ascii="Arial" w:hAnsi="Arial" w:cs="Arial"/>
          <w:noProof/>
          <w:sz w:val="24"/>
          <w:szCs w:val="24"/>
          <w:lang w:eastAsia="en-GB"/>
        </w:rPr>
        <w:t xml:space="preserve">generated by a work process </w:t>
      </w:r>
      <w:r w:rsidR="001359E7" w:rsidRPr="007F1703">
        <w:rPr>
          <w:rFonts w:ascii="Arial" w:hAnsi="Arial" w:cs="Arial"/>
          <w:noProof/>
          <w:sz w:val="24"/>
          <w:szCs w:val="24"/>
          <w:lang w:eastAsia="en-GB"/>
        </w:rPr>
        <w:t xml:space="preserve">is already </w:t>
      </w:r>
      <w:r w:rsidR="009753BA">
        <w:rPr>
          <w:rFonts w:ascii="Arial" w:hAnsi="Arial" w:cs="Arial"/>
          <w:noProof/>
          <w:sz w:val="24"/>
          <w:szCs w:val="24"/>
          <w:lang w:eastAsia="en-GB"/>
        </w:rPr>
        <w:t xml:space="preserve">considered to </w:t>
      </w:r>
      <w:r w:rsidR="00284BA4">
        <w:rPr>
          <w:rFonts w:ascii="Arial" w:hAnsi="Arial" w:cs="Arial"/>
          <w:noProof/>
          <w:sz w:val="24"/>
          <w:szCs w:val="24"/>
          <w:lang w:eastAsia="en-GB"/>
        </w:rPr>
        <w:t xml:space="preserve">cause lung cancer </w:t>
      </w:r>
      <w:r w:rsidR="001359E7" w:rsidRPr="007F1703">
        <w:rPr>
          <w:rFonts w:ascii="Arial" w:hAnsi="Arial" w:cs="Arial"/>
          <w:noProof/>
          <w:sz w:val="24"/>
          <w:szCs w:val="24"/>
          <w:lang w:eastAsia="en-GB"/>
        </w:rPr>
        <w:t xml:space="preserve"> and</w:t>
      </w:r>
      <w:r w:rsidR="00284BA4">
        <w:rPr>
          <w:rFonts w:ascii="Arial" w:hAnsi="Arial" w:cs="Arial"/>
          <w:noProof/>
          <w:sz w:val="24"/>
          <w:szCs w:val="24"/>
          <w:lang w:eastAsia="en-GB"/>
        </w:rPr>
        <w:t xml:space="preserve"> </w:t>
      </w:r>
      <w:r w:rsidR="001359E7" w:rsidRPr="007F1703">
        <w:rPr>
          <w:rFonts w:ascii="Arial" w:hAnsi="Arial" w:cs="Arial"/>
          <w:noProof/>
          <w:sz w:val="24"/>
          <w:szCs w:val="24"/>
          <w:lang w:eastAsia="en-GB"/>
        </w:rPr>
        <w:t xml:space="preserve">needs to be </w:t>
      </w:r>
      <w:r w:rsidR="008E02CA" w:rsidRPr="007F1703">
        <w:rPr>
          <w:rFonts w:ascii="Arial" w:hAnsi="Arial" w:cs="Arial"/>
          <w:noProof/>
          <w:sz w:val="24"/>
          <w:szCs w:val="24"/>
          <w:lang w:eastAsia="en-GB"/>
        </w:rPr>
        <w:t xml:space="preserve">controlled accordingly.  </w:t>
      </w:r>
      <w:r w:rsidR="00284BA4">
        <w:rPr>
          <w:rFonts w:ascii="Arial" w:hAnsi="Arial" w:cs="Arial"/>
          <w:noProof/>
          <w:sz w:val="24"/>
          <w:szCs w:val="24"/>
          <w:lang w:eastAsia="en-GB"/>
        </w:rPr>
        <w:t xml:space="preserve">The World Health Organisation’ </w:t>
      </w:r>
      <w:r w:rsidR="00284BA4" w:rsidRPr="00284BA4">
        <w:rPr>
          <w:rFonts w:ascii="Arial" w:hAnsi="Arial" w:cs="Arial"/>
          <w:noProof/>
          <w:sz w:val="24"/>
          <w:szCs w:val="24"/>
          <w:lang w:eastAsia="en-GB"/>
        </w:rPr>
        <w:t xml:space="preserve">International Agency for Research on Cancer (IARC) has </w:t>
      </w:r>
      <w:r w:rsidR="00284BA4">
        <w:rPr>
          <w:rFonts w:ascii="Arial" w:hAnsi="Arial" w:cs="Arial"/>
          <w:noProof/>
          <w:sz w:val="24"/>
          <w:szCs w:val="24"/>
          <w:lang w:eastAsia="en-GB"/>
        </w:rPr>
        <w:t>given RCS a Group 1 classification (</w:t>
      </w:r>
      <w:r w:rsidR="00284BA4" w:rsidRPr="00284BA4">
        <w:rPr>
          <w:rFonts w:ascii="Arial" w:hAnsi="Arial" w:cs="Arial"/>
          <w:noProof/>
          <w:sz w:val="24"/>
          <w:szCs w:val="24"/>
          <w:lang w:eastAsia="en-GB"/>
        </w:rPr>
        <w:t>agent is carcinogenic to humans</w:t>
      </w:r>
      <w:r w:rsidR="00284BA4">
        <w:rPr>
          <w:rFonts w:ascii="Arial" w:hAnsi="Arial" w:cs="Arial"/>
          <w:noProof/>
          <w:sz w:val="24"/>
          <w:szCs w:val="24"/>
          <w:lang w:eastAsia="en-GB"/>
        </w:rPr>
        <w:t xml:space="preserve">).  </w:t>
      </w:r>
      <w:r w:rsidR="008E02CA" w:rsidRPr="007F1703">
        <w:rPr>
          <w:rFonts w:ascii="Arial" w:hAnsi="Arial" w:cs="Arial"/>
          <w:noProof/>
          <w:sz w:val="24"/>
          <w:szCs w:val="24"/>
          <w:lang w:eastAsia="en-GB"/>
        </w:rPr>
        <w:t xml:space="preserve">The </w:t>
      </w:r>
      <w:r w:rsidR="001C3F06">
        <w:rPr>
          <w:rFonts w:ascii="Arial" w:hAnsi="Arial" w:cs="Arial"/>
          <w:noProof/>
          <w:sz w:val="24"/>
          <w:szCs w:val="24"/>
          <w:lang w:eastAsia="en-GB"/>
        </w:rPr>
        <w:t>WEL</w:t>
      </w:r>
      <w:r w:rsidR="001C3F06" w:rsidRPr="007F1703">
        <w:rPr>
          <w:rFonts w:ascii="Arial" w:hAnsi="Arial" w:cs="Arial"/>
          <w:noProof/>
          <w:sz w:val="24"/>
          <w:szCs w:val="24"/>
          <w:lang w:eastAsia="en-GB"/>
        </w:rPr>
        <w:t xml:space="preserve"> </w:t>
      </w:r>
      <w:r w:rsidR="008E02CA" w:rsidRPr="007F1703">
        <w:rPr>
          <w:rFonts w:ascii="Arial" w:hAnsi="Arial" w:cs="Arial"/>
          <w:noProof/>
          <w:sz w:val="24"/>
          <w:szCs w:val="24"/>
          <w:lang w:eastAsia="en-GB"/>
        </w:rPr>
        <w:t>for RCS has not changed</w:t>
      </w:r>
      <w:r w:rsidR="00860AB1" w:rsidRPr="007F1703">
        <w:rPr>
          <w:rFonts w:ascii="Arial" w:hAnsi="Arial" w:cs="Arial"/>
          <w:noProof/>
          <w:sz w:val="24"/>
          <w:szCs w:val="24"/>
          <w:lang w:eastAsia="en-GB"/>
        </w:rPr>
        <w:t>.</w:t>
      </w:r>
      <w:r w:rsidR="001359E7" w:rsidRPr="007F1703">
        <w:rPr>
          <w:rFonts w:ascii="Arial" w:hAnsi="Arial" w:cs="Arial"/>
          <w:noProof/>
          <w:sz w:val="24"/>
          <w:szCs w:val="24"/>
          <w:lang w:eastAsia="en-GB"/>
        </w:rPr>
        <w:t xml:space="preserve"> </w:t>
      </w:r>
      <w:r w:rsidR="005A38D8" w:rsidRPr="007F1703">
        <w:rPr>
          <w:rFonts w:ascii="Arial" w:hAnsi="Arial" w:cs="Arial"/>
          <w:noProof/>
          <w:sz w:val="24"/>
          <w:szCs w:val="24"/>
          <w:lang w:eastAsia="en-GB"/>
        </w:rPr>
        <w:t xml:space="preserve"> </w:t>
      </w:r>
    </w:p>
    <w:p w14:paraId="3BF1A67C" w14:textId="77777777" w:rsidR="005A38D8" w:rsidRPr="007F1703" w:rsidRDefault="005A38D8" w:rsidP="005A38D8">
      <w:pPr>
        <w:rPr>
          <w:rFonts w:ascii="Arial" w:hAnsi="Arial" w:cs="Arial"/>
          <w:b/>
          <w:noProof/>
          <w:sz w:val="24"/>
          <w:szCs w:val="24"/>
          <w:lang w:eastAsia="en-GB"/>
        </w:rPr>
      </w:pPr>
      <w:r w:rsidRPr="007F1703">
        <w:rPr>
          <w:rFonts w:ascii="Arial" w:hAnsi="Arial" w:cs="Arial"/>
          <w:b/>
          <w:noProof/>
          <w:sz w:val="24"/>
          <w:szCs w:val="24"/>
          <w:lang w:eastAsia="en-GB"/>
        </w:rPr>
        <w:t xml:space="preserve">6 (18%) </w:t>
      </w:r>
      <w:r w:rsidR="00DB5015" w:rsidRPr="007F1703">
        <w:rPr>
          <w:rFonts w:ascii="Arial" w:hAnsi="Arial" w:cs="Arial"/>
          <w:b/>
          <w:noProof/>
          <w:sz w:val="24"/>
          <w:szCs w:val="24"/>
          <w:lang w:eastAsia="en-GB"/>
        </w:rPr>
        <w:t>R</w:t>
      </w:r>
      <w:r w:rsidRPr="007F1703">
        <w:rPr>
          <w:rFonts w:ascii="Arial" w:hAnsi="Arial" w:cs="Arial"/>
          <w:b/>
          <w:noProof/>
          <w:sz w:val="24"/>
          <w:szCs w:val="24"/>
          <w:lang w:eastAsia="en-GB"/>
        </w:rPr>
        <w:t xml:space="preserve">espondents answered ‘Unsure/don’t know’ to Q1. </w:t>
      </w:r>
    </w:p>
    <w:p w14:paraId="408CC068" w14:textId="77777777" w:rsidR="00DB5015" w:rsidRPr="007F1703" w:rsidRDefault="00DB5015" w:rsidP="005A38D8">
      <w:pPr>
        <w:rPr>
          <w:rFonts w:ascii="Arial" w:hAnsi="Arial" w:cs="Arial"/>
          <w:b/>
          <w:noProof/>
          <w:sz w:val="24"/>
          <w:szCs w:val="24"/>
          <w:lang w:eastAsia="en-GB"/>
        </w:rPr>
      </w:pPr>
      <w:r w:rsidRPr="007F1703">
        <w:rPr>
          <w:rFonts w:ascii="Arial" w:hAnsi="Arial" w:cs="Arial"/>
          <w:b/>
          <w:noProof/>
          <w:sz w:val="24"/>
          <w:szCs w:val="24"/>
          <w:lang w:eastAsia="en-GB"/>
        </w:rPr>
        <w:t>2 (6%) Did not answer Q.1</w:t>
      </w:r>
    </w:p>
    <w:p w14:paraId="0712E2F8" w14:textId="1183DB63" w:rsidR="005A38D8" w:rsidRPr="002B6625" w:rsidRDefault="005A38D8" w:rsidP="009D5C9E">
      <w:pPr>
        <w:rPr>
          <w:rFonts w:ascii="Arial" w:eastAsia="Times New Roman" w:hAnsi="Arial" w:cs="Arial"/>
          <w:bCs/>
          <w:i/>
          <w:sz w:val="24"/>
          <w:szCs w:val="24"/>
        </w:rPr>
      </w:pPr>
      <w:r w:rsidRPr="007F1703">
        <w:rPr>
          <w:rFonts w:ascii="Arial" w:hAnsi="Arial" w:cs="Arial"/>
          <w:b/>
          <w:sz w:val="24"/>
          <w:szCs w:val="24"/>
        </w:rPr>
        <w:t xml:space="preserve"> </w:t>
      </w:r>
      <w:r w:rsidRPr="007F1703">
        <w:rPr>
          <w:rFonts w:ascii="Arial" w:eastAsia="Times New Roman" w:hAnsi="Arial" w:cs="Arial"/>
          <w:b/>
          <w:bCs/>
          <w:sz w:val="24"/>
          <w:szCs w:val="24"/>
        </w:rPr>
        <w:t xml:space="preserve">Q.2 </w:t>
      </w:r>
      <w:r w:rsidRPr="002B6625">
        <w:rPr>
          <w:rFonts w:ascii="Arial" w:eastAsia="Times New Roman" w:hAnsi="Arial" w:cs="Arial"/>
          <w:bCs/>
          <w:i/>
          <w:sz w:val="24"/>
          <w:szCs w:val="24"/>
        </w:rPr>
        <w:t xml:space="preserve">The new WELs will be introduced in an update of the HSE publication EH40/2005 </w:t>
      </w:r>
      <w:hyperlink r:id="rId11" w:history="1">
        <w:r w:rsidR="00122246" w:rsidRPr="002B6625">
          <w:rPr>
            <w:rFonts w:ascii="Arial" w:hAnsi="Arial" w:cs="Arial"/>
            <w:bCs/>
            <w:i/>
            <w:sz w:val="24"/>
            <w:szCs w:val="24"/>
          </w:rPr>
          <w:t>http://www.hse.gov.uk/pubns/priced/eh40.pdf</w:t>
        </w:r>
      </w:hyperlink>
      <w:r w:rsidRPr="002B6625">
        <w:rPr>
          <w:rFonts w:ascii="Arial" w:eastAsia="Times New Roman" w:hAnsi="Arial" w:cs="Arial"/>
          <w:bCs/>
          <w:i/>
          <w:sz w:val="24"/>
          <w:szCs w:val="24"/>
        </w:rPr>
        <w:t>. Do you agree that this is the most appropriate way of updating the WELs?</w:t>
      </w:r>
    </w:p>
    <w:p w14:paraId="7A99FD8F" w14:textId="77777777" w:rsidR="005A38D8" w:rsidRPr="007F1703" w:rsidRDefault="005A38D8" w:rsidP="00F65D1E">
      <w:pPr>
        <w:jc w:val="both"/>
        <w:rPr>
          <w:rFonts w:ascii="Arial" w:hAnsi="Arial" w:cs="Arial"/>
          <w:b/>
          <w:sz w:val="24"/>
          <w:szCs w:val="24"/>
        </w:rPr>
      </w:pPr>
      <w:r w:rsidRPr="007F1703">
        <w:rPr>
          <w:rFonts w:ascii="Arial" w:hAnsi="Arial" w:cs="Arial"/>
          <w:b/>
          <w:sz w:val="24"/>
          <w:szCs w:val="24"/>
        </w:rPr>
        <w:t>28 (8</w:t>
      </w:r>
      <w:r w:rsidR="00DB762D" w:rsidRPr="007F1703">
        <w:rPr>
          <w:rFonts w:ascii="Arial" w:hAnsi="Arial" w:cs="Arial"/>
          <w:b/>
          <w:sz w:val="24"/>
          <w:szCs w:val="24"/>
        </w:rPr>
        <w:t>5</w:t>
      </w:r>
      <w:r w:rsidRPr="007F1703">
        <w:rPr>
          <w:rFonts w:ascii="Arial" w:hAnsi="Arial" w:cs="Arial"/>
          <w:b/>
          <w:sz w:val="24"/>
          <w:szCs w:val="24"/>
        </w:rPr>
        <w:t>%) respondents agree that EH40/2005 is the most appropriate way of updating the WELs.</w:t>
      </w:r>
    </w:p>
    <w:p w14:paraId="00A1635E" w14:textId="77777777" w:rsidR="005A38D8" w:rsidRPr="007F1703" w:rsidRDefault="005A38D8" w:rsidP="00F65D1E">
      <w:pPr>
        <w:jc w:val="both"/>
        <w:rPr>
          <w:rFonts w:ascii="Arial" w:hAnsi="Arial" w:cs="Arial"/>
          <w:b/>
          <w:sz w:val="24"/>
          <w:szCs w:val="24"/>
        </w:rPr>
      </w:pPr>
      <w:r w:rsidRPr="007F1703">
        <w:rPr>
          <w:rFonts w:ascii="Arial" w:hAnsi="Arial" w:cs="Arial"/>
          <w:b/>
          <w:sz w:val="24"/>
          <w:szCs w:val="24"/>
        </w:rPr>
        <w:t>1 (3%) respondent disagrees that EH40/2005 is the most appropriate way of updating the WELs leaving the following comment:</w:t>
      </w:r>
    </w:p>
    <w:p w14:paraId="4A6DCFE9" w14:textId="77777777" w:rsidR="005A38D8" w:rsidRPr="007F1703" w:rsidRDefault="005A38D8" w:rsidP="005A38D8">
      <w:pPr>
        <w:rPr>
          <w:rFonts w:ascii="Arial" w:hAnsi="Arial" w:cs="Arial"/>
          <w:sz w:val="24"/>
          <w:szCs w:val="24"/>
        </w:rPr>
      </w:pPr>
      <w:r w:rsidRPr="007F1703">
        <w:rPr>
          <w:rFonts w:ascii="Arial" w:hAnsi="Arial" w:cs="Arial"/>
          <w:sz w:val="24"/>
          <w:szCs w:val="24"/>
        </w:rPr>
        <w:t>Should asbestos be included?</w:t>
      </w:r>
    </w:p>
    <w:p w14:paraId="71CDF16A" w14:textId="77777777" w:rsidR="0008386E" w:rsidRPr="007F1703" w:rsidRDefault="0008386E" w:rsidP="00F65D1E">
      <w:pPr>
        <w:jc w:val="both"/>
        <w:rPr>
          <w:rFonts w:ascii="Arial" w:hAnsi="Arial" w:cs="Arial"/>
          <w:sz w:val="24"/>
          <w:szCs w:val="24"/>
        </w:rPr>
      </w:pPr>
      <w:r w:rsidRPr="007F1703">
        <w:rPr>
          <w:rFonts w:ascii="Arial" w:hAnsi="Arial" w:cs="Arial"/>
          <w:b/>
          <w:sz w:val="24"/>
          <w:szCs w:val="24"/>
        </w:rPr>
        <w:lastRenderedPageBreak/>
        <w:t>HSE response:</w:t>
      </w:r>
      <w:r w:rsidRPr="007F1703">
        <w:rPr>
          <w:rFonts w:ascii="Arial" w:hAnsi="Arial" w:cs="Arial"/>
          <w:sz w:val="24"/>
          <w:szCs w:val="24"/>
        </w:rPr>
        <w:t xml:space="preserve"> Asbestos has its own set of Regulations setting out the minimum standards for the protection of employees from risks related to exposure to asbestos. </w:t>
      </w:r>
      <w:hyperlink r:id="rId12" w:history="1">
        <w:r w:rsidRPr="007F1703">
          <w:rPr>
            <w:rStyle w:val="Hyperlink"/>
            <w:rFonts w:ascii="Arial" w:hAnsi="Arial" w:cs="Arial"/>
            <w:sz w:val="24"/>
            <w:szCs w:val="24"/>
          </w:rPr>
          <w:t>The Control of Asbestos Regulations 2012</w:t>
        </w:r>
      </w:hyperlink>
    </w:p>
    <w:p w14:paraId="04B357A9" w14:textId="77777777" w:rsidR="0029455F" w:rsidRPr="007F1703" w:rsidRDefault="0029455F" w:rsidP="0029455F">
      <w:pPr>
        <w:rPr>
          <w:rFonts w:ascii="Arial" w:hAnsi="Arial" w:cs="Arial"/>
          <w:b/>
          <w:noProof/>
          <w:sz w:val="24"/>
          <w:szCs w:val="24"/>
          <w:lang w:eastAsia="en-GB"/>
        </w:rPr>
      </w:pPr>
      <w:r w:rsidRPr="007F1703">
        <w:rPr>
          <w:rFonts w:ascii="Arial" w:hAnsi="Arial" w:cs="Arial"/>
          <w:b/>
          <w:sz w:val="24"/>
          <w:szCs w:val="24"/>
        </w:rPr>
        <w:t xml:space="preserve">2 </w:t>
      </w:r>
      <w:r w:rsidR="004915B3" w:rsidRPr="007F1703">
        <w:rPr>
          <w:rFonts w:ascii="Arial" w:hAnsi="Arial" w:cs="Arial"/>
          <w:b/>
          <w:sz w:val="24"/>
          <w:szCs w:val="24"/>
        </w:rPr>
        <w:t xml:space="preserve">(6%) </w:t>
      </w:r>
      <w:r w:rsidR="00CE09CB" w:rsidRPr="007F1703">
        <w:rPr>
          <w:rFonts w:ascii="Arial" w:hAnsi="Arial" w:cs="Arial"/>
          <w:b/>
          <w:noProof/>
          <w:sz w:val="24"/>
          <w:szCs w:val="24"/>
          <w:lang w:eastAsia="en-GB"/>
        </w:rPr>
        <w:t>Respondents answered ‘Unsure/don’t know’</w:t>
      </w:r>
      <w:r w:rsidRPr="007F1703">
        <w:rPr>
          <w:rFonts w:ascii="Arial" w:hAnsi="Arial" w:cs="Arial"/>
          <w:b/>
          <w:noProof/>
          <w:sz w:val="24"/>
          <w:szCs w:val="24"/>
          <w:lang w:eastAsia="en-GB"/>
        </w:rPr>
        <w:t xml:space="preserve"> for Q.2</w:t>
      </w:r>
    </w:p>
    <w:p w14:paraId="6F36B473" w14:textId="77777777" w:rsidR="005A38D8" w:rsidRPr="007F1703" w:rsidRDefault="0029455F" w:rsidP="0029455F">
      <w:pPr>
        <w:rPr>
          <w:rFonts w:ascii="Arial" w:hAnsi="Arial" w:cs="Arial"/>
          <w:b/>
          <w:sz w:val="24"/>
          <w:szCs w:val="24"/>
        </w:rPr>
      </w:pPr>
      <w:r w:rsidRPr="007F1703">
        <w:rPr>
          <w:rFonts w:ascii="Arial" w:hAnsi="Arial" w:cs="Arial"/>
          <w:b/>
          <w:sz w:val="24"/>
          <w:szCs w:val="24"/>
        </w:rPr>
        <w:t xml:space="preserve">2 </w:t>
      </w:r>
      <w:r w:rsidR="005A38D8" w:rsidRPr="007F1703">
        <w:rPr>
          <w:rFonts w:ascii="Arial" w:hAnsi="Arial" w:cs="Arial"/>
          <w:b/>
          <w:sz w:val="24"/>
          <w:szCs w:val="24"/>
        </w:rPr>
        <w:t>(6%)</w:t>
      </w:r>
      <w:r w:rsidR="007C647A" w:rsidRPr="007F1703">
        <w:rPr>
          <w:rFonts w:ascii="Arial" w:hAnsi="Arial" w:cs="Arial"/>
          <w:b/>
          <w:sz w:val="24"/>
          <w:szCs w:val="24"/>
        </w:rPr>
        <w:t xml:space="preserve"> </w:t>
      </w:r>
      <w:r w:rsidR="00811B97" w:rsidRPr="007F1703">
        <w:rPr>
          <w:rFonts w:ascii="Arial" w:hAnsi="Arial" w:cs="Arial"/>
          <w:b/>
          <w:sz w:val="24"/>
          <w:szCs w:val="24"/>
        </w:rPr>
        <w:t>did not answer</w:t>
      </w:r>
      <w:r w:rsidR="0008386E" w:rsidRPr="007F1703">
        <w:rPr>
          <w:rFonts w:ascii="Arial" w:hAnsi="Arial" w:cs="Arial"/>
          <w:b/>
          <w:sz w:val="24"/>
          <w:szCs w:val="24"/>
        </w:rPr>
        <w:t xml:space="preserve"> Q.2</w:t>
      </w:r>
      <w:r w:rsidR="00811B97" w:rsidRPr="007F1703">
        <w:rPr>
          <w:rFonts w:ascii="Arial" w:hAnsi="Arial" w:cs="Arial"/>
          <w:b/>
          <w:sz w:val="24"/>
          <w:szCs w:val="24"/>
        </w:rPr>
        <w:t>.</w:t>
      </w:r>
    </w:p>
    <w:p w14:paraId="1CBF5E1B" w14:textId="77777777" w:rsidR="003B57EA" w:rsidRDefault="003B57EA" w:rsidP="00C27AEB">
      <w:pPr>
        <w:jc w:val="both"/>
        <w:rPr>
          <w:rFonts w:ascii="Arial" w:hAnsi="Arial" w:cs="Arial"/>
          <w:b/>
          <w:sz w:val="24"/>
          <w:szCs w:val="24"/>
        </w:rPr>
      </w:pPr>
    </w:p>
    <w:p w14:paraId="20B5999D" w14:textId="7F633A45" w:rsidR="007F1703" w:rsidRDefault="00450A08" w:rsidP="00C27AEB">
      <w:pPr>
        <w:jc w:val="both"/>
        <w:rPr>
          <w:rFonts w:ascii="Arial" w:hAnsi="Arial" w:cs="Arial"/>
          <w:b/>
          <w:sz w:val="24"/>
          <w:szCs w:val="24"/>
        </w:rPr>
      </w:pPr>
      <w:r>
        <w:rPr>
          <w:rFonts w:ascii="Arial" w:hAnsi="Arial" w:cs="Arial"/>
          <w:b/>
          <w:sz w:val="24"/>
          <w:szCs w:val="24"/>
        </w:rPr>
        <w:t>General comments</w:t>
      </w:r>
    </w:p>
    <w:p w14:paraId="40C88077" w14:textId="24768D22" w:rsidR="00450A08" w:rsidRPr="002672C3" w:rsidRDefault="00450A08" w:rsidP="00C27AEB">
      <w:pPr>
        <w:jc w:val="both"/>
        <w:rPr>
          <w:rFonts w:ascii="Arial" w:hAnsi="Arial" w:cs="Arial"/>
          <w:sz w:val="24"/>
          <w:szCs w:val="24"/>
        </w:rPr>
      </w:pPr>
      <w:r w:rsidRPr="002672C3">
        <w:rPr>
          <w:rFonts w:ascii="Arial" w:hAnsi="Arial" w:cs="Arial"/>
          <w:sz w:val="24"/>
          <w:szCs w:val="24"/>
        </w:rPr>
        <w:t>A trade union had doubts about setting limits for known carcinogens and was unhappy with the limit for Respirable Crystalline Silica, believing it should be lower.</w:t>
      </w:r>
    </w:p>
    <w:p w14:paraId="74B65D99" w14:textId="0A444B72" w:rsidR="00E46E57" w:rsidRDefault="00450A08" w:rsidP="00C27AEB">
      <w:pPr>
        <w:jc w:val="both"/>
        <w:rPr>
          <w:rFonts w:ascii="Arial" w:hAnsi="Arial" w:cs="Arial"/>
          <w:b/>
          <w:sz w:val="24"/>
          <w:szCs w:val="24"/>
        </w:rPr>
      </w:pPr>
      <w:r>
        <w:rPr>
          <w:rFonts w:ascii="Arial" w:hAnsi="Arial" w:cs="Arial"/>
          <w:b/>
          <w:sz w:val="24"/>
          <w:szCs w:val="24"/>
        </w:rPr>
        <w:t>HSE response</w:t>
      </w:r>
      <w:r w:rsidR="00C14C9B">
        <w:rPr>
          <w:rFonts w:ascii="Arial" w:hAnsi="Arial" w:cs="Arial"/>
          <w:b/>
          <w:sz w:val="24"/>
          <w:szCs w:val="24"/>
        </w:rPr>
        <w:t>:</w:t>
      </w:r>
      <w:r>
        <w:rPr>
          <w:rFonts w:ascii="Arial" w:hAnsi="Arial" w:cs="Arial"/>
          <w:b/>
          <w:sz w:val="24"/>
          <w:szCs w:val="24"/>
        </w:rPr>
        <w:t xml:space="preserve">  </w:t>
      </w:r>
      <w:r w:rsidRPr="002672C3">
        <w:rPr>
          <w:rFonts w:ascii="Arial" w:hAnsi="Arial" w:cs="Arial"/>
          <w:sz w:val="24"/>
          <w:szCs w:val="24"/>
        </w:rPr>
        <w:t xml:space="preserve">The </w:t>
      </w:r>
      <w:r w:rsidR="00C14C9B" w:rsidRPr="002672C3">
        <w:rPr>
          <w:rFonts w:ascii="Arial" w:hAnsi="Arial" w:cs="Arial"/>
          <w:sz w:val="24"/>
          <w:szCs w:val="24"/>
        </w:rPr>
        <w:t xml:space="preserve">binding </w:t>
      </w:r>
      <w:r w:rsidR="001C00CD">
        <w:rPr>
          <w:rFonts w:ascii="Arial" w:hAnsi="Arial" w:cs="Arial"/>
          <w:sz w:val="24"/>
          <w:szCs w:val="24"/>
        </w:rPr>
        <w:t xml:space="preserve">occupational exposure </w:t>
      </w:r>
      <w:r w:rsidRPr="002672C3">
        <w:rPr>
          <w:rFonts w:ascii="Arial" w:hAnsi="Arial" w:cs="Arial"/>
          <w:sz w:val="24"/>
          <w:szCs w:val="24"/>
        </w:rPr>
        <w:t xml:space="preserve">limits </w:t>
      </w:r>
      <w:r w:rsidR="00381C92">
        <w:rPr>
          <w:rFonts w:ascii="Arial" w:hAnsi="Arial" w:cs="Arial"/>
          <w:sz w:val="24"/>
          <w:szCs w:val="24"/>
        </w:rPr>
        <w:t>contained</w:t>
      </w:r>
      <w:r w:rsidRPr="002672C3">
        <w:rPr>
          <w:rFonts w:ascii="Arial" w:hAnsi="Arial" w:cs="Arial"/>
          <w:sz w:val="24"/>
          <w:szCs w:val="24"/>
        </w:rPr>
        <w:t xml:space="preserve"> in the </w:t>
      </w:r>
      <w:r w:rsidR="001C00CD">
        <w:rPr>
          <w:rFonts w:ascii="Arial" w:hAnsi="Arial" w:cs="Arial"/>
          <w:sz w:val="24"/>
          <w:szCs w:val="24"/>
        </w:rPr>
        <w:t xml:space="preserve">amendment to the </w:t>
      </w:r>
      <w:r w:rsidR="00C14C9B" w:rsidRPr="002672C3">
        <w:rPr>
          <w:rFonts w:ascii="Arial" w:hAnsi="Arial" w:cs="Arial"/>
          <w:sz w:val="24"/>
          <w:szCs w:val="24"/>
        </w:rPr>
        <w:t>C</w:t>
      </w:r>
      <w:r w:rsidRPr="002672C3">
        <w:rPr>
          <w:rFonts w:ascii="Arial" w:hAnsi="Arial" w:cs="Arial"/>
          <w:sz w:val="24"/>
          <w:szCs w:val="24"/>
        </w:rPr>
        <w:t xml:space="preserve">arcinogens and </w:t>
      </w:r>
      <w:r w:rsidR="00C14C9B" w:rsidRPr="002672C3">
        <w:rPr>
          <w:rFonts w:ascii="Arial" w:hAnsi="Arial" w:cs="Arial"/>
          <w:sz w:val="24"/>
          <w:szCs w:val="24"/>
        </w:rPr>
        <w:t>M</w:t>
      </w:r>
      <w:r w:rsidRPr="002672C3">
        <w:rPr>
          <w:rFonts w:ascii="Arial" w:hAnsi="Arial" w:cs="Arial"/>
          <w:sz w:val="24"/>
          <w:szCs w:val="24"/>
        </w:rPr>
        <w:t>utag</w:t>
      </w:r>
      <w:r w:rsidR="00C14C9B" w:rsidRPr="002672C3">
        <w:rPr>
          <w:rFonts w:ascii="Arial" w:hAnsi="Arial" w:cs="Arial"/>
          <w:sz w:val="24"/>
          <w:szCs w:val="24"/>
        </w:rPr>
        <w:t>ens Directive</w:t>
      </w:r>
      <w:r w:rsidR="001C00CD">
        <w:rPr>
          <w:rFonts w:ascii="Arial" w:hAnsi="Arial" w:cs="Arial"/>
          <w:sz w:val="24"/>
          <w:szCs w:val="24"/>
        </w:rPr>
        <w:t xml:space="preserve"> are based on review of the scientific and </w:t>
      </w:r>
      <w:r w:rsidR="001C00CD" w:rsidRPr="001C00CD">
        <w:rPr>
          <w:rFonts w:ascii="Arial" w:hAnsi="Arial" w:cs="Arial"/>
          <w:sz w:val="24"/>
          <w:szCs w:val="24"/>
        </w:rPr>
        <w:t>epidemiological</w:t>
      </w:r>
      <w:r w:rsidR="001C00CD">
        <w:rPr>
          <w:rFonts w:ascii="Arial" w:hAnsi="Arial" w:cs="Arial"/>
          <w:sz w:val="24"/>
          <w:szCs w:val="24"/>
        </w:rPr>
        <w:t xml:space="preserve"> data by a committee of </w:t>
      </w:r>
      <w:r w:rsidR="002E6677">
        <w:rPr>
          <w:rFonts w:ascii="Arial" w:hAnsi="Arial" w:cs="Arial"/>
          <w:sz w:val="24"/>
          <w:szCs w:val="24"/>
        </w:rPr>
        <w:t xml:space="preserve">independent </w:t>
      </w:r>
      <w:r w:rsidR="001C00CD">
        <w:rPr>
          <w:rFonts w:ascii="Arial" w:hAnsi="Arial" w:cs="Arial"/>
          <w:sz w:val="24"/>
          <w:szCs w:val="24"/>
        </w:rPr>
        <w:t>experts.</w:t>
      </w:r>
    </w:p>
    <w:p w14:paraId="71D2DCFF" w14:textId="37207F09" w:rsidR="005A38D8" w:rsidRPr="007F1703" w:rsidRDefault="005A38D8" w:rsidP="00C27AEB">
      <w:pPr>
        <w:jc w:val="both"/>
        <w:rPr>
          <w:rFonts w:ascii="Arial" w:hAnsi="Arial" w:cs="Arial"/>
          <w:b/>
          <w:sz w:val="24"/>
          <w:szCs w:val="24"/>
        </w:rPr>
      </w:pPr>
      <w:r w:rsidRPr="007F1703">
        <w:rPr>
          <w:rFonts w:ascii="Arial" w:hAnsi="Arial" w:cs="Arial"/>
          <w:b/>
          <w:sz w:val="24"/>
          <w:szCs w:val="24"/>
        </w:rPr>
        <w:t>Conclusion</w:t>
      </w:r>
    </w:p>
    <w:p w14:paraId="41750EFC" w14:textId="790F1958" w:rsidR="00DB6D61" w:rsidRPr="007F1703" w:rsidRDefault="009A37F1" w:rsidP="00C27AEB">
      <w:pPr>
        <w:jc w:val="both"/>
        <w:rPr>
          <w:rFonts w:ascii="Arial" w:hAnsi="Arial" w:cs="Arial"/>
          <w:sz w:val="24"/>
          <w:szCs w:val="24"/>
        </w:rPr>
      </w:pPr>
      <w:r w:rsidRPr="007F1703">
        <w:rPr>
          <w:rFonts w:ascii="Arial" w:hAnsi="Arial" w:cs="Arial"/>
          <w:sz w:val="24"/>
          <w:szCs w:val="24"/>
        </w:rPr>
        <w:t>T</w:t>
      </w:r>
      <w:r w:rsidR="005A38D8" w:rsidRPr="007F1703">
        <w:rPr>
          <w:rFonts w:ascii="Arial" w:hAnsi="Arial" w:cs="Arial"/>
          <w:sz w:val="24"/>
          <w:szCs w:val="24"/>
        </w:rPr>
        <w:t>he overall response to the consultation was positive,</w:t>
      </w:r>
      <w:r w:rsidR="00811B97" w:rsidRPr="007F1703">
        <w:rPr>
          <w:rFonts w:ascii="Arial" w:hAnsi="Arial" w:cs="Arial"/>
          <w:sz w:val="24"/>
          <w:szCs w:val="24"/>
        </w:rPr>
        <w:t xml:space="preserve"> and </w:t>
      </w:r>
      <w:r w:rsidR="00761C9A" w:rsidRPr="007F1703">
        <w:rPr>
          <w:rFonts w:ascii="Arial" w:hAnsi="Arial" w:cs="Arial"/>
          <w:sz w:val="24"/>
          <w:szCs w:val="24"/>
        </w:rPr>
        <w:t xml:space="preserve">the </w:t>
      </w:r>
      <w:r w:rsidR="00802CDE" w:rsidRPr="007F1703">
        <w:rPr>
          <w:rFonts w:ascii="Arial" w:hAnsi="Arial" w:cs="Arial"/>
          <w:sz w:val="24"/>
          <w:szCs w:val="24"/>
        </w:rPr>
        <w:t>findings of the</w:t>
      </w:r>
      <w:r w:rsidR="00811B97" w:rsidRPr="007F1703">
        <w:rPr>
          <w:rFonts w:ascii="Arial" w:hAnsi="Arial" w:cs="Arial"/>
          <w:sz w:val="24"/>
          <w:szCs w:val="24"/>
        </w:rPr>
        <w:t xml:space="preserve"> impact assessment </w:t>
      </w:r>
      <w:r w:rsidR="00CC03EE" w:rsidRPr="007F1703">
        <w:rPr>
          <w:rFonts w:ascii="Arial" w:hAnsi="Arial" w:cs="Arial"/>
          <w:sz w:val="24"/>
          <w:szCs w:val="24"/>
        </w:rPr>
        <w:t xml:space="preserve">provide a </w:t>
      </w:r>
      <w:r w:rsidR="00C1114F" w:rsidRPr="007F1703">
        <w:rPr>
          <w:rFonts w:ascii="Arial" w:hAnsi="Arial" w:cs="Arial"/>
          <w:sz w:val="24"/>
          <w:szCs w:val="24"/>
        </w:rPr>
        <w:t>fair reflection of the potential impacts to business.</w:t>
      </w:r>
      <w:r w:rsidR="00381C92" w:rsidRPr="00381C92">
        <w:t xml:space="preserve"> </w:t>
      </w:r>
      <w:proofErr w:type="gramStart"/>
      <w:r w:rsidR="00381C92" w:rsidRPr="00381C92">
        <w:rPr>
          <w:rFonts w:ascii="Arial" w:hAnsi="Arial" w:cs="Arial"/>
          <w:sz w:val="24"/>
          <w:szCs w:val="24"/>
        </w:rPr>
        <w:t>The majority of</w:t>
      </w:r>
      <w:proofErr w:type="gramEnd"/>
      <w:r w:rsidR="00381C92" w:rsidRPr="00381C92">
        <w:rPr>
          <w:rFonts w:ascii="Arial" w:hAnsi="Arial" w:cs="Arial"/>
          <w:sz w:val="24"/>
          <w:szCs w:val="24"/>
        </w:rPr>
        <w:t xml:space="preserve"> respondents agree that updating the Workplace Exposure Limits in HSE publication EH40/2005 is the most appropriate way of updating the WELs. </w:t>
      </w:r>
    </w:p>
    <w:p w14:paraId="42CCA633" w14:textId="43940009" w:rsidR="00DB6D61" w:rsidRPr="007F1703" w:rsidRDefault="00DB6D61" w:rsidP="00C27AEB">
      <w:pPr>
        <w:spacing w:after="0"/>
        <w:jc w:val="both"/>
        <w:rPr>
          <w:rFonts w:ascii="Arial" w:eastAsiaTheme="minorEastAsia" w:hAnsi="Arial" w:cs="Arial"/>
          <w:sz w:val="24"/>
          <w:szCs w:val="24"/>
        </w:rPr>
      </w:pPr>
      <w:r w:rsidRPr="007F1703">
        <w:rPr>
          <w:rFonts w:ascii="Arial" w:eastAsiaTheme="minorEastAsia" w:hAnsi="Arial" w:cs="Arial"/>
          <w:sz w:val="24"/>
          <w:szCs w:val="24"/>
        </w:rPr>
        <w:t xml:space="preserve">From the responses received there have been no additional costs identified </w:t>
      </w:r>
      <w:r w:rsidR="00AE63D1">
        <w:rPr>
          <w:rFonts w:ascii="Arial" w:eastAsiaTheme="minorEastAsia" w:hAnsi="Arial" w:cs="Arial"/>
          <w:sz w:val="24"/>
          <w:szCs w:val="24"/>
        </w:rPr>
        <w:t>for inclusion</w:t>
      </w:r>
      <w:r w:rsidR="00BF638F">
        <w:rPr>
          <w:rFonts w:ascii="Arial" w:eastAsiaTheme="minorEastAsia" w:hAnsi="Arial" w:cs="Arial"/>
          <w:sz w:val="24"/>
          <w:szCs w:val="24"/>
        </w:rPr>
        <w:t xml:space="preserve"> in the impact assessment</w:t>
      </w:r>
      <w:r w:rsidRPr="007F1703">
        <w:rPr>
          <w:rFonts w:ascii="Arial" w:eastAsiaTheme="minorEastAsia" w:hAnsi="Arial" w:cs="Arial"/>
          <w:sz w:val="24"/>
          <w:szCs w:val="24"/>
        </w:rPr>
        <w:t xml:space="preserve">. For most of the substances, where adequate controls are already in use and properly maintained and used, there should be no additional costs to business. </w:t>
      </w:r>
    </w:p>
    <w:p w14:paraId="4010C566" w14:textId="77777777" w:rsidR="00DB6D61" w:rsidRPr="007F1703" w:rsidRDefault="00DB6D61" w:rsidP="00C27AEB">
      <w:pPr>
        <w:spacing w:after="0"/>
        <w:jc w:val="both"/>
        <w:rPr>
          <w:rFonts w:ascii="Arial" w:eastAsiaTheme="minorEastAsia" w:hAnsi="Arial" w:cs="Arial"/>
          <w:sz w:val="24"/>
          <w:szCs w:val="24"/>
        </w:rPr>
      </w:pPr>
    </w:p>
    <w:p w14:paraId="5E71AFD9" w14:textId="46F0EAB4" w:rsidR="00DB6D61" w:rsidRPr="007F1703" w:rsidRDefault="002017AA" w:rsidP="00C27AEB">
      <w:pPr>
        <w:spacing w:after="0"/>
        <w:jc w:val="both"/>
        <w:rPr>
          <w:rFonts w:ascii="Arial" w:eastAsiaTheme="minorEastAsia" w:hAnsi="Arial" w:cs="Arial"/>
          <w:sz w:val="24"/>
          <w:szCs w:val="24"/>
        </w:rPr>
      </w:pPr>
      <w:r>
        <w:rPr>
          <w:rFonts w:ascii="Arial" w:eastAsiaTheme="minorEastAsia" w:hAnsi="Arial" w:cs="Arial"/>
          <w:sz w:val="24"/>
          <w:szCs w:val="24"/>
        </w:rPr>
        <w:t xml:space="preserve">HSE has noted </w:t>
      </w:r>
      <w:r w:rsidR="00E46E57">
        <w:rPr>
          <w:rFonts w:ascii="Arial" w:eastAsiaTheme="minorEastAsia" w:hAnsi="Arial" w:cs="Arial"/>
          <w:sz w:val="24"/>
          <w:szCs w:val="24"/>
        </w:rPr>
        <w:t xml:space="preserve">the </w:t>
      </w:r>
      <w:r>
        <w:rPr>
          <w:rFonts w:ascii="Arial" w:eastAsiaTheme="minorEastAsia" w:hAnsi="Arial" w:cs="Arial"/>
          <w:sz w:val="24"/>
          <w:szCs w:val="24"/>
        </w:rPr>
        <w:t xml:space="preserve">concerns raised about the impact of further, lower limits for </w:t>
      </w:r>
      <w:r w:rsidR="00DB6D61" w:rsidRPr="007F1703">
        <w:rPr>
          <w:rFonts w:ascii="Arial" w:eastAsiaTheme="minorEastAsia" w:hAnsi="Arial" w:cs="Arial"/>
          <w:sz w:val="24"/>
          <w:szCs w:val="24"/>
        </w:rPr>
        <w:t xml:space="preserve">hardwood dust and </w:t>
      </w:r>
      <w:r>
        <w:rPr>
          <w:rFonts w:ascii="Arial" w:eastAsiaTheme="minorEastAsia" w:hAnsi="Arial" w:cs="Arial"/>
          <w:sz w:val="24"/>
          <w:szCs w:val="24"/>
        </w:rPr>
        <w:t>C</w:t>
      </w:r>
      <w:r w:rsidR="00DB6D61" w:rsidRPr="007F1703">
        <w:rPr>
          <w:rFonts w:ascii="Arial" w:eastAsiaTheme="minorEastAsia" w:hAnsi="Arial" w:cs="Arial"/>
          <w:sz w:val="24"/>
          <w:szCs w:val="24"/>
        </w:rPr>
        <w:t xml:space="preserve">hromium (VI) compounds </w:t>
      </w:r>
      <w:r>
        <w:rPr>
          <w:rFonts w:ascii="Arial" w:eastAsiaTheme="minorEastAsia" w:hAnsi="Arial" w:cs="Arial"/>
          <w:sz w:val="24"/>
          <w:szCs w:val="24"/>
        </w:rPr>
        <w:t xml:space="preserve">scheduled for introduction in </w:t>
      </w:r>
      <w:r w:rsidR="00DB6D61" w:rsidRPr="007F1703">
        <w:rPr>
          <w:rFonts w:ascii="Arial" w:eastAsiaTheme="minorEastAsia" w:hAnsi="Arial" w:cs="Arial"/>
          <w:sz w:val="24"/>
          <w:szCs w:val="24"/>
        </w:rPr>
        <w:t xml:space="preserve">2023 and 2025 </w:t>
      </w:r>
      <w:r>
        <w:rPr>
          <w:rFonts w:ascii="Arial" w:eastAsiaTheme="minorEastAsia" w:hAnsi="Arial" w:cs="Arial"/>
          <w:sz w:val="24"/>
          <w:szCs w:val="24"/>
        </w:rPr>
        <w:t xml:space="preserve">respectively. </w:t>
      </w:r>
      <w:r w:rsidR="00C27AEB" w:rsidRPr="00C27AEB">
        <w:rPr>
          <w:rFonts w:ascii="Arial" w:eastAsiaTheme="minorEastAsia" w:hAnsi="Arial" w:cs="Arial"/>
          <w:sz w:val="24"/>
          <w:szCs w:val="24"/>
        </w:rPr>
        <w:t xml:space="preserve">These additional limits were not part of this consultation and will be subject to further consideration </w:t>
      </w:r>
      <w:proofErr w:type="gramStart"/>
      <w:r w:rsidR="00C27AEB" w:rsidRPr="00C27AEB">
        <w:rPr>
          <w:rFonts w:ascii="Arial" w:eastAsiaTheme="minorEastAsia" w:hAnsi="Arial" w:cs="Arial"/>
          <w:sz w:val="24"/>
          <w:szCs w:val="24"/>
        </w:rPr>
        <w:t>at</w:t>
      </w:r>
      <w:r w:rsidR="00C27AEB">
        <w:rPr>
          <w:rFonts w:ascii="Arial" w:eastAsiaTheme="minorEastAsia" w:hAnsi="Arial" w:cs="Arial"/>
          <w:sz w:val="24"/>
          <w:szCs w:val="24"/>
        </w:rPr>
        <w:t xml:space="preserve"> </w:t>
      </w:r>
      <w:r w:rsidR="00C27AEB" w:rsidRPr="00C27AEB">
        <w:rPr>
          <w:rFonts w:ascii="Arial" w:eastAsiaTheme="minorEastAsia" w:hAnsi="Arial" w:cs="Arial"/>
          <w:sz w:val="24"/>
          <w:szCs w:val="24"/>
        </w:rPr>
        <w:t>a later date</w:t>
      </w:r>
      <w:proofErr w:type="gramEnd"/>
      <w:r w:rsidR="00C27AEB" w:rsidRPr="00C27AEB">
        <w:rPr>
          <w:rFonts w:ascii="Arial" w:eastAsiaTheme="minorEastAsia" w:hAnsi="Arial" w:cs="Arial"/>
          <w:sz w:val="24"/>
          <w:szCs w:val="24"/>
        </w:rPr>
        <w:t>.</w:t>
      </w:r>
    </w:p>
    <w:p w14:paraId="4A73F0D9" w14:textId="1A5915CB" w:rsidR="00DB6D61" w:rsidRDefault="00DB6D61" w:rsidP="00C27AEB">
      <w:pPr>
        <w:spacing w:after="0"/>
        <w:jc w:val="both"/>
        <w:rPr>
          <w:rFonts w:ascii="Arial" w:eastAsiaTheme="minorEastAsia" w:hAnsi="Arial" w:cs="Arial"/>
          <w:sz w:val="24"/>
          <w:szCs w:val="24"/>
        </w:rPr>
      </w:pPr>
    </w:p>
    <w:p w14:paraId="75249912" w14:textId="2CF45F0D" w:rsidR="00D413FB" w:rsidRDefault="00A940BC" w:rsidP="00131007">
      <w:pPr>
        <w:spacing w:after="0"/>
        <w:jc w:val="both"/>
        <w:rPr>
          <w:rFonts w:ascii="Arial" w:eastAsiaTheme="minorEastAsia" w:hAnsi="Arial" w:cs="Arial"/>
          <w:sz w:val="24"/>
          <w:szCs w:val="24"/>
        </w:rPr>
      </w:pPr>
      <w:r>
        <w:rPr>
          <w:rFonts w:ascii="Arial" w:eastAsiaTheme="minorEastAsia" w:hAnsi="Arial" w:cs="Arial"/>
          <w:sz w:val="24"/>
          <w:szCs w:val="24"/>
        </w:rPr>
        <w:t>T</w:t>
      </w:r>
      <w:r w:rsidR="00131007" w:rsidRPr="00131007">
        <w:rPr>
          <w:rFonts w:ascii="Arial" w:eastAsiaTheme="minorEastAsia" w:hAnsi="Arial" w:cs="Arial"/>
          <w:sz w:val="24"/>
          <w:szCs w:val="24"/>
        </w:rPr>
        <w:t xml:space="preserve">he revised exposure limits are the result of </w:t>
      </w:r>
      <w:r w:rsidR="002E6677">
        <w:rPr>
          <w:rFonts w:ascii="Arial" w:eastAsiaTheme="minorEastAsia" w:hAnsi="Arial" w:cs="Arial"/>
          <w:sz w:val="24"/>
          <w:szCs w:val="24"/>
        </w:rPr>
        <w:t xml:space="preserve">independent expert </w:t>
      </w:r>
      <w:r w:rsidR="00131007" w:rsidRPr="00131007">
        <w:rPr>
          <w:rFonts w:ascii="Arial" w:eastAsiaTheme="minorEastAsia" w:hAnsi="Arial" w:cs="Arial"/>
          <w:sz w:val="24"/>
          <w:szCs w:val="24"/>
        </w:rPr>
        <w:t>analysis of scientific and epidemiological data and</w:t>
      </w:r>
      <w:r w:rsidR="00373942">
        <w:rPr>
          <w:rFonts w:ascii="Arial" w:eastAsiaTheme="minorEastAsia" w:hAnsi="Arial" w:cs="Arial"/>
          <w:sz w:val="24"/>
          <w:szCs w:val="24"/>
        </w:rPr>
        <w:t>,</w:t>
      </w:r>
      <w:r w:rsidR="00131007" w:rsidRPr="00131007">
        <w:rPr>
          <w:rFonts w:ascii="Arial" w:eastAsiaTheme="minorEastAsia" w:hAnsi="Arial" w:cs="Arial"/>
          <w:sz w:val="24"/>
          <w:szCs w:val="24"/>
        </w:rPr>
        <w:t xml:space="preserve"> </w:t>
      </w:r>
      <w:r w:rsidR="00236306">
        <w:rPr>
          <w:rFonts w:ascii="Arial" w:eastAsiaTheme="minorEastAsia" w:hAnsi="Arial" w:cs="Arial"/>
          <w:sz w:val="24"/>
          <w:szCs w:val="24"/>
        </w:rPr>
        <w:t xml:space="preserve">based on the </w:t>
      </w:r>
      <w:r w:rsidR="00373942">
        <w:rPr>
          <w:rFonts w:ascii="Arial" w:eastAsiaTheme="minorEastAsia" w:hAnsi="Arial" w:cs="Arial"/>
          <w:sz w:val="24"/>
          <w:szCs w:val="24"/>
        </w:rPr>
        <w:t xml:space="preserve">response to the consultation, </w:t>
      </w:r>
      <w:r w:rsidR="00131007" w:rsidRPr="00131007">
        <w:rPr>
          <w:rFonts w:ascii="Arial" w:eastAsiaTheme="minorEastAsia" w:hAnsi="Arial" w:cs="Arial"/>
          <w:sz w:val="24"/>
          <w:szCs w:val="24"/>
        </w:rPr>
        <w:t>HSE believes that their introduction will be of benefit in improving the protection of health of UK workers.</w:t>
      </w:r>
    </w:p>
    <w:p w14:paraId="6ABD8CF9" w14:textId="77777777" w:rsidR="00D413FB" w:rsidRDefault="00D413FB" w:rsidP="00131007">
      <w:pPr>
        <w:spacing w:after="0"/>
        <w:jc w:val="both"/>
        <w:rPr>
          <w:rFonts w:ascii="Arial" w:eastAsiaTheme="minorEastAsia" w:hAnsi="Arial" w:cs="Arial"/>
          <w:sz w:val="24"/>
          <w:szCs w:val="24"/>
        </w:rPr>
      </w:pPr>
    </w:p>
    <w:p w14:paraId="703BCB02" w14:textId="0A7AB5A1" w:rsidR="00361CBE" w:rsidRPr="007F1703" w:rsidRDefault="00E210BC" w:rsidP="00C27AEB">
      <w:pPr>
        <w:spacing w:after="0"/>
        <w:jc w:val="both"/>
        <w:rPr>
          <w:rFonts w:ascii="Arial" w:eastAsiaTheme="minorEastAsia" w:hAnsi="Arial" w:cs="Arial"/>
          <w:sz w:val="24"/>
          <w:szCs w:val="24"/>
        </w:rPr>
      </w:pPr>
      <w:r>
        <w:rPr>
          <w:rFonts w:ascii="Arial" w:eastAsiaTheme="minorEastAsia" w:hAnsi="Arial" w:cs="Arial"/>
          <w:sz w:val="24"/>
          <w:szCs w:val="24"/>
        </w:rPr>
        <w:t>The</w:t>
      </w:r>
      <w:r w:rsidR="00D413FB" w:rsidRPr="00D413FB">
        <w:rPr>
          <w:rFonts w:ascii="Arial" w:eastAsiaTheme="minorEastAsia" w:hAnsi="Arial" w:cs="Arial"/>
          <w:sz w:val="24"/>
          <w:szCs w:val="24"/>
        </w:rPr>
        <w:t xml:space="preserve"> </w:t>
      </w:r>
      <w:r w:rsidR="00D413FB">
        <w:rPr>
          <w:rFonts w:ascii="Arial" w:eastAsiaTheme="minorEastAsia" w:hAnsi="Arial" w:cs="Arial"/>
          <w:sz w:val="24"/>
          <w:szCs w:val="24"/>
        </w:rPr>
        <w:t xml:space="preserve">revised </w:t>
      </w:r>
      <w:r w:rsidR="00E60C2D">
        <w:rPr>
          <w:rFonts w:ascii="Arial" w:eastAsiaTheme="minorEastAsia" w:hAnsi="Arial" w:cs="Arial"/>
          <w:sz w:val="24"/>
          <w:szCs w:val="24"/>
        </w:rPr>
        <w:t xml:space="preserve">exposure limits be introduced in the UK through an update to </w:t>
      </w:r>
      <w:r>
        <w:rPr>
          <w:rFonts w:ascii="Arial" w:eastAsiaTheme="minorEastAsia" w:hAnsi="Arial" w:cs="Arial"/>
          <w:sz w:val="24"/>
          <w:szCs w:val="24"/>
        </w:rPr>
        <w:t>HSE</w:t>
      </w:r>
      <w:r w:rsidR="00E60C2D">
        <w:rPr>
          <w:rFonts w:ascii="Arial" w:eastAsiaTheme="minorEastAsia" w:hAnsi="Arial" w:cs="Arial"/>
          <w:sz w:val="24"/>
          <w:szCs w:val="24"/>
        </w:rPr>
        <w:t xml:space="preserve"> publication </w:t>
      </w:r>
      <w:r w:rsidR="00020C6A">
        <w:rPr>
          <w:rFonts w:ascii="Arial" w:eastAsiaTheme="minorEastAsia" w:hAnsi="Arial" w:cs="Arial"/>
          <w:sz w:val="24"/>
          <w:szCs w:val="24"/>
        </w:rPr>
        <w:t>“EH40/2005 W</w:t>
      </w:r>
      <w:r w:rsidR="00D413FB" w:rsidRPr="00D413FB">
        <w:rPr>
          <w:rFonts w:ascii="Arial" w:eastAsiaTheme="minorEastAsia" w:hAnsi="Arial" w:cs="Arial"/>
          <w:sz w:val="24"/>
          <w:szCs w:val="24"/>
        </w:rPr>
        <w:t>orkplace exposure limits</w:t>
      </w:r>
      <w:r w:rsidR="00020C6A">
        <w:rPr>
          <w:rFonts w:ascii="Arial" w:eastAsiaTheme="minorEastAsia" w:hAnsi="Arial" w:cs="Arial"/>
          <w:sz w:val="24"/>
          <w:szCs w:val="24"/>
        </w:rPr>
        <w:t>”</w:t>
      </w:r>
      <w:r w:rsidR="006D2CB7">
        <w:rPr>
          <w:rFonts w:ascii="Arial" w:eastAsiaTheme="minorEastAsia" w:hAnsi="Arial" w:cs="Arial"/>
          <w:sz w:val="24"/>
          <w:szCs w:val="24"/>
        </w:rPr>
        <w:t xml:space="preserve"> to be published on 17 January 2020.</w:t>
      </w:r>
      <w:r w:rsidR="003B57EA" w:rsidRPr="007F1703">
        <w:rPr>
          <w:rFonts w:ascii="Arial" w:eastAsiaTheme="minorEastAsia" w:hAnsi="Arial" w:cs="Arial"/>
          <w:sz w:val="24"/>
          <w:szCs w:val="24"/>
        </w:rPr>
        <w:t xml:space="preserve"> </w:t>
      </w:r>
    </w:p>
    <w:p w14:paraId="5296BC1F" w14:textId="4CFB95EA" w:rsidR="00A0415F" w:rsidRPr="007F1703" w:rsidRDefault="00A0415F" w:rsidP="00C27AEB">
      <w:pPr>
        <w:jc w:val="both"/>
        <w:rPr>
          <w:rFonts w:ascii="Arial" w:hAnsi="Arial" w:cs="Arial"/>
          <w:sz w:val="24"/>
          <w:szCs w:val="24"/>
        </w:rPr>
      </w:pPr>
    </w:p>
    <w:sectPr w:rsidR="00A0415F" w:rsidRPr="007F170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3814F" w14:textId="77777777" w:rsidR="00E154EA" w:rsidRDefault="00E154EA" w:rsidP="000A6E1E">
      <w:pPr>
        <w:spacing w:after="0" w:line="240" w:lineRule="auto"/>
      </w:pPr>
      <w:r>
        <w:separator/>
      </w:r>
    </w:p>
  </w:endnote>
  <w:endnote w:type="continuationSeparator" w:id="0">
    <w:p w14:paraId="46623409" w14:textId="77777777" w:rsidR="00E154EA" w:rsidRDefault="00E154EA" w:rsidP="000A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634006"/>
      <w:docPartObj>
        <w:docPartGallery w:val="Page Numbers (Bottom of Page)"/>
        <w:docPartUnique/>
      </w:docPartObj>
    </w:sdtPr>
    <w:sdtEndPr>
      <w:rPr>
        <w:noProof/>
      </w:rPr>
    </w:sdtEndPr>
    <w:sdtContent>
      <w:p w14:paraId="7647F108" w14:textId="55B789F2" w:rsidR="000A6E1E" w:rsidRDefault="000A6E1E">
        <w:pPr>
          <w:pStyle w:val="Footer"/>
          <w:jc w:val="right"/>
        </w:pPr>
        <w:r>
          <w:fldChar w:fldCharType="begin"/>
        </w:r>
        <w:r>
          <w:instrText xml:space="preserve"> PAGE   \* MERGEFORMAT </w:instrText>
        </w:r>
        <w:r>
          <w:fldChar w:fldCharType="separate"/>
        </w:r>
        <w:r w:rsidR="004616D1">
          <w:rPr>
            <w:noProof/>
          </w:rPr>
          <w:t>3</w:t>
        </w:r>
        <w:r>
          <w:rPr>
            <w:noProof/>
          </w:rPr>
          <w:fldChar w:fldCharType="end"/>
        </w:r>
      </w:p>
    </w:sdtContent>
  </w:sdt>
  <w:p w14:paraId="40F6C474" w14:textId="77777777" w:rsidR="000A6E1E" w:rsidRDefault="000A6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5C711" w14:textId="77777777" w:rsidR="00E154EA" w:rsidRDefault="00E154EA" w:rsidP="000A6E1E">
      <w:pPr>
        <w:spacing w:after="0" w:line="240" w:lineRule="auto"/>
      </w:pPr>
      <w:r>
        <w:separator/>
      </w:r>
    </w:p>
  </w:footnote>
  <w:footnote w:type="continuationSeparator" w:id="0">
    <w:p w14:paraId="4D496D85" w14:textId="77777777" w:rsidR="00E154EA" w:rsidRDefault="00E154EA" w:rsidP="000A6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23E"/>
    <w:multiLevelType w:val="hybridMultilevel"/>
    <w:tmpl w:val="4DA626C0"/>
    <w:lvl w:ilvl="0" w:tplc="A0CE76E2">
      <w:start w:val="2"/>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604521"/>
    <w:multiLevelType w:val="multilevel"/>
    <w:tmpl w:val="62303524"/>
    <w:styleLink w:val="StyleNumberedArial"/>
    <w:lvl w:ilvl="0">
      <w:start w:val="1"/>
      <w:numFmt w:val="decimal"/>
      <w:lvlText w:val="%1."/>
      <w:lvlJc w:val="left"/>
      <w:pPr>
        <w:tabs>
          <w:tab w:val="num" w:pos="139"/>
        </w:tabs>
        <w:ind w:left="502" w:hanging="360"/>
      </w:pPr>
      <w:rPr>
        <w:rFonts w:ascii="Arial" w:hAnsi="Arial"/>
        <w:sz w:val="24"/>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rPr>
        <w:rFonts w:hint="default"/>
      </w:r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 w15:restartNumberingAfterBreak="0">
    <w:nsid w:val="328730EA"/>
    <w:multiLevelType w:val="multilevel"/>
    <w:tmpl w:val="62303524"/>
    <w:numStyleLink w:val="StyleNumberedArial"/>
  </w:abstractNum>
  <w:abstractNum w:abstractNumId="3" w15:restartNumberingAfterBreak="0">
    <w:nsid w:val="34D937FB"/>
    <w:multiLevelType w:val="hybridMultilevel"/>
    <w:tmpl w:val="CDFC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8E6E46"/>
    <w:multiLevelType w:val="hybridMultilevel"/>
    <w:tmpl w:val="1F0E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D4A27"/>
    <w:multiLevelType w:val="hybridMultilevel"/>
    <w:tmpl w:val="A68CC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C9039E"/>
    <w:multiLevelType w:val="hybridMultilevel"/>
    <w:tmpl w:val="EEDAD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B22E75"/>
    <w:multiLevelType w:val="hybridMultilevel"/>
    <w:tmpl w:val="EF6E0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F27B6"/>
    <w:multiLevelType w:val="hybridMultilevel"/>
    <w:tmpl w:val="8910B1BA"/>
    <w:lvl w:ilvl="0" w:tplc="A90A5126">
      <w:start w:val="1"/>
      <w:numFmt w:val="decimal"/>
      <w:lvlText w:val="%1."/>
      <w:lvlJc w:val="left"/>
      <w:pPr>
        <w:ind w:left="644" w:hanging="360"/>
      </w:pPr>
      <w:rPr>
        <w:b w:val="0"/>
        <w:vertAlign w:val="baseline"/>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44D1003"/>
    <w:multiLevelType w:val="hybridMultilevel"/>
    <w:tmpl w:val="E0023346"/>
    <w:lvl w:ilvl="0" w:tplc="8642FE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2"/>
  </w:num>
  <w:num w:numId="5">
    <w:abstractNumId w:val="1"/>
  </w:num>
  <w:num w:numId="6">
    <w:abstractNumId w:val="3"/>
  </w:num>
  <w:num w:numId="7">
    <w:abstractNumId w:val="9"/>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D0"/>
    <w:rsid w:val="00004996"/>
    <w:rsid w:val="00007F05"/>
    <w:rsid w:val="0001628B"/>
    <w:rsid w:val="000166B4"/>
    <w:rsid w:val="00020C6A"/>
    <w:rsid w:val="00034591"/>
    <w:rsid w:val="00042906"/>
    <w:rsid w:val="00045882"/>
    <w:rsid w:val="000476A7"/>
    <w:rsid w:val="000555FB"/>
    <w:rsid w:val="00072A99"/>
    <w:rsid w:val="0007354C"/>
    <w:rsid w:val="0007544F"/>
    <w:rsid w:val="0008386E"/>
    <w:rsid w:val="00085F67"/>
    <w:rsid w:val="000871E1"/>
    <w:rsid w:val="00094B29"/>
    <w:rsid w:val="000A2126"/>
    <w:rsid w:val="000A2F48"/>
    <w:rsid w:val="000A4509"/>
    <w:rsid w:val="000A4CF7"/>
    <w:rsid w:val="000A6E1E"/>
    <w:rsid w:val="000A7165"/>
    <w:rsid w:val="000B7610"/>
    <w:rsid w:val="000D4BE5"/>
    <w:rsid w:val="000D53C5"/>
    <w:rsid w:val="000D5CDD"/>
    <w:rsid w:val="000E49C4"/>
    <w:rsid w:val="000F0DD4"/>
    <w:rsid w:val="00101756"/>
    <w:rsid w:val="00110333"/>
    <w:rsid w:val="00114CEF"/>
    <w:rsid w:val="00122246"/>
    <w:rsid w:val="00122F34"/>
    <w:rsid w:val="00123EF9"/>
    <w:rsid w:val="0012589D"/>
    <w:rsid w:val="00131007"/>
    <w:rsid w:val="001358DB"/>
    <w:rsid w:val="001359E7"/>
    <w:rsid w:val="00147C6A"/>
    <w:rsid w:val="00155724"/>
    <w:rsid w:val="001565BB"/>
    <w:rsid w:val="00165096"/>
    <w:rsid w:val="00173FF7"/>
    <w:rsid w:val="00174855"/>
    <w:rsid w:val="00180B67"/>
    <w:rsid w:val="00190236"/>
    <w:rsid w:val="0019293A"/>
    <w:rsid w:val="001A2984"/>
    <w:rsid w:val="001B0FCD"/>
    <w:rsid w:val="001B4CE2"/>
    <w:rsid w:val="001C00B1"/>
    <w:rsid w:val="001C00CD"/>
    <w:rsid w:val="001C1FA7"/>
    <w:rsid w:val="001C3F06"/>
    <w:rsid w:val="001D0566"/>
    <w:rsid w:val="001D3455"/>
    <w:rsid w:val="001E30D0"/>
    <w:rsid w:val="001F020D"/>
    <w:rsid w:val="001F414C"/>
    <w:rsid w:val="001F5B39"/>
    <w:rsid w:val="002017AA"/>
    <w:rsid w:val="00202753"/>
    <w:rsid w:val="00202F2A"/>
    <w:rsid w:val="002056CD"/>
    <w:rsid w:val="00205FA6"/>
    <w:rsid w:val="002135F8"/>
    <w:rsid w:val="00215721"/>
    <w:rsid w:val="002200BB"/>
    <w:rsid w:val="002335F6"/>
    <w:rsid w:val="002353A0"/>
    <w:rsid w:val="00236306"/>
    <w:rsid w:val="00251B10"/>
    <w:rsid w:val="00253258"/>
    <w:rsid w:val="002640D8"/>
    <w:rsid w:val="00264BDC"/>
    <w:rsid w:val="002672C3"/>
    <w:rsid w:val="002742B6"/>
    <w:rsid w:val="00277073"/>
    <w:rsid w:val="00284BA4"/>
    <w:rsid w:val="00293028"/>
    <w:rsid w:val="0029455F"/>
    <w:rsid w:val="002A2FA9"/>
    <w:rsid w:val="002B12F9"/>
    <w:rsid w:val="002B6625"/>
    <w:rsid w:val="002D06D6"/>
    <w:rsid w:val="002E509E"/>
    <w:rsid w:val="002E6677"/>
    <w:rsid w:val="002F3ADC"/>
    <w:rsid w:val="003055ED"/>
    <w:rsid w:val="00306594"/>
    <w:rsid w:val="003137F9"/>
    <w:rsid w:val="003179AB"/>
    <w:rsid w:val="003249A6"/>
    <w:rsid w:val="00332D18"/>
    <w:rsid w:val="0033506F"/>
    <w:rsid w:val="00347888"/>
    <w:rsid w:val="003478C6"/>
    <w:rsid w:val="003500B2"/>
    <w:rsid w:val="003556E2"/>
    <w:rsid w:val="00357CCC"/>
    <w:rsid w:val="00361CBE"/>
    <w:rsid w:val="003646BD"/>
    <w:rsid w:val="0037015F"/>
    <w:rsid w:val="00373942"/>
    <w:rsid w:val="00381C92"/>
    <w:rsid w:val="00384F01"/>
    <w:rsid w:val="003921F1"/>
    <w:rsid w:val="003A14F9"/>
    <w:rsid w:val="003B0528"/>
    <w:rsid w:val="003B1AA8"/>
    <w:rsid w:val="003B57EA"/>
    <w:rsid w:val="003D48EB"/>
    <w:rsid w:val="003E03B7"/>
    <w:rsid w:val="003E045E"/>
    <w:rsid w:val="00402A16"/>
    <w:rsid w:val="0041455A"/>
    <w:rsid w:val="00426ABA"/>
    <w:rsid w:val="00430D5C"/>
    <w:rsid w:val="0044202A"/>
    <w:rsid w:val="00450A08"/>
    <w:rsid w:val="004616D1"/>
    <w:rsid w:val="00473BDD"/>
    <w:rsid w:val="00474953"/>
    <w:rsid w:val="00475F04"/>
    <w:rsid w:val="00486B67"/>
    <w:rsid w:val="004901B4"/>
    <w:rsid w:val="004915B3"/>
    <w:rsid w:val="00495E7C"/>
    <w:rsid w:val="004B024B"/>
    <w:rsid w:val="004B0972"/>
    <w:rsid w:val="004B21A6"/>
    <w:rsid w:val="004B777C"/>
    <w:rsid w:val="004C1A79"/>
    <w:rsid w:val="004C2E06"/>
    <w:rsid w:val="004E2D63"/>
    <w:rsid w:val="004F1133"/>
    <w:rsid w:val="004F53F5"/>
    <w:rsid w:val="00502490"/>
    <w:rsid w:val="005367F8"/>
    <w:rsid w:val="00541BDC"/>
    <w:rsid w:val="00546C0E"/>
    <w:rsid w:val="00554176"/>
    <w:rsid w:val="005626C9"/>
    <w:rsid w:val="00567DFF"/>
    <w:rsid w:val="0058534E"/>
    <w:rsid w:val="00596F4F"/>
    <w:rsid w:val="005A30C7"/>
    <w:rsid w:val="005A362D"/>
    <w:rsid w:val="005A38D8"/>
    <w:rsid w:val="005A49BB"/>
    <w:rsid w:val="005B2E14"/>
    <w:rsid w:val="005C5081"/>
    <w:rsid w:val="005C7A59"/>
    <w:rsid w:val="005F3332"/>
    <w:rsid w:val="005F341A"/>
    <w:rsid w:val="005F402F"/>
    <w:rsid w:val="005F5478"/>
    <w:rsid w:val="006057B6"/>
    <w:rsid w:val="00606010"/>
    <w:rsid w:val="00610378"/>
    <w:rsid w:val="00612561"/>
    <w:rsid w:val="00614A00"/>
    <w:rsid w:val="0062161F"/>
    <w:rsid w:val="0062616A"/>
    <w:rsid w:val="006374B4"/>
    <w:rsid w:val="006374F6"/>
    <w:rsid w:val="00646FA4"/>
    <w:rsid w:val="00651B47"/>
    <w:rsid w:val="00654743"/>
    <w:rsid w:val="00674AE6"/>
    <w:rsid w:val="006843AB"/>
    <w:rsid w:val="006952CD"/>
    <w:rsid w:val="006B2E90"/>
    <w:rsid w:val="006B61BE"/>
    <w:rsid w:val="006B622C"/>
    <w:rsid w:val="006D191B"/>
    <w:rsid w:val="006D2CB7"/>
    <w:rsid w:val="006F3033"/>
    <w:rsid w:val="006F38B1"/>
    <w:rsid w:val="007009F5"/>
    <w:rsid w:val="00702CFA"/>
    <w:rsid w:val="00706B0C"/>
    <w:rsid w:val="00723DF8"/>
    <w:rsid w:val="00727C70"/>
    <w:rsid w:val="00735047"/>
    <w:rsid w:val="00750991"/>
    <w:rsid w:val="007573A2"/>
    <w:rsid w:val="0075758B"/>
    <w:rsid w:val="007600F2"/>
    <w:rsid w:val="00761758"/>
    <w:rsid w:val="00761C9A"/>
    <w:rsid w:val="00761D2D"/>
    <w:rsid w:val="00762736"/>
    <w:rsid w:val="00767398"/>
    <w:rsid w:val="00770B1B"/>
    <w:rsid w:val="0078751D"/>
    <w:rsid w:val="007A23D2"/>
    <w:rsid w:val="007A6461"/>
    <w:rsid w:val="007B28BF"/>
    <w:rsid w:val="007C37B2"/>
    <w:rsid w:val="007C5282"/>
    <w:rsid w:val="007C647A"/>
    <w:rsid w:val="007E0493"/>
    <w:rsid w:val="007F1703"/>
    <w:rsid w:val="00802CDE"/>
    <w:rsid w:val="00811B97"/>
    <w:rsid w:val="00826F4C"/>
    <w:rsid w:val="00830373"/>
    <w:rsid w:val="008350B0"/>
    <w:rsid w:val="00847CE4"/>
    <w:rsid w:val="00860AB1"/>
    <w:rsid w:val="008729A5"/>
    <w:rsid w:val="00890CFB"/>
    <w:rsid w:val="008A523E"/>
    <w:rsid w:val="008B113B"/>
    <w:rsid w:val="008B50B4"/>
    <w:rsid w:val="008C02B6"/>
    <w:rsid w:val="008C649D"/>
    <w:rsid w:val="008D3EAC"/>
    <w:rsid w:val="008E02CA"/>
    <w:rsid w:val="008E5689"/>
    <w:rsid w:val="008F2625"/>
    <w:rsid w:val="008F26B6"/>
    <w:rsid w:val="008F283C"/>
    <w:rsid w:val="008F3594"/>
    <w:rsid w:val="008F5D4E"/>
    <w:rsid w:val="00925D2A"/>
    <w:rsid w:val="00925DEB"/>
    <w:rsid w:val="00927917"/>
    <w:rsid w:val="0092792E"/>
    <w:rsid w:val="00935B04"/>
    <w:rsid w:val="00937A59"/>
    <w:rsid w:val="0094214F"/>
    <w:rsid w:val="00946BEB"/>
    <w:rsid w:val="009753BA"/>
    <w:rsid w:val="0097623E"/>
    <w:rsid w:val="00984E4D"/>
    <w:rsid w:val="00995288"/>
    <w:rsid w:val="009A1592"/>
    <w:rsid w:val="009A37F1"/>
    <w:rsid w:val="009C7CF7"/>
    <w:rsid w:val="009D5C9E"/>
    <w:rsid w:val="009D5D74"/>
    <w:rsid w:val="009E2703"/>
    <w:rsid w:val="009F360B"/>
    <w:rsid w:val="00A0415F"/>
    <w:rsid w:val="00A06564"/>
    <w:rsid w:val="00A06E97"/>
    <w:rsid w:val="00A1257D"/>
    <w:rsid w:val="00A219AE"/>
    <w:rsid w:val="00A2565B"/>
    <w:rsid w:val="00A30214"/>
    <w:rsid w:val="00A32022"/>
    <w:rsid w:val="00A4256F"/>
    <w:rsid w:val="00A576FF"/>
    <w:rsid w:val="00A66358"/>
    <w:rsid w:val="00A67F38"/>
    <w:rsid w:val="00A766AA"/>
    <w:rsid w:val="00A870F8"/>
    <w:rsid w:val="00A90919"/>
    <w:rsid w:val="00A911A6"/>
    <w:rsid w:val="00A940BC"/>
    <w:rsid w:val="00A96CD7"/>
    <w:rsid w:val="00AA55C6"/>
    <w:rsid w:val="00AB3D5E"/>
    <w:rsid w:val="00AC39AC"/>
    <w:rsid w:val="00AD2FD5"/>
    <w:rsid w:val="00AD4E0F"/>
    <w:rsid w:val="00AD5F13"/>
    <w:rsid w:val="00AD6123"/>
    <w:rsid w:val="00AE2CE5"/>
    <w:rsid w:val="00AE63D1"/>
    <w:rsid w:val="00B0432C"/>
    <w:rsid w:val="00B04BB5"/>
    <w:rsid w:val="00B10B38"/>
    <w:rsid w:val="00B15029"/>
    <w:rsid w:val="00B163A0"/>
    <w:rsid w:val="00B24A6F"/>
    <w:rsid w:val="00B3009B"/>
    <w:rsid w:val="00B32E89"/>
    <w:rsid w:val="00B41B92"/>
    <w:rsid w:val="00B51D2D"/>
    <w:rsid w:val="00B66403"/>
    <w:rsid w:val="00B74C3B"/>
    <w:rsid w:val="00B937EB"/>
    <w:rsid w:val="00BA0DCA"/>
    <w:rsid w:val="00BB1544"/>
    <w:rsid w:val="00BC38DA"/>
    <w:rsid w:val="00BD27C7"/>
    <w:rsid w:val="00BD6D84"/>
    <w:rsid w:val="00BF34D9"/>
    <w:rsid w:val="00BF48A7"/>
    <w:rsid w:val="00BF5EFA"/>
    <w:rsid w:val="00BF638F"/>
    <w:rsid w:val="00C0112C"/>
    <w:rsid w:val="00C01D0E"/>
    <w:rsid w:val="00C064C1"/>
    <w:rsid w:val="00C10783"/>
    <w:rsid w:val="00C1114F"/>
    <w:rsid w:val="00C1271D"/>
    <w:rsid w:val="00C14C9B"/>
    <w:rsid w:val="00C27AEB"/>
    <w:rsid w:val="00C332EB"/>
    <w:rsid w:val="00C369F7"/>
    <w:rsid w:val="00C370CD"/>
    <w:rsid w:val="00C37B2D"/>
    <w:rsid w:val="00C55563"/>
    <w:rsid w:val="00C777F4"/>
    <w:rsid w:val="00C90D53"/>
    <w:rsid w:val="00C978A9"/>
    <w:rsid w:val="00CA28FA"/>
    <w:rsid w:val="00CB05FA"/>
    <w:rsid w:val="00CB1B9D"/>
    <w:rsid w:val="00CB4E5B"/>
    <w:rsid w:val="00CC03EE"/>
    <w:rsid w:val="00CC6CE8"/>
    <w:rsid w:val="00CD0612"/>
    <w:rsid w:val="00CE09CB"/>
    <w:rsid w:val="00CE4195"/>
    <w:rsid w:val="00CE62D4"/>
    <w:rsid w:val="00D04BCD"/>
    <w:rsid w:val="00D25CA0"/>
    <w:rsid w:val="00D413FB"/>
    <w:rsid w:val="00D67471"/>
    <w:rsid w:val="00D67555"/>
    <w:rsid w:val="00D70F26"/>
    <w:rsid w:val="00D734BF"/>
    <w:rsid w:val="00D86BFF"/>
    <w:rsid w:val="00D9595A"/>
    <w:rsid w:val="00DA0ABA"/>
    <w:rsid w:val="00DA47B2"/>
    <w:rsid w:val="00DB1F27"/>
    <w:rsid w:val="00DB5015"/>
    <w:rsid w:val="00DB5B5D"/>
    <w:rsid w:val="00DB5FCC"/>
    <w:rsid w:val="00DB6D61"/>
    <w:rsid w:val="00DB762D"/>
    <w:rsid w:val="00DD0125"/>
    <w:rsid w:val="00DE37DC"/>
    <w:rsid w:val="00DF23A1"/>
    <w:rsid w:val="00E0659D"/>
    <w:rsid w:val="00E154EA"/>
    <w:rsid w:val="00E210BC"/>
    <w:rsid w:val="00E231F7"/>
    <w:rsid w:val="00E31F69"/>
    <w:rsid w:val="00E35711"/>
    <w:rsid w:val="00E41A06"/>
    <w:rsid w:val="00E44566"/>
    <w:rsid w:val="00E46E57"/>
    <w:rsid w:val="00E507DF"/>
    <w:rsid w:val="00E60C2D"/>
    <w:rsid w:val="00E654F2"/>
    <w:rsid w:val="00E91AE6"/>
    <w:rsid w:val="00EA10DC"/>
    <w:rsid w:val="00EA5796"/>
    <w:rsid w:val="00EA612E"/>
    <w:rsid w:val="00EB119A"/>
    <w:rsid w:val="00EB5744"/>
    <w:rsid w:val="00EB5FD1"/>
    <w:rsid w:val="00EC12D0"/>
    <w:rsid w:val="00EC3FF6"/>
    <w:rsid w:val="00EC51E6"/>
    <w:rsid w:val="00EC64F4"/>
    <w:rsid w:val="00ED0D3C"/>
    <w:rsid w:val="00ED7068"/>
    <w:rsid w:val="00EE1F8E"/>
    <w:rsid w:val="00EE5222"/>
    <w:rsid w:val="00EF0207"/>
    <w:rsid w:val="00EF68AB"/>
    <w:rsid w:val="00F053F8"/>
    <w:rsid w:val="00F07B03"/>
    <w:rsid w:val="00F15223"/>
    <w:rsid w:val="00F23BA8"/>
    <w:rsid w:val="00F26BD1"/>
    <w:rsid w:val="00F30DB8"/>
    <w:rsid w:val="00F335D8"/>
    <w:rsid w:val="00F350D9"/>
    <w:rsid w:val="00F3513A"/>
    <w:rsid w:val="00F366C0"/>
    <w:rsid w:val="00F62D4D"/>
    <w:rsid w:val="00F65D1E"/>
    <w:rsid w:val="00F7453D"/>
    <w:rsid w:val="00F830DE"/>
    <w:rsid w:val="00FA10FE"/>
    <w:rsid w:val="00FA38F7"/>
    <w:rsid w:val="00FA65B3"/>
    <w:rsid w:val="00FC264B"/>
    <w:rsid w:val="00FD2989"/>
    <w:rsid w:val="00FD6381"/>
    <w:rsid w:val="00FE03BB"/>
    <w:rsid w:val="00FE5252"/>
    <w:rsid w:val="00FF30E5"/>
    <w:rsid w:val="00FF6D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852A"/>
  <w15:docId w15:val="{27A6075D-7C16-4875-B3A6-F448C96A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4CE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B4CE2"/>
    <w:rPr>
      <w:color w:val="0000FF" w:themeColor="hyperlink"/>
      <w:u w:val="single"/>
    </w:rPr>
  </w:style>
  <w:style w:type="paragraph" w:styleId="BalloonText">
    <w:name w:val="Balloon Text"/>
    <w:basedOn w:val="Normal"/>
    <w:link w:val="BalloonTextChar"/>
    <w:uiPriority w:val="99"/>
    <w:semiHidden/>
    <w:unhideWhenUsed/>
    <w:rsid w:val="004C1A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A79"/>
    <w:rPr>
      <w:rFonts w:ascii="Tahoma" w:hAnsi="Tahoma" w:cs="Tahoma"/>
      <w:sz w:val="16"/>
      <w:szCs w:val="16"/>
    </w:rPr>
  </w:style>
  <w:style w:type="paragraph" w:styleId="ListParagraph">
    <w:name w:val="List Paragraph"/>
    <w:basedOn w:val="Normal"/>
    <w:uiPriority w:val="34"/>
    <w:qFormat/>
    <w:rsid w:val="004C1A79"/>
    <w:pPr>
      <w:ind w:left="720"/>
      <w:contextualSpacing/>
    </w:pPr>
  </w:style>
  <w:style w:type="numbering" w:customStyle="1" w:styleId="StyleNumberedArial">
    <w:name w:val="Style Numbered Arial"/>
    <w:basedOn w:val="NoList"/>
    <w:rsid w:val="00C01D0E"/>
    <w:pPr>
      <w:numPr>
        <w:numId w:val="5"/>
      </w:numPr>
    </w:pPr>
  </w:style>
  <w:style w:type="numbering" w:customStyle="1" w:styleId="StyleNumberedArial1">
    <w:name w:val="Style Numbered Arial1"/>
    <w:basedOn w:val="NoList"/>
    <w:rsid w:val="000A6E1E"/>
  </w:style>
  <w:style w:type="paragraph" w:styleId="Header">
    <w:name w:val="header"/>
    <w:basedOn w:val="Normal"/>
    <w:link w:val="HeaderChar"/>
    <w:uiPriority w:val="99"/>
    <w:unhideWhenUsed/>
    <w:rsid w:val="000A6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E1E"/>
  </w:style>
  <w:style w:type="paragraph" w:styleId="Footer">
    <w:name w:val="footer"/>
    <w:basedOn w:val="Normal"/>
    <w:link w:val="FooterChar"/>
    <w:uiPriority w:val="99"/>
    <w:unhideWhenUsed/>
    <w:rsid w:val="000A6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E1E"/>
  </w:style>
  <w:style w:type="paragraph" w:customStyle="1" w:styleId="DefaultText">
    <w:name w:val="Default Text"/>
    <w:basedOn w:val="Normal"/>
    <w:rsid w:val="00EB5744"/>
    <w:pPr>
      <w:tabs>
        <w:tab w:val="left" w:pos="0"/>
      </w:tabs>
      <w:overflowPunct w:val="0"/>
      <w:autoSpaceDE w:val="0"/>
      <w:autoSpaceDN w:val="0"/>
      <w:adjustRightInd w:val="0"/>
      <w:spacing w:after="0" w:line="240" w:lineRule="auto"/>
    </w:pPr>
    <w:rPr>
      <w:rFonts w:ascii="Arial" w:eastAsia="Times New Roman" w:hAnsi="Arial" w:cs="Times New Roman"/>
      <w:sz w:val="24"/>
      <w:szCs w:val="20"/>
    </w:rPr>
  </w:style>
  <w:style w:type="paragraph" w:customStyle="1" w:styleId="IAPOA4">
    <w:name w:val="IAPOA4"/>
    <w:basedOn w:val="Normal"/>
    <w:rsid w:val="001B0FCD"/>
    <w:pPr>
      <w:spacing w:after="0" w:line="240" w:lineRule="auto"/>
      <w:ind w:left="113" w:right="113"/>
    </w:pPr>
    <w:rPr>
      <w:rFonts w:ascii="Arial" w:eastAsia="SimSun" w:hAnsi="Arial" w:cs="Times New Roman"/>
      <w:spacing w:val="-5"/>
      <w:szCs w:val="20"/>
      <w:lang w:eastAsia="zh-CN"/>
    </w:rPr>
  </w:style>
  <w:style w:type="character" w:styleId="CommentReference">
    <w:name w:val="annotation reference"/>
    <w:uiPriority w:val="99"/>
    <w:rsid w:val="001B0FCD"/>
    <w:rPr>
      <w:sz w:val="16"/>
      <w:szCs w:val="16"/>
    </w:rPr>
  </w:style>
  <w:style w:type="paragraph" w:styleId="CommentText">
    <w:name w:val="annotation text"/>
    <w:basedOn w:val="Normal"/>
    <w:link w:val="CommentTextChar"/>
    <w:rsid w:val="001B0FCD"/>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B0FCD"/>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3E03B7"/>
    <w:rPr>
      <w:color w:val="605E5C"/>
      <w:shd w:val="clear" w:color="auto" w:fill="E1DFDD"/>
    </w:rPr>
  </w:style>
  <w:style w:type="character" w:styleId="Strong">
    <w:name w:val="Strong"/>
    <w:basedOn w:val="DefaultParagraphFont"/>
    <w:uiPriority w:val="22"/>
    <w:qFormat/>
    <w:rsid w:val="002A2FA9"/>
    <w:rPr>
      <w:b/>
      <w:bCs/>
    </w:rPr>
  </w:style>
  <w:style w:type="paragraph" w:styleId="CommentSubject">
    <w:name w:val="annotation subject"/>
    <w:basedOn w:val="CommentText"/>
    <w:next w:val="CommentText"/>
    <w:link w:val="CommentSubjectChar"/>
    <w:uiPriority w:val="99"/>
    <w:semiHidden/>
    <w:unhideWhenUsed/>
    <w:rsid w:val="00BF638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F638F"/>
    <w:rPr>
      <w:rFonts w:ascii="Arial" w:eastAsia="Times New Roman" w:hAnsi="Arial" w:cs="Times New Roman"/>
      <w:b/>
      <w:bCs/>
      <w:sz w:val="20"/>
      <w:szCs w:val="20"/>
    </w:rPr>
  </w:style>
  <w:style w:type="table" w:styleId="TableGrid">
    <w:name w:val="Table Grid"/>
    <w:basedOn w:val="TableNormal"/>
    <w:uiPriority w:val="59"/>
    <w:rsid w:val="004E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48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4125">
      <w:bodyDiv w:val="1"/>
      <w:marLeft w:val="0"/>
      <w:marRight w:val="0"/>
      <w:marTop w:val="0"/>
      <w:marBottom w:val="0"/>
      <w:divBdr>
        <w:top w:val="none" w:sz="0" w:space="0" w:color="auto"/>
        <w:left w:val="none" w:sz="0" w:space="0" w:color="auto"/>
        <w:bottom w:val="none" w:sz="0" w:space="0" w:color="auto"/>
        <w:right w:val="none" w:sz="0" w:space="0" w:color="auto"/>
      </w:divBdr>
    </w:div>
    <w:div w:id="540635140">
      <w:bodyDiv w:val="1"/>
      <w:marLeft w:val="0"/>
      <w:marRight w:val="0"/>
      <w:marTop w:val="0"/>
      <w:marBottom w:val="0"/>
      <w:divBdr>
        <w:top w:val="none" w:sz="0" w:space="0" w:color="auto"/>
        <w:left w:val="none" w:sz="0" w:space="0" w:color="auto"/>
        <w:bottom w:val="none" w:sz="0" w:space="0" w:color="auto"/>
        <w:right w:val="none" w:sz="0" w:space="0" w:color="auto"/>
      </w:divBdr>
      <w:divsChild>
        <w:div w:id="1414087796">
          <w:marLeft w:val="0"/>
          <w:marRight w:val="0"/>
          <w:marTop w:val="423"/>
          <w:marBottom w:val="0"/>
          <w:divBdr>
            <w:top w:val="none" w:sz="0" w:space="0" w:color="auto"/>
            <w:left w:val="none" w:sz="0" w:space="0" w:color="auto"/>
            <w:bottom w:val="none" w:sz="0" w:space="0" w:color="auto"/>
            <w:right w:val="none" w:sz="0" w:space="0" w:color="auto"/>
          </w:divBdr>
          <w:divsChild>
            <w:div w:id="539778560">
              <w:marLeft w:val="0"/>
              <w:marRight w:val="0"/>
              <w:marTop w:val="0"/>
              <w:marBottom w:val="0"/>
              <w:divBdr>
                <w:top w:val="none" w:sz="0" w:space="0" w:color="auto"/>
                <w:left w:val="none" w:sz="0" w:space="0" w:color="auto"/>
                <w:bottom w:val="none" w:sz="0" w:space="0" w:color="auto"/>
                <w:right w:val="none" w:sz="0" w:space="0" w:color="auto"/>
              </w:divBdr>
              <w:divsChild>
                <w:div w:id="1660230799">
                  <w:marLeft w:val="0"/>
                  <w:marRight w:val="0"/>
                  <w:marTop w:val="0"/>
                  <w:marBottom w:val="0"/>
                  <w:divBdr>
                    <w:top w:val="none" w:sz="0" w:space="0" w:color="auto"/>
                    <w:left w:val="none" w:sz="0" w:space="0" w:color="auto"/>
                    <w:bottom w:val="none" w:sz="0" w:space="0" w:color="auto"/>
                    <w:right w:val="none" w:sz="0" w:space="0" w:color="auto"/>
                  </w:divBdr>
                  <w:divsChild>
                    <w:div w:id="103809257">
                      <w:marLeft w:val="0"/>
                      <w:marRight w:val="0"/>
                      <w:marTop w:val="0"/>
                      <w:marBottom w:val="0"/>
                      <w:divBdr>
                        <w:top w:val="none" w:sz="0" w:space="0" w:color="auto"/>
                        <w:left w:val="none" w:sz="0" w:space="0" w:color="auto"/>
                        <w:bottom w:val="none" w:sz="0" w:space="0" w:color="auto"/>
                        <w:right w:val="none" w:sz="0" w:space="0" w:color="auto"/>
                      </w:divBdr>
                      <w:divsChild>
                        <w:div w:id="1829058050">
                          <w:marLeft w:val="0"/>
                          <w:marRight w:val="0"/>
                          <w:marTop w:val="0"/>
                          <w:marBottom w:val="0"/>
                          <w:divBdr>
                            <w:top w:val="none" w:sz="0" w:space="0" w:color="auto"/>
                            <w:left w:val="none" w:sz="0" w:space="0" w:color="auto"/>
                            <w:bottom w:val="none" w:sz="0" w:space="0" w:color="auto"/>
                            <w:right w:val="none" w:sz="0" w:space="0" w:color="auto"/>
                          </w:divBdr>
                          <w:divsChild>
                            <w:div w:id="337663187">
                              <w:marLeft w:val="0"/>
                              <w:marRight w:val="0"/>
                              <w:marTop w:val="0"/>
                              <w:marBottom w:val="0"/>
                              <w:divBdr>
                                <w:top w:val="none" w:sz="0" w:space="0" w:color="auto"/>
                                <w:left w:val="none" w:sz="0" w:space="0" w:color="auto"/>
                                <w:bottom w:val="none" w:sz="0" w:space="0" w:color="auto"/>
                                <w:right w:val="none" w:sz="0" w:space="0" w:color="auto"/>
                              </w:divBdr>
                            </w:div>
                            <w:div w:id="171575372">
                              <w:marLeft w:val="0"/>
                              <w:marRight w:val="0"/>
                              <w:marTop w:val="0"/>
                              <w:marBottom w:val="0"/>
                              <w:divBdr>
                                <w:top w:val="none" w:sz="0" w:space="0" w:color="auto"/>
                                <w:left w:val="none" w:sz="0" w:space="0" w:color="auto"/>
                                <w:bottom w:val="none" w:sz="0" w:space="0" w:color="auto"/>
                                <w:right w:val="none" w:sz="0" w:space="0" w:color="auto"/>
                              </w:divBdr>
                            </w:div>
                            <w:div w:id="346446231">
                              <w:marLeft w:val="0"/>
                              <w:marRight w:val="0"/>
                              <w:marTop w:val="0"/>
                              <w:marBottom w:val="0"/>
                              <w:divBdr>
                                <w:top w:val="none" w:sz="0" w:space="0" w:color="auto"/>
                                <w:left w:val="none" w:sz="0" w:space="0" w:color="auto"/>
                                <w:bottom w:val="none" w:sz="0" w:space="0" w:color="auto"/>
                                <w:right w:val="none" w:sz="0" w:space="0" w:color="auto"/>
                              </w:divBdr>
                            </w:div>
                            <w:div w:id="62726387">
                              <w:marLeft w:val="0"/>
                              <w:marRight w:val="0"/>
                              <w:marTop w:val="0"/>
                              <w:marBottom w:val="0"/>
                              <w:divBdr>
                                <w:top w:val="none" w:sz="0" w:space="0" w:color="auto"/>
                                <w:left w:val="none" w:sz="0" w:space="0" w:color="auto"/>
                                <w:bottom w:val="none" w:sz="0" w:space="0" w:color="auto"/>
                                <w:right w:val="none" w:sz="0" w:space="0" w:color="auto"/>
                              </w:divBdr>
                            </w:div>
                            <w:div w:id="1762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01473">
      <w:bodyDiv w:val="1"/>
      <w:marLeft w:val="0"/>
      <w:marRight w:val="0"/>
      <w:marTop w:val="0"/>
      <w:marBottom w:val="0"/>
      <w:divBdr>
        <w:top w:val="none" w:sz="0" w:space="0" w:color="auto"/>
        <w:left w:val="none" w:sz="0" w:space="0" w:color="auto"/>
        <w:bottom w:val="none" w:sz="0" w:space="0" w:color="auto"/>
        <w:right w:val="none" w:sz="0" w:space="0" w:color="auto"/>
      </w:divBdr>
    </w:div>
    <w:div w:id="1139227541">
      <w:bodyDiv w:val="1"/>
      <w:marLeft w:val="0"/>
      <w:marRight w:val="0"/>
      <w:marTop w:val="0"/>
      <w:marBottom w:val="0"/>
      <w:divBdr>
        <w:top w:val="none" w:sz="0" w:space="0" w:color="auto"/>
        <w:left w:val="none" w:sz="0" w:space="0" w:color="auto"/>
        <w:bottom w:val="none" w:sz="0" w:space="0" w:color="auto"/>
        <w:right w:val="none" w:sz="0" w:space="0" w:color="auto"/>
      </w:divBdr>
      <w:divsChild>
        <w:div w:id="1096054911">
          <w:marLeft w:val="0"/>
          <w:marRight w:val="0"/>
          <w:marTop w:val="423"/>
          <w:marBottom w:val="0"/>
          <w:divBdr>
            <w:top w:val="none" w:sz="0" w:space="0" w:color="auto"/>
            <w:left w:val="none" w:sz="0" w:space="0" w:color="auto"/>
            <w:bottom w:val="none" w:sz="0" w:space="0" w:color="auto"/>
            <w:right w:val="none" w:sz="0" w:space="0" w:color="auto"/>
          </w:divBdr>
          <w:divsChild>
            <w:div w:id="1719237535">
              <w:marLeft w:val="0"/>
              <w:marRight w:val="0"/>
              <w:marTop w:val="0"/>
              <w:marBottom w:val="0"/>
              <w:divBdr>
                <w:top w:val="none" w:sz="0" w:space="0" w:color="auto"/>
                <w:left w:val="none" w:sz="0" w:space="0" w:color="auto"/>
                <w:bottom w:val="none" w:sz="0" w:space="0" w:color="auto"/>
                <w:right w:val="none" w:sz="0" w:space="0" w:color="auto"/>
              </w:divBdr>
              <w:divsChild>
                <w:div w:id="1491599973">
                  <w:marLeft w:val="0"/>
                  <w:marRight w:val="0"/>
                  <w:marTop w:val="0"/>
                  <w:marBottom w:val="0"/>
                  <w:divBdr>
                    <w:top w:val="none" w:sz="0" w:space="0" w:color="auto"/>
                    <w:left w:val="none" w:sz="0" w:space="0" w:color="auto"/>
                    <w:bottom w:val="none" w:sz="0" w:space="0" w:color="auto"/>
                    <w:right w:val="none" w:sz="0" w:space="0" w:color="auto"/>
                  </w:divBdr>
                  <w:divsChild>
                    <w:div w:id="877661174">
                      <w:marLeft w:val="0"/>
                      <w:marRight w:val="0"/>
                      <w:marTop w:val="0"/>
                      <w:marBottom w:val="0"/>
                      <w:divBdr>
                        <w:top w:val="none" w:sz="0" w:space="0" w:color="auto"/>
                        <w:left w:val="none" w:sz="0" w:space="0" w:color="auto"/>
                        <w:bottom w:val="none" w:sz="0" w:space="0" w:color="auto"/>
                        <w:right w:val="none" w:sz="0" w:space="0" w:color="auto"/>
                      </w:divBdr>
                      <w:divsChild>
                        <w:div w:id="1593588051">
                          <w:marLeft w:val="0"/>
                          <w:marRight w:val="0"/>
                          <w:marTop w:val="0"/>
                          <w:marBottom w:val="0"/>
                          <w:divBdr>
                            <w:top w:val="none" w:sz="0" w:space="0" w:color="auto"/>
                            <w:left w:val="none" w:sz="0" w:space="0" w:color="auto"/>
                            <w:bottom w:val="none" w:sz="0" w:space="0" w:color="auto"/>
                            <w:right w:val="none" w:sz="0" w:space="0" w:color="auto"/>
                          </w:divBdr>
                          <w:divsChild>
                            <w:div w:id="1018964271">
                              <w:marLeft w:val="0"/>
                              <w:marRight w:val="0"/>
                              <w:marTop w:val="0"/>
                              <w:marBottom w:val="0"/>
                              <w:divBdr>
                                <w:top w:val="none" w:sz="0" w:space="0" w:color="auto"/>
                                <w:left w:val="none" w:sz="0" w:space="0" w:color="auto"/>
                                <w:bottom w:val="none" w:sz="0" w:space="0" w:color="auto"/>
                                <w:right w:val="none" w:sz="0" w:space="0" w:color="auto"/>
                              </w:divBdr>
                            </w:div>
                            <w:div w:id="2118676793">
                              <w:marLeft w:val="0"/>
                              <w:marRight w:val="0"/>
                              <w:marTop w:val="0"/>
                              <w:marBottom w:val="0"/>
                              <w:divBdr>
                                <w:top w:val="none" w:sz="0" w:space="0" w:color="auto"/>
                                <w:left w:val="none" w:sz="0" w:space="0" w:color="auto"/>
                                <w:bottom w:val="none" w:sz="0" w:space="0" w:color="auto"/>
                                <w:right w:val="none" w:sz="0" w:space="0" w:color="auto"/>
                              </w:divBdr>
                            </w:div>
                            <w:div w:id="2034840680">
                              <w:marLeft w:val="0"/>
                              <w:marRight w:val="0"/>
                              <w:marTop w:val="0"/>
                              <w:marBottom w:val="0"/>
                              <w:divBdr>
                                <w:top w:val="none" w:sz="0" w:space="0" w:color="auto"/>
                                <w:left w:val="none" w:sz="0" w:space="0" w:color="auto"/>
                                <w:bottom w:val="none" w:sz="0" w:space="0" w:color="auto"/>
                                <w:right w:val="none" w:sz="0" w:space="0" w:color="auto"/>
                              </w:divBdr>
                            </w:div>
                            <w:div w:id="1478492434">
                              <w:marLeft w:val="0"/>
                              <w:marRight w:val="0"/>
                              <w:marTop w:val="0"/>
                              <w:marBottom w:val="0"/>
                              <w:divBdr>
                                <w:top w:val="none" w:sz="0" w:space="0" w:color="auto"/>
                                <w:left w:val="none" w:sz="0" w:space="0" w:color="auto"/>
                                <w:bottom w:val="none" w:sz="0" w:space="0" w:color="auto"/>
                                <w:right w:val="none" w:sz="0" w:space="0" w:color="auto"/>
                              </w:divBdr>
                            </w:div>
                            <w:div w:id="17619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e.gov.uk/pubns/priced/l143.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se.gov.uk/pubns/priced/eh40.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onsultations.hse.gov.uk/hse/carcinogens-mutagens-revision-of-limit-valu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4254CA419BB4CA6347156F4894547" ma:contentTypeVersion="5" ma:contentTypeDescription="Create a new document." ma:contentTypeScope="" ma:versionID="83ac4681247bfe3d7fb7a95db58b5aa7">
  <xsd:schema xmlns:xsd="http://www.w3.org/2001/XMLSchema" xmlns:xs="http://www.w3.org/2001/XMLSchema" xmlns:p="http://schemas.microsoft.com/office/2006/metadata/properties" xmlns:ns3="c9e76cd1-f1fa-4f2d-9e78-d07c2b9c7aec" xmlns:ns4="16a377e4-1b9c-4585-b8ce-8f262705591c" targetNamespace="http://schemas.microsoft.com/office/2006/metadata/properties" ma:root="true" ma:fieldsID="62a0778cad30bc1e44dfa719a55c2028" ns3:_="" ns4:_="">
    <xsd:import namespace="c9e76cd1-f1fa-4f2d-9e78-d07c2b9c7aec"/>
    <xsd:import namespace="16a377e4-1b9c-4585-b8ce-8f262705591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76cd1-f1fa-4f2d-9e78-d07c2b9c7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a377e4-1b9c-4585-b8ce-8f26270559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147CB-4CF3-4F40-BBB6-896EB56059B9}">
  <ds:schemaRefs>
    <ds:schemaRef ds:uri="http://schemas.microsoft.com/sharepoint/v3/contenttype/forms"/>
  </ds:schemaRefs>
</ds:datastoreItem>
</file>

<file path=customXml/itemProps2.xml><?xml version="1.0" encoding="utf-8"?>
<ds:datastoreItem xmlns:ds="http://schemas.openxmlformats.org/officeDocument/2006/customXml" ds:itemID="{4031C23B-1162-4454-8BB0-515A0FD5E0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941BC4-3864-4537-91A4-86FDB022C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76cd1-f1fa-4f2d-9e78-d07c2b9c7aec"/>
    <ds:schemaRef ds:uri="16a377e4-1b9c-4585-b8ce-8f26270559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Paul Darbyshire</cp:lastModifiedBy>
  <cp:revision>2</cp:revision>
  <cp:lastPrinted>2020-01-10T14:38:00Z</cp:lastPrinted>
  <dcterms:created xsi:type="dcterms:W3CDTF">2020-01-16T15:13:00Z</dcterms:created>
  <dcterms:modified xsi:type="dcterms:W3CDTF">2020-01-16T15:13:00Z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0x01010064B4254CA419BB4CA6347156F4894547</vt:lpwstr>
  </property>
</Properties>
</file>