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5" w:type="dxa"/>
        <w:tblInd w:w="-13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2542"/>
        <w:gridCol w:w="1728"/>
        <w:gridCol w:w="1390"/>
        <w:gridCol w:w="3260"/>
      </w:tblGrid>
      <w:tr w:rsidR="00B50649" w14:paraId="21A66AB4" w14:textId="77777777" w:rsidTr="007251EA">
        <w:trPr>
          <w:trHeight w:hRule="exact" w:val="2284"/>
        </w:trPr>
        <w:tc>
          <w:tcPr>
            <w:tcW w:w="6255" w:type="dxa"/>
            <w:gridSpan w:val="3"/>
            <w:tcBorders>
              <w:top w:val="single" w:sz="4" w:space="0" w:color="auto"/>
              <w:bottom w:val="single" w:sz="4" w:space="0" w:color="auto"/>
            </w:tcBorders>
          </w:tcPr>
          <w:p w14:paraId="2A9EB2B7" w14:textId="5D6979AE" w:rsidR="007F0ED9" w:rsidRDefault="00495404" w:rsidP="00A90857">
            <w:pPr>
              <w:pStyle w:val="IATitle"/>
              <w:rPr>
                <w:rFonts w:eastAsia="Times New Roman"/>
                <w:color w:val="000000"/>
                <w:sz w:val="40"/>
                <w:szCs w:val="40"/>
                <w:lang w:eastAsia="en-GB"/>
              </w:rPr>
            </w:pPr>
            <w:r w:rsidRPr="00A90857">
              <w:rPr>
                <w:b/>
              </w:rPr>
              <w:t>Title</w:t>
            </w:r>
            <w:r w:rsidR="00B00194" w:rsidRPr="00A90857">
              <w:rPr>
                <w:b/>
              </w:rPr>
              <w:t>:</w:t>
            </w:r>
            <w:r w:rsidR="006D73A3">
              <w:rPr>
                <w:b/>
              </w:rPr>
              <w:t xml:space="preserve"> </w:t>
            </w:r>
            <w:r w:rsidR="000B0B3B" w:rsidRPr="000B0B3B">
              <w:rPr>
                <w:b/>
              </w:rPr>
              <w:t>Revision of GB Biocidal Products Regulation Annexes II and III</w:t>
            </w:r>
          </w:p>
          <w:p w14:paraId="7F96F332" w14:textId="77777777" w:rsidR="000B0B3B" w:rsidRPr="00102870" w:rsidRDefault="000B0B3B" w:rsidP="00A90857">
            <w:pPr>
              <w:pStyle w:val="IATitle"/>
            </w:pPr>
          </w:p>
          <w:p w14:paraId="253AF0C5" w14:textId="77777777" w:rsidR="00E14792" w:rsidRPr="00A16B47" w:rsidRDefault="00D50283" w:rsidP="00B00194">
            <w:pPr>
              <w:pStyle w:val="IAHeadTitle"/>
              <w:ind w:left="113"/>
              <w:rPr>
                <w:rStyle w:val="IANoChar"/>
                <w:b/>
                <w:color w:val="auto"/>
                <w:sz w:val="20"/>
                <w:szCs w:val="20"/>
                <w:lang w:val="pt-PT" w:eastAsia="zh-CN"/>
              </w:rPr>
            </w:pPr>
            <w:r w:rsidRPr="00A16B47">
              <w:rPr>
                <w:sz w:val="20"/>
                <w:szCs w:val="20"/>
                <w:lang w:val="pt-PT"/>
              </w:rPr>
              <w:t>IA No:</w:t>
            </w:r>
            <w:r w:rsidR="00B00194" w:rsidRPr="00A16B47">
              <w:rPr>
                <w:sz w:val="20"/>
                <w:szCs w:val="20"/>
                <w:lang w:val="pt-PT"/>
              </w:rPr>
              <w:t xml:space="preserve"> </w:t>
            </w:r>
            <w:r w:rsidRPr="00A16B47">
              <w:rPr>
                <w:sz w:val="20"/>
                <w:szCs w:val="20"/>
                <w:lang w:val="pt-PT"/>
              </w:rPr>
              <w:t xml:space="preserve"> </w:t>
            </w:r>
            <w:bookmarkStart w:id="0" w:name="IANo"/>
            <w:r w:rsidR="00290335" w:rsidRPr="007E190E">
              <w:rPr>
                <w:rStyle w:val="IANoChar"/>
                <w:rFonts w:cs="Arial"/>
                <w:sz w:val="20"/>
                <w:szCs w:val="20"/>
              </w:rPr>
              <w:fldChar w:fldCharType="begin">
                <w:ffData>
                  <w:name w:val="IANo"/>
                  <w:enabled/>
                  <w:calcOnExit w:val="0"/>
                  <w:textInput>
                    <w:maxLength w:val="20"/>
                  </w:textInput>
                </w:ffData>
              </w:fldChar>
            </w:r>
            <w:r w:rsidR="00290335" w:rsidRPr="00A16B47">
              <w:rPr>
                <w:rStyle w:val="IANoChar"/>
                <w:rFonts w:cs="Arial"/>
                <w:sz w:val="20"/>
                <w:szCs w:val="20"/>
                <w:lang w:val="pt-PT"/>
              </w:rPr>
              <w:instrText xml:space="preserve"> FORMTEXT </w:instrText>
            </w:r>
            <w:r w:rsidR="00290335" w:rsidRPr="007E190E">
              <w:rPr>
                <w:rStyle w:val="IANoChar"/>
                <w:rFonts w:cs="Arial"/>
                <w:sz w:val="20"/>
                <w:szCs w:val="20"/>
              </w:rPr>
            </w:r>
            <w:r w:rsidR="00290335" w:rsidRPr="007E190E">
              <w:rPr>
                <w:rStyle w:val="IANoChar"/>
                <w:rFonts w:cs="Arial"/>
                <w:sz w:val="20"/>
                <w:szCs w:val="20"/>
              </w:rPr>
              <w:fldChar w:fldCharType="separate"/>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t> </w:t>
            </w:r>
            <w:r w:rsidR="00290335" w:rsidRPr="007E190E">
              <w:rPr>
                <w:rStyle w:val="IANoChar"/>
                <w:rFonts w:cs="Arial"/>
                <w:sz w:val="20"/>
                <w:szCs w:val="20"/>
              </w:rPr>
              <w:fldChar w:fldCharType="end"/>
            </w:r>
            <w:bookmarkEnd w:id="0"/>
          </w:p>
          <w:p w14:paraId="61338AAF" w14:textId="77777777" w:rsidR="008C3539" w:rsidRPr="00A16B47" w:rsidRDefault="008C3539" w:rsidP="008C3539">
            <w:pPr>
              <w:pStyle w:val="IAHeadLabel"/>
              <w:ind w:left="113"/>
              <w:rPr>
                <w:lang w:val="pt-PT"/>
              </w:rPr>
            </w:pPr>
            <w:r w:rsidRPr="00A16B47">
              <w:rPr>
                <w:lang w:val="pt-PT"/>
              </w:rPr>
              <w:t xml:space="preserve">RPC </w:t>
            </w:r>
            <w:proofErr w:type="spellStart"/>
            <w:r w:rsidRPr="00A16B47">
              <w:rPr>
                <w:lang w:val="pt-PT"/>
              </w:rPr>
              <w:t>Reference</w:t>
            </w:r>
            <w:proofErr w:type="spellEnd"/>
            <w:r w:rsidRPr="00A16B47">
              <w:rPr>
                <w:lang w:val="pt-PT"/>
              </w:rPr>
              <w:t xml:space="preserve"> No:   </w:t>
            </w:r>
            <w:bookmarkStart w:id="1" w:name="IARPCReference"/>
            <w:r w:rsidR="00C60191">
              <w:fldChar w:fldCharType="begin">
                <w:ffData>
                  <w:name w:val="IARPCReference"/>
                  <w:enabled/>
                  <w:calcOnExit w:val="0"/>
                  <w:textInput/>
                </w:ffData>
              </w:fldChar>
            </w:r>
            <w:r w:rsidR="00C60191" w:rsidRPr="00A16B47">
              <w:rPr>
                <w:lang w:val="pt-PT"/>
              </w:rPr>
              <w:instrText xml:space="preserve"> FORMTEXT </w:instrText>
            </w:r>
            <w:r w:rsidR="00C60191">
              <w:fldChar w:fldCharType="separate"/>
            </w:r>
            <w:r w:rsidR="00C60191">
              <w:rPr>
                <w:noProof/>
              </w:rPr>
              <w:t> </w:t>
            </w:r>
            <w:r w:rsidR="00C60191">
              <w:rPr>
                <w:noProof/>
              </w:rPr>
              <w:t> </w:t>
            </w:r>
            <w:r w:rsidR="00C60191">
              <w:rPr>
                <w:noProof/>
              </w:rPr>
              <w:t> </w:t>
            </w:r>
            <w:r w:rsidR="00C60191">
              <w:rPr>
                <w:noProof/>
              </w:rPr>
              <w:t> </w:t>
            </w:r>
            <w:r w:rsidR="00C60191">
              <w:rPr>
                <w:noProof/>
              </w:rPr>
              <w:t> </w:t>
            </w:r>
            <w:r w:rsidR="00C60191">
              <w:fldChar w:fldCharType="end"/>
            </w:r>
            <w:bookmarkEnd w:id="1"/>
          </w:p>
          <w:p w14:paraId="115C429B" w14:textId="7D282F7A" w:rsidR="001D5EC9" w:rsidRPr="005F32E7" w:rsidRDefault="00495404" w:rsidP="00A90857">
            <w:pPr>
              <w:pStyle w:val="IALeadDept"/>
            </w:pPr>
            <w:r w:rsidRPr="00A90857">
              <w:rPr>
                <w:b/>
              </w:rPr>
              <w:t>Lead department or agency:</w:t>
            </w:r>
            <w:r w:rsidR="00B00194">
              <w:t xml:space="preserve">         </w:t>
            </w:r>
            <w:r w:rsidR="002B5DAC">
              <w:t>Health and Safety Executive</w:t>
            </w:r>
          </w:p>
          <w:p w14:paraId="1B73DE6C" w14:textId="5507D836" w:rsidR="00B93466" w:rsidRDefault="00495404" w:rsidP="00B00194">
            <w:pPr>
              <w:pStyle w:val="IATableLabel"/>
              <w:spacing w:after="0"/>
            </w:pPr>
            <w:r w:rsidRPr="003E0510">
              <w:t>Other dep</w:t>
            </w:r>
            <w:r w:rsidRPr="00E217A2">
              <w:t>a</w:t>
            </w:r>
            <w:r w:rsidRPr="003E0510">
              <w:t>rtments or agencies:</w:t>
            </w:r>
            <w:r w:rsidR="00B00194">
              <w:t xml:space="preserve">  </w:t>
            </w:r>
            <w:r w:rsidR="00DF2F4B">
              <w:t xml:space="preserve"> </w:t>
            </w:r>
            <w:bookmarkStart w:id="2" w:name="IAOtherDepts"/>
            <w:r w:rsidR="000239A7">
              <w:fldChar w:fldCharType="begin">
                <w:ffData>
                  <w:name w:val="IAOtherDepts"/>
                  <w:enabled/>
                  <w:calcOnExit w:val="0"/>
                  <w:textInput>
                    <w:maxLength w:val="200"/>
                  </w:textInput>
                </w:ffData>
              </w:fldChar>
            </w:r>
            <w:r w:rsidR="000239A7">
              <w:instrText xml:space="preserve"> FORMTEXT </w:instrText>
            </w:r>
            <w:r w:rsidR="000239A7">
              <w:fldChar w:fldCharType="separate"/>
            </w:r>
            <w:r w:rsidR="000239A7">
              <w:rPr>
                <w:noProof/>
              </w:rPr>
              <w:t> </w:t>
            </w:r>
            <w:r w:rsidR="000239A7">
              <w:rPr>
                <w:noProof/>
              </w:rPr>
              <w:t> </w:t>
            </w:r>
            <w:r w:rsidR="000239A7">
              <w:rPr>
                <w:noProof/>
              </w:rPr>
              <w:t> </w:t>
            </w:r>
            <w:r w:rsidR="000239A7">
              <w:rPr>
                <w:noProof/>
              </w:rPr>
              <w:t> </w:t>
            </w:r>
            <w:r w:rsidR="000239A7">
              <w:rPr>
                <w:noProof/>
              </w:rPr>
              <w:t> </w:t>
            </w:r>
            <w:r w:rsidR="000239A7">
              <w:fldChar w:fldCharType="end"/>
            </w:r>
            <w:bookmarkEnd w:id="2"/>
            <w:r w:rsidR="00C457A8">
              <w:t>N/A</w:t>
            </w:r>
          </w:p>
        </w:tc>
        <w:tc>
          <w:tcPr>
            <w:tcW w:w="4650" w:type="dxa"/>
            <w:gridSpan w:val="2"/>
            <w:tcBorders>
              <w:top w:val="single" w:sz="4" w:space="0" w:color="auto"/>
              <w:bottom w:val="single" w:sz="4" w:space="0" w:color="auto"/>
            </w:tcBorders>
          </w:tcPr>
          <w:tbl>
            <w:tblPr>
              <w:tblW w:w="4633"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633"/>
            </w:tblGrid>
            <w:tr w:rsidR="00B50649" w:rsidRPr="00383295" w14:paraId="798A3A5B" w14:textId="77777777" w:rsidTr="00A75F80">
              <w:trPr>
                <w:trHeight w:hRule="exact" w:val="539"/>
              </w:trPr>
              <w:tc>
                <w:tcPr>
                  <w:tcW w:w="4633" w:type="dxa"/>
                  <w:tcBorders>
                    <w:bottom w:val="single" w:sz="4" w:space="0" w:color="333333"/>
                  </w:tcBorders>
                  <w:shd w:val="clear" w:color="auto" w:fill="333333"/>
                  <w:vAlign w:val="center"/>
                </w:tcPr>
                <w:p w14:paraId="47288BDB" w14:textId="77777777" w:rsidR="00B50649" w:rsidRPr="00383295" w:rsidRDefault="00B50649" w:rsidP="00E90731">
                  <w:pPr>
                    <w:pStyle w:val="Title"/>
                  </w:pPr>
                  <w:r w:rsidRPr="00383295">
                    <w:t>Impact Assessment (IA)</w:t>
                  </w:r>
                </w:p>
              </w:tc>
            </w:tr>
            <w:tr w:rsidR="00B50649" w:rsidRPr="00966271" w14:paraId="254D3FBF" w14:textId="77777777" w:rsidTr="00A75F80">
              <w:tc>
                <w:tcPr>
                  <w:tcW w:w="4633" w:type="dxa"/>
                  <w:tcBorders>
                    <w:top w:val="single" w:sz="4" w:space="0" w:color="333333"/>
                    <w:bottom w:val="single" w:sz="4" w:space="0" w:color="333333"/>
                  </w:tcBorders>
                </w:tcPr>
                <w:p w14:paraId="46EDA12E" w14:textId="5BBE4569" w:rsidR="001F69E9" w:rsidRPr="00631B4C" w:rsidRDefault="00B50649" w:rsidP="00C46EA7">
                  <w:pPr>
                    <w:pStyle w:val="IATableLabel"/>
                  </w:pPr>
                  <w:r w:rsidRPr="00631B4C">
                    <w:t>Date:</w:t>
                  </w:r>
                  <w:r w:rsidR="0071686F">
                    <w:t xml:space="preserve"> </w:t>
                  </w:r>
                  <w:r w:rsidR="00A03D32">
                    <w:rPr>
                      <w:rStyle w:val="IADateChar"/>
                      <w:sz w:val="20"/>
                    </w:rPr>
                    <w:t>16</w:t>
                  </w:r>
                  <w:r w:rsidR="00A03D32" w:rsidRPr="00A03D32">
                    <w:rPr>
                      <w:rStyle w:val="IADateChar"/>
                      <w:sz w:val="20"/>
                      <w:vertAlign w:val="superscript"/>
                    </w:rPr>
                    <w:t>th</w:t>
                  </w:r>
                  <w:r w:rsidR="00A03D32">
                    <w:rPr>
                      <w:rStyle w:val="IADateChar"/>
                      <w:sz w:val="20"/>
                    </w:rPr>
                    <w:t xml:space="preserve"> September 2022</w:t>
                  </w:r>
                </w:p>
              </w:tc>
            </w:tr>
            <w:tr w:rsidR="00B50649" w:rsidRPr="00966271" w14:paraId="73099175" w14:textId="77777777" w:rsidTr="00A75F80">
              <w:tc>
                <w:tcPr>
                  <w:tcW w:w="4633" w:type="dxa"/>
                  <w:tcBorders>
                    <w:top w:val="single" w:sz="4" w:space="0" w:color="333333"/>
                    <w:bottom w:val="single" w:sz="4" w:space="0" w:color="333333"/>
                  </w:tcBorders>
                </w:tcPr>
                <w:p w14:paraId="1F935AA8" w14:textId="3551A501" w:rsidR="00B50649" w:rsidRPr="007F0ED9" w:rsidRDefault="00941D69" w:rsidP="00E90731">
                  <w:pPr>
                    <w:pStyle w:val="IATableLabel"/>
                  </w:pPr>
                  <w:bookmarkStart w:id="3" w:name="Stage"/>
                  <w:r w:rsidRPr="007F0ED9">
                    <w:t xml:space="preserve">Stage: </w:t>
                  </w:r>
                  <w:bookmarkEnd w:id="3"/>
                  <w:r w:rsidR="000B5822">
                    <w:rPr>
                      <w:rStyle w:val="IAStageChar"/>
                      <w:sz w:val="20"/>
                    </w:rPr>
                    <w:t>Consultation</w:t>
                  </w:r>
                </w:p>
              </w:tc>
            </w:tr>
            <w:tr w:rsidR="00B50649" w:rsidRPr="00966271" w14:paraId="0AA6C47A" w14:textId="77777777" w:rsidTr="00A75F80">
              <w:tc>
                <w:tcPr>
                  <w:tcW w:w="4633" w:type="dxa"/>
                  <w:tcBorders>
                    <w:top w:val="single" w:sz="4" w:space="0" w:color="333333"/>
                    <w:bottom w:val="single" w:sz="4" w:space="0" w:color="333333"/>
                  </w:tcBorders>
                </w:tcPr>
                <w:p w14:paraId="511E18B5" w14:textId="77777777" w:rsidR="00B50649" w:rsidRPr="007F0ED9" w:rsidRDefault="0071686F" w:rsidP="00E90731">
                  <w:pPr>
                    <w:pStyle w:val="IATableLabel"/>
                  </w:pPr>
                  <w:r w:rsidRPr="007F0ED9">
                    <w:t xml:space="preserve">Source </w:t>
                  </w:r>
                  <w:r w:rsidR="006A56C1" w:rsidRPr="007F0ED9">
                    <w:t xml:space="preserve">of </w:t>
                  </w:r>
                  <w:r w:rsidRPr="007F0ED9">
                    <w:t>intervention:</w:t>
                  </w:r>
                  <w:r w:rsidR="00B50649" w:rsidRPr="007F0ED9">
                    <w:t xml:space="preserve"> </w:t>
                  </w:r>
                  <w:bookmarkStart w:id="4" w:name="IAInterSource"/>
                  <w:r w:rsidR="00290335" w:rsidRPr="007E190E">
                    <w:rPr>
                      <w:rStyle w:val="IASOIChar"/>
                      <w:sz w:val="20"/>
                    </w:rPr>
                    <w:fldChar w:fldCharType="begin">
                      <w:ffData>
                        <w:name w:val="IAInterSource"/>
                        <w:enabled/>
                        <w:calcOnExit w:val="0"/>
                        <w:ddList>
                          <w:listEntry w:val="Domestic"/>
                          <w:listEntry w:val="EU"/>
                          <w:listEntry w:val="International"/>
                        </w:ddList>
                      </w:ffData>
                    </w:fldChar>
                  </w:r>
                  <w:r w:rsidR="00290335" w:rsidRPr="007E190E">
                    <w:rPr>
                      <w:rStyle w:val="IASOIChar"/>
                      <w:sz w:val="20"/>
                    </w:rPr>
                    <w:instrText xml:space="preserve"> FORMDROPDOWN </w:instrText>
                  </w:r>
                  <w:r w:rsidR="00437381">
                    <w:rPr>
                      <w:rStyle w:val="IASOIChar"/>
                      <w:sz w:val="20"/>
                    </w:rPr>
                  </w:r>
                  <w:r w:rsidR="00437381">
                    <w:rPr>
                      <w:rStyle w:val="IASOIChar"/>
                      <w:sz w:val="20"/>
                    </w:rPr>
                    <w:fldChar w:fldCharType="separate"/>
                  </w:r>
                  <w:r w:rsidR="00290335" w:rsidRPr="007E190E">
                    <w:rPr>
                      <w:rStyle w:val="IASOIChar"/>
                      <w:sz w:val="20"/>
                    </w:rPr>
                    <w:fldChar w:fldCharType="end"/>
                  </w:r>
                  <w:bookmarkEnd w:id="4"/>
                </w:p>
              </w:tc>
            </w:tr>
            <w:tr w:rsidR="00052F44" w:rsidRPr="007E190E" w14:paraId="498B71AA" w14:textId="77777777" w:rsidTr="00A75F80">
              <w:tc>
                <w:tcPr>
                  <w:tcW w:w="4633" w:type="dxa"/>
                  <w:tcBorders>
                    <w:top w:val="single" w:sz="4" w:space="0" w:color="333333"/>
                    <w:bottom w:val="single" w:sz="4" w:space="0" w:color="333333"/>
                  </w:tcBorders>
                </w:tcPr>
                <w:p w14:paraId="3ACC454D" w14:textId="6EB7AED7" w:rsidR="00052F44" w:rsidRPr="007E190E" w:rsidRDefault="00052F44" w:rsidP="00E90731">
                  <w:pPr>
                    <w:pStyle w:val="IATableLabel"/>
                    <w:rPr>
                      <w:b w:val="0"/>
                    </w:rPr>
                  </w:pPr>
                  <w:r w:rsidRPr="007F0ED9">
                    <w:t xml:space="preserve">Type of measure: </w:t>
                  </w:r>
                  <w:r w:rsidR="000B5822">
                    <w:rPr>
                      <w:rStyle w:val="IATOMChar"/>
                      <w:sz w:val="20"/>
                    </w:rPr>
                    <w:t>Secondary legislation</w:t>
                  </w:r>
                </w:p>
              </w:tc>
            </w:tr>
            <w:tr w:rsidR="00B50649" w:rsidRPr="007E190E" w14:paraId="293374C8" w14:textId="77777777" w:rsidTr="00A75F80">
              <w:trPr>
                <w:trHeight w:val="1115"/>
              </w:trPr>
              <w:tc>
                <w:tcPr>
                  <w:tcW w:w="4633" w:type="dxa"/>
                  <w:tcBorders>
                    <w:top w:val="single" w:sz="4" w:space="0" w:color="333333"/>
                    <w:bottom w:val="single" w:sz="4" w:space="0" w:color="333333"/>
                  </w:tcBorders>
                </w:tcPr>
                <w:p w14:paraId="059466AB" w14:textId="77777777" w:rsidR="00023080" w:rsidRPr="000F004E" w:rsidRDefault="00773719" w:rsidP="007E190E">
                  <w:pPr>
                    <w:ind w:left="113" w:right="113"/>
                  </w:pPr>
                  <w:r w:rsidRPr="007E190E">
                    <w:rPr>
                      <w:rStyle w:val="IATableLabelCharChar"/>
                      <w:sz w:val="20"/>
                      <w:szCs w:val="20"/>
                    </w:rPr>
                    <w:t>Contact for enquiries:</w:t>
                  </w:r>
                  <w:r w:rsidRPr="00D337D1">
                    <w:t xml:space="preserve"> </w:t>
                  </w:r>
                  <w:bookmarkStart w:id="5" w:name="IAEnquiryContacts"/>
                  <w:r w:rsidRPr="007E190E">
                    <w:rPr>
                      <w:rStyle w:val="IACOEChar"/>
                      <w:b w:val="0"/>
                      <w:sz w:val="20"/>
                    </w:rPr>
                    <w:fldChar w:fldCharType="begin">
                      <w:ffData>
                        <w:name w:val="IAEnquiryContacts"/>
                        <w:enabled/>
                        <w:calcOnExit w:val="0"/>
                        <w:textInput>
                          <w:maxLength w:val="200"/>
                        </w:textInput>
                      </w:ffData>
                    </w:fldChar>
                  </w:r>
                  <w:r w:rsidRPr="007E190E">
                    <w:rPr>
                      <w:rStyle w:val="IACOEChar"/>
                      <w:b w:val="0"/>
                      <w:sz w:val="20"/>
                    </w:rPr>
                    <w:instrText xml:space="preserve"> FORMTEXT </w:instrText>
                  </w:r>
                  <w:r w:rsidRPr="007E190E">
                    <w:rPr>
                      <w:rStyle w:val="IACOEChar"/>
                      <w:b w:val="0"/>
                      <w:sz w:val="20"/>
                    </w:rPr>
                  </w:r>
                  <w:r w:rsidRPr="007E190E">
                    <w:rPr>
                      <w:rStyle w:val="IACOEChar"/>
                      <w:b w:val="0"/>
                      <w:sz w:val="20"/>
                    </w:rPr>
                    <w:fldChar w:fldCharType="separate"/>
                  </w:r>
                  <w:r w:rsidRPr="007E190E">
                    <w:rPr>
                      <w:rStyle w:val="IACOEChar"/>
                      <w:b w:val="0"/>
                      <w:sz w:val="20"/>
                    </w:rPr>
                    <w:t> </w:t>
                  </w:r>
                  <w:r w:rsidRPr="007E190E">
                    <w:rPr>
                      <w:rStyle w:val="IACOEChar"/>
                      <w:b w:val="0"/>
                      <w:sz w:val="20"/>
                    </w:rPr>
                    <w:t> </w:t>
                  </w:r>
                  <w:r w:rsidRPr="007E190E">
                    <w:rPr>
                      <w:rStyle w:val="IACOEChar"/>
                      <w:b w:val="0"/>
                      <w:sz w:val="20"/>
                    </w:rPr>
                    <w:t> </w:t>
                  </w:r>
                  <w:r w:rsidRPr="007E190E">
                    <w:rPr>
                      <w:rStyle w:val="IACOEChar"/>
                      <w:b w:val="0"/>
                      <w:sz w:val="20"/>
                    </w:rPr>
                    <w:t> </w:t>
                  </w:r>
                  <w:r w:rsidRPr="007E190E">
                    <w:rPr>
                      <w:rStyle w:val="IACOEChar"/>
                      <w:b w:val="0"/>
                      <w:sz w:val="20"/>
                    </w:rPr>
                    <w:t> </w:t>
                  </w:r>
                  <w:r w:rsidRPr="007E190E">
                    <w:rPr>
                      <w:rStyle w:val="IACOEChar"/>
                      <w:b w:val="0"/>
                      <w:sz w:val="20"/>
                    </w:rPr>
                    <w:fldChar w:fldCharType="end"/>
                  </w:r>
                  <w:bookmarkEnd w:id="5"/>
                </w:p>
              </w:tc>
            </w:tr>
            <w:tr w:rsidR="000C1D45" w:rsidRPr="007E190E" w14:paraId="32CB0703" w14:textId="77777777" w:rsidTr="00A75F80">
              <w:trPr>
                <w:trHeight w:val="1115"/>
              </w:trPr>
              <w:tc>
                <w:tcPr>
                  <w:tcW w:w="4633" w:type="dxa"/>
                  <w:tcBorders>
                    <w:top w:val="single" w:sz="4" w:space="0" w:color="333333"/>
                    <w:bottom w:val="single" w:sz="4" w:space="0" w:color="333333"/>
                  </w:tcBorders>
                </w:tcPr>
                <w:p w14:paraId="3613DB26" w14:textId="77777777" w:rsidR="000C1D45" w:rsidRPr="007E190E" w:rsidRDefault="000C1D45" w:rsidP="00A32793">
                  <w:pPr>
                    <w:pStyle w:val="IATableLines"/>
                    <w:rPr>
                      <w:b/>
                      <w:color w:val="000000"/>
                      <w:sz w:val="20"/>
                    </w:rPr>
                  </w:pPr>
                </w:p>
              </w:tc>
            </w:tr>
            <w:tr w:rsidR="000C1D45" w:rsidRPr="007E190E" w14:paraId="6802EA12" w14:textId="77777777" w:rsidTr="00A75F80">
              <w:trPr>
                <w:trHeight w:val="1115"/>
              </w:trPr>
              <w:tc>
                <w:tcPr>
                  <w:tcW w:w="4633" w:type="dxa"/>
                  <w:tcBorders>
                    <w:top w:val="single" w:sz="4" w:space="0" w:color="333333"/>
                    <w:bottom w:val="single" w:sz="4" w:space="0" w:color="333333"/>
                  </w:tcBorders>
                </w:tcPr>
                <w:p w14:paraId="31D8DF7F" w14:textId="77777777" w:rsidR="000C1D45" w:rsidRPr="007E190E" w:rsidRDefault="000C1D45" w:rsidP="00A32793">
                  <w:pPr>
                    <w:pStyle w:val="IATableLines"/>
                    <w:rPr>
                      <w:b/>
                      <w:color w:val="000000"/>
                      <w:sz w:val="20"/>
                    </w:rPr>
                  </w:pPr>
                </w:p>
              </w:tc>
            </w:tr>
            <w:tr w:rsidR="000C1D45" w:rsidRPr="007E190E" w14:paraId="266107BB" w14:textId="77777777" w:rsidTr="00A75F80">
              <w:trPr>
                <w:trHeight w:val="1115"/>
              </w:trPr>
              <w:tc>
                <w:tcPr>
                  <w:tcW w:w="4633" w:type="dxa"/>
                  <w:tcBorders>
                    <w:top w:val="single" w:sz="4" w:space="0" w:color="333333"/>
                    <w:bottom w:val="single" w:sz="4" w:space="0" w:color="333333"/>
                  </w:tcBorders>
                </w:tcPr>
                <w:p w14:paraId="52DA93B2" w14:textId="77777777" w:rsidR="000C1D45" w:rsidRPr="007E190E" w:rsidRDefault="000C1D45" w:rsidP="00A32793">
                  <w:pPr>
                    <w:pStyle w:val="IATableLines"/>
                    <w:rPr>
                      <w:b/>
                      <w:color w:val="000000"/>
                      <w:sz w:val="20"/>
                    </w:rPr>
                  </w:pPr>
                </w:p>
              </w:tc>
            </w:tr>
            <w:tr w:rsidR="000C1D45" w:rsidRPr="007E190E" w14:paraId="03CB09E5" w14:textId="77777777" w:rsidTr="00A75F80">
              <w:trPr>
                <w:trHeight w:val="1115"/>
              </w:trPr>
              <w:tc>
                <w:tcPr>
                  <w:tcW w:w="4633" w:type="dxa"/>
                  <w:tcBorders>
                    <w:top w:val="single" w:sz="4" w:space="0" w:color="333333"/>
                    <w:bottom w:val="single" w:sz="4" w:space="0" w:color="333333"/>
                  </w:tcBorders>
                </w:tcPr>
                <w:p w14:paraId="73725245" w14:textId="77777777" w:rsidR="000C1D45" w:rsidRPr="007E190E" w:rsidRDefault="000C1D45" w:rsidP="00A32793">
                  <w:pPr>
                    <w:pStyle w:val="IATableLines"/>
                    <w:rPr>
                      <w:b/>
                      <w:color w:val="000000"/>
                      <w:sz w:val="20"/>
                    </w:rPr>
                  </w:pPr>
                </w:p>
              </w:tc>
            </w:tr>
            <w:tr w:rsidR="000C1D45" w:rsidRPr="007E190E" w14:paraId="0D8E6F09" w14:textId="77777777" w:rsidTr="00A75F80">
              <w:trPr>
                <w:trHeight w:val="1115"/>
              </w:trPr>
              <w:tc>
                <w:tcPr>
                  <w:tcW w:w="4633" w:type="dxa"/>
                  <w:tcBorders>
                    <w:top w:val="single" w:sz="4" w:space="0" w:color="333333"/>
                    <w:bottom w:val="single" w:sz="4" w:space="0" w:color="333333"/>
                  </w:tcBorders>
                </w:tcPr>
                <w:p w14:paraId="1F474E2A" w14:textId="77777777" w:rsidR="000C1D45" w:rsidRPr="007E190E" w:rsidRDefault="000C1D45" w:rsidP="00A32793">
                  <w:pPr>
                    <w:pStyle w:val="IATableLines"/>
                    <w:rPr>
                      <w:b/>
                      <w:color w:val="000000"/>
                      <w:sz w:val="20"/>
                    </w:rPr>
                  </w:pPr>
                </w:p>
              </w:tc>
            </w:tr>
            <w:tr w:rsidR="000C1D45" w:rsidRPr="007E190E" w14:paraId="25F3101C" w14:textId="77777777" w:rsidTr="00A75F80">
              <w:trPr>
                <w:trHeight w:val="1115"/>
              </w:trPr>
              <w:tc>
                <w:tcPr>
                  <w:tcW w:w="4633" w:type="dxa"/>
                  <w:tcBorders>
                    <w:top w:val="single" w:sz="4" w:space="0" w:color="333333"/>
                  </w:tcBorders>
                </w:tcPr>
                <w:p w14:paraId="2C467494" w14:textId="77777777" w:rsidR="000C1D45" w:rsidRPr="007E190E" w:rsidRDefault="000C1D45" w:rsidP="00A32793">
                  <w:pPr>
                    <w:pStyle w:val="IATableLines"/>
                    <w:rPr>
                      <w:b/>
                      <w:color w:val="000000"/>
                      <w:sz w:val="20"/>
                    </w:rPr>
                  </w:pPr>
                </w:p>
              </w:tc>
            </w:tr>
          </w:tbl>
          <w:p w14:paraId="78BDBA71" w14:textId="77777777" w:rsidR="00B50649" w:rsidRPr="007E190E" w:rsidRDefault="00B50649">
            <w:pPr>
              <w:rPr>
                <w:rFonts w:eastAsia="SimSun"/>
              </w:rPr>
            </w:pPr>
          </w:p>
        </w:tc>
      </w:tr>
      <w:tr w:rsidR="000C1D45" w:rsidRPr="00A16B47" w14:paraId="3360621A" w14:textId="77777777" w:rsidTr="007251EA">
        <w:trPr>
          <w:trHeight w:hRule="exact" w:val="410"/>
        </w:trPr>
        <w:tc>
          <w:tcPr>
            <w:tcW w:w="6255" w:type="dxa"/>
            <w:gridSpan w:val="3"/>
            <w:tcBorders>
              <w:top w:val="single" w:sz="4" w:space="0" w:color="auto"/>
              <w:left w:val="nil"/>
              <w:bottom w:val="single" w:sz="4" w:space="0" w:color="auto"/>
            </w:tcBorders>
          </w:tcPr>
          <w:p w14:paraId="0858335E" w14:textId="77777777" w:rsidR="000C1D45" w:rsidRPr="007E190E" w:rsidRDefault="000C1D45" w:rsidP="007E190E">
            <w:pPr>
              <w:pStyle w:val="Heading1"/>
              <w:spacing w:before="60"/>
              <w:rPr>
                <w:rFonts w:eastAsia="SimSun" w:hint="eastAsia"/>
                <w:sz w:val="28"/>
                <w:szCs w:val="28"/>
              </w:rPr>
            </w:pPr>
            <w:r w:rsidRPr="007E190E">
              <w:rPr>
                <w:rFonts w:eastAsia="SimSun"/>
                <w:sz w:val="28"/>
                <w:szCs w:val="28"/>
              </w:rPr>
              <w:t xml:space="preserve">Summary: Intervention and Options </w:t>
            </w:r>
          </w:p>
          <w:p w14:paraId="3AB74490" w14:textId="77777777" w:rsidR="000C1D45" w:rsidRPr="007E190E" w:rsidRDefault="000C1D45" w:rsidP="007E190E">
            <w:pPr>
              <w:pStyle w:val="IAHeadLabel0"/>
              <w:spacing w:before="50"/>
              <w:ind w:left="113"/>
              <w:rPr>
                <w:sz w:val="28"/>
                <w:szCs w:val="28"/>
              </w:rPr>
            </w:pPr>
          </w:p>
        </w:tc>
        <w:tc>
          <w:tcPr>
            <w:tcW w:w="4650" w:type="dxa"/>
            <w:gridSpan w:val="2"/>
            <w:tcBorders>
              <w:top w:val="single" w:sz="4" w:space="0" w:color="auto"/>
              <w:bottom w:val="single" w:sz="4" w:space="0" w:color="auto"/>
            </w:tcBorders>
            <w:shd w:val="clear" w:color="auto" w:fill="E0E0E0"/>
            <w:vAlign w:val="center"/>
          </w:tcPr>
          <w:p w14:paraId="23CE109F" w14:textId="0C661C62" w:rsidR="000C1D45" w:rsidRPr="00A16B47" w:rsidRDefault="000C1D45" w:rsidP="00307737">
            <w:pPr>
              <w:pStyle w:val="Title"/>
              <w:rPr>
                <w:rFonts w:eastAsia="SimSun"/>
                <w:b/>
                <w:color w:val="auto"/>
                <w:sz w:val="24"/>
                <w:szCs w:val="24"/>
                <w:lang w:val="pt-PT"/>
              </w:rPr>
            </w:pPr>
            <w:r w:rsidRPr="00A16B47">
              <w:rPr>
                <w:rFonts w:eastAsia="SimSun"/>
                <w:b/>
                <w:color w:val="auto"/>
                <w:sz w:val="24"/>
                <w:szCs w:val="24"/>
                <w:lang w:val="pt-PT"/>
              </w:rPr>
              <w:t>RPC</w:t>
            </w:r>
            <w:r w:rsidR="00EC6B93" w:rsidRPr="00A16B47">
              <w:rPr>
                <w:rFonts w:eastAsia="SimSun"/>
                <w:b/>
                <w:color w:val="auto"/>
                <w:sz w:val="24"/>
                <w:szCs w:val="24"/>
                <w:lang w:val="pt-PT"/>
              </w:rPr>
              <w:t xml:space="preserve"> </w:t>
            </w:r>
            <w:proofErr w:type="spellStart"/>
            <w:r w:rsidR="00EC6B93" w:rsidRPr="00A16B47">
              <w:rPr>
                <w:rFonts w:eastAsia="SimSun"/>
                <w:b/>
                <w:color w:val="auto"/>
                <w:sz w:val="24"/>
                <w:szCs w:val="24"/>
                <w:lang w:val="pt-PT"/>
              </w:rPr>
              <w:t>Opinion</w:t>
            </w:r>
            <w:proofErr w:type="spellEnd"/>
            <w:r w:rsidRPr="00A16B47">
              <w:rPr>
                <w:rFonts w:eastAsia="SimSun"/>
                <w:b/>
                <w:color w:val="auto"/>
                <w:sz w:val="24"/>
                <w:szCs w:val="24"/>
                <w:lang w:val="pt-PT"/>
              </w:rPr>
              <w:t xml:space="preserve">: </w:t>
            </w:r>
            <w:r w:rsidR="00A75F80" w:rsidRPr="00A16B47">
              <w:rPr>
                <w:rStyle w:val="IARPCChar"/>
                <w:szCs w:val="24"/>
                <w:lang w:val="pt-PT"/>
              </w:rPr>
              <w:t>N/A (de minimis)</w:t>
            </w:r>
          </w:p>
        </w:tc>
      </w:tr>
      <w:tr w:rsidR="00372A69" w:rsidRPr="00A16B47" w14:paraId="0A460EEB" w14:textId="77777777" w:rsidTr="007251EA">
        <w:trPr>
          <w:trHeight w:hRule="exact" w:val="90"/>
        </w:trPr>
        <w:tc>
          <w:tcPr>
            <w:tcW w:w="10905" w:type="dxa"/>
            <w:gridSpan w:val="5"/>
            <w:tcBorders>
              <w:top w:val="single" w:sz="4" w:space="0" w:color="auto"/>
              <w:left w:val="nil"/>
              <w:bottom w:val="nil"/>
            </w:tcBorders>
          </w:tcPr>
          <w:p w14:paraId="13A05E15" w14:textId="77777777" w:rsidR="00372A69" w:rsidRPr="00A16B47" w:rsidRDefault="00372A69" w:rsidP="00372A69">
            <w:pPr>
              <w:rPr>
                <w:rFonts w:eastAsia="SimSun"/>
                <w:lang w:val="pt-PT"/>
              </w:rPr>
            </w:pPr>
          </w:p>
        </w:tc>
      </w:tr>
      <w:tr w:rsidR="00372A69" w:rsidRPr="000E02BE" w14:paraId="544F0F01" w14:textId="77777777" w:rsidTr="007251EA">
        <w:tblPrEx>
          <w:tblBorders>
            <w:insideV w:val="none" w:sz="0" w:space="0" w:color="auto"/>
          </w:tblBorders>
        </w:tblPrEx>
        <w:trPr>
          <w:trHeight w:hRule="exact" w:val="312"/>
        </w:trPr>
        <w:tc>
          <w:tcPr>
            <w:tcW w:w="10905" w:type="dxa"/>
            <w:gridSpan w:val="5"/>
            <w:tcBorders>
              <w:top w:val="single" w:sz="4" w:space="0" w:color="auto"/>
              <w:bottom w:val="nil"/>
            </w:tcBorders>
            <w:shd w:val="clear" w:color="auto" w:fill="E0E0E0"/>
          </w:tcPr>
          <w:p w14:paraId="3CB70531" w14:textId="01581C5E" w:rsidR="00372A69" w:rsidRPr="000E02BE" w:rsidRDefault="00372A69" w:rsidP="006A0557">
            <w:pPr>
              <w:pStyle w:val="IATableLabel"/>
              <w:ind w:left="0"/>
              <w:jc w:val="center"/>
            </w:pPr>
            <w:bookmarkStart w:id="6" w:name="CostText"/>
            <w:r>
              <w:t>Cost of Preferred (or more likely) Optio</w:t>
            </w:r>
            <w:r w:rsidR="00F06858">
              <w:t>n</w:t>
            </w:r>
            <w:bookmarkEnd w:id="6"/>
            <w:r w:rsidR="00310BBC">
              <w:t xml:space="preserve"> </w:t>
            </w:r>
            <w:r w:rsidR="00310BBC" w:rsidRPr="00310BBC">
              <w:rPr>
                <w:b w:val="0"/>
              </w:rPr>
              <w:t>(in 201</w:t>
            </w:r>
            <w:r w:rsidR="00D64409">
              <w:rPr>
                <w:b w:val="0"/>
              </w:rPr>
              <w:t>9</w:t>
            </w:r>
            <w:r w:rsidR="00310BBC" w:rsidRPr="00310BBC">
              <w:rPr>
                <w:b w:val="0"/>
              </w:rPr>
              <w:t xml:space="preserve"> prices)</w:t>
            </w:r>
          </w:p>
        </w:tc>
      </w:tr>
      <w:tr w:rsidR="00DE39C4" w:rsidRPr="000E02BE" w14:paraId="03DC0428" w14:textId="77777777" w:rsidTr="00A75F80">
        <w:tblPrEx>
          <w:tblBorders>
            <w:insideV w:val="none" w:sz="0" w:space="0" w:color="auto"/>
          </w:tblBorders>
        </w:tblPrEx>
        <w:trPr>
          <w:trHeight w:hRule="exact" w:val="571"/>
        </w:trPr>
        <w:tc>
          <w:tcPr>
            <w:tcW w:w="1985" w:type="dxa"/>
            <w:tcBorders>
              <w:top w:val="single" w:sz="4" w:space="0" w:color="auto"/>
              <w:bottom w:val="nil"/>
              <w:right w:val="single" w:sz="4" w:space="0" w:color="auto"/>
            </w:tcBorders>
            <w:shd w:val="clear" w:color="auto" w:fill="E0E0E0"/>
            <w:vAlign w:val="center"/>
          </w:tcPr>
          <w:p w14:paraId="77FF69E8" w14:textId="77777777" w:rsidR="00DE39C4" w:rsidRPr="000E02BE" w:rsidRDefault="00DE39C4" w:rsidP="006A0557">
            <w:pPr>
              <w:pStyle w:val="IATableLabel"/>
              <w:spacing w:before="0" w:after="0"/>
            </w:pPr>
            <w:r>
              <w:t>Total Net Present Social Value</w:t>
            </w:r>
          </w:p>
        </w:tc>
        <w:tc>
          <w:tcPr>
            <w:tcW w:w="2542" w:type="dxa"/>
            <w:tcBorders>
              <w:top w:val="single" w:sz="4" w:space="0" w:color="auto"/>
              <w:bottom w:val="nil"/>
              <w:right w:val="single" w:sz="4" w:space="0" w:color="auto"/>
            </w:tcBorders>
            <w:shd w:val="clear" w:color="auto" w:fill="E0E0E0"/>
            <w:vAlign w:val="center"/>
          </w:tcPr>
          <w:p w14:paraId="1C8EF39A" w14:textId="77777777" w:rsidR="00DE39C4" w:rsidRPr="000E02BE" w:rsidRDefault="00DE39C4" w:rsidP="006A0557">
            <w:pPr>
              <w:pStyle w:val="IATableLabel"/>
              <w:spacing w:before="0" w:after="0"/>
            </w:pPr>
            <w:r>
              <w:t>Business Net Present Value</w:t>
            </w:r>
          </w:p>
        </w:tc>
        <w:tc>
          <w:tcPr>
            <w:tcW w:w="3118" w:type="dxa"/>
            <w:gridSpan w:val="2"/>
            <w:tcBorders>
              <w:top w:val="single" w:sz="4" w:space="0" w:color="auto"/>
              <w:bottom w:val="nil"/>
              <w:right w:val="single" w:sz="4" w:space="0" w:color="auto"/>
            </w:tcBorders>
            <w:shd w:val="clear" w:color="auto" w:fill="E0E0E0"/>
            <w:vAlign w:val="center"/>
          </w:tcPr>
          <w:p w14:paraId="33241A69" w14:textId="178D4C49" w:rsidR="00DE39C4" w:rsidRPr="000E02BE" w:rsidRDefault="00DE39C4" w:rsidP="006C6483">
            <w:pPr>
              <w:pStyle w:val="IATableLabel"/>
              <w:spacing w:before="0" w:after="0"/>
            </w:pPr>
            <w:r>
              <w:t xml:space="preserve">Net cost to business per year </w:t>
            </w:r>
          </w:p>
        </w:tc>
        <w:tc>
          <w:tcPr>
            <w:tcW w:w="3260" w:type="dxa"/>
            <w:vMerge w:val="restart"/>
            <w:tcBorders>
              <w:top w:val="single" w:sz="4" w:space="0" w:color="auto"/>
              <w:left w:val="single" w:sz="4" w:space="0" w:color="auto"/>
            </w:tcBorders>
            <w:shd w:val="clear" w:color="auto" w:fill="E0E0E0"/>
            <w:vAlign w:val="center"/>
          </w:tcPr>
          <w:p w14:paraId="0B160238" w14:textId="77777777" w:rsidR="00DE39C4" w:rsidRDefault="00DE39C4" w:rsidP="00000766">
            <w:pPr>
              <w:pStyle w:val="IATableLabel"/>
              <w:spacing w:before="0" w:after="0"/>
            </w:pPr>
            <w:r>
              <w:t>Business Impact Target Status</w:t>
            </w:r>
          </w:p>
          <w:p w14:paraId="10C9DE8D" w14:textId="77777777" w:rsidR="006B71AA" w:rsidRDefault="006B71AA" w:rsidP="00000766">
            <w:pPr>
              <w:pStyle w:val="IATableLabel"/>
              <w:spacing w:before="0" w:after="0"/>
            </w:pPr>
          </w:p>
          <w:p w14:paraId="665FCA2D" w14:textId="6135C3A5" w:rsidR="00DE39C4" w:rsidRPr="000E02BE" w:rsidRDefault="006B71AA" w:rsidP="008369A3">
            <w:pPr>
              <w:pStyle w:val="IAIOPrefMQ"/>
            </w:pPr>
            <w:r>
              <w:t>Nil (de minimis)</w:t>
            </w:r>
          </w:p>
        </w:tc>
      </w:tr>
      <w:tr w:rsidR="00DE39C4" w:rsidRPr="0061761A" w14:paraId="557E95FF" w14:textId="77777777" w:rsidTr="00A75F80">
        <w:tblPrEx>
          <w:tblBorders>
            <w:insideV w:val="none" w:sz="0" w:space="0" w:color="auto"/>
          </w:tblBorders>
        </w:tblPrEx>
        <w:trPr>
          <w:trHeight w:hRule="exact" w:val="340"/>
        </w:trPr>
        <w:tc>
          <w:tcPr>
            <w:tcW w:w="1985" w:type="dxa"/>
            <w:tcBorders>
              <w:top w:val="nil"/>
              <w:bottom w:val="single" w:sz="4" w:space="0" w:color="auto"/>
              <w:right w:val="single" w:sz="4" w:space="0" w:color="auto"/>
            </w:tcBorders>
            <w:shd w:val="clear" w:color="auto" w:fill="E0E0E0"/>
            <w:vAlign w:val="center"/>
          </w:tcPr>
          <w:p w14:paraId="2A9823E9" w14:textId="13B5B82F" w:rsidR="00DE39C4" w:rsidRPr="000E02BE" w:rsidRDefault="008551F6" w:rsidP="008369A3">
            <w:pPr>
              <w:pStyle w:val="IAIIOTNPV"/>
            </w:pPr>
            <w:bookmarkStart w:id="7" w:name="IATNPV"/>
            <w:r>
              <w:t>-</w:t>
            </w:r>
            <w:r w:rsidR="00DE39C4">
              <w:fldChar w:fldCharType="begin">
                <w:ffData>
                  <w:name w:val="IATNPV"/>
                  <w:enabled/>
                  <w:calcOnExit w:val="0"/>
                  <w:textInput>
                    <w:default w:val="£m"/>
                    <w:maxLength w:val="9"/>
                  </w:textInput>
                </w:ffData>
              </w:fldChar>
            </w:r>
            <w:r w:rsidR="00DE39C4">
              <w:instrText xml:space="preserve"> FORMTEXT </w:instrText>
            </w:r>
            <w:r w:rsidR="00DE39C4">
              <w:fldChar w:fldCharType="separate"/>
            </w:r>
            <w:r w:rsidR="00DE39C4">
              <w:rPr>
                <w:noProof/>
              </w:rPr>
              <w:t>£</w:t>
            </w:r>
            <w:r w:rsidR="006B71AA">
              <w:rPr>
                <w:noProof/>
              </w:rPr>
              <w:t>2.7</w:t>
            </w:r>
            <w:r w:rsidR="00DE39C4">
              <w:rPr>
                <w:noProof/>
              </w:rPr>
              <w:t>m</w:t>
            </w:r>
            <w:r w:rsidR="00DE39C4">
              <w:fldChar w:fldCharType="end"/>
            </w:r>
            <w:bookmarkEnd w:id="7"/>
          </w:p>
        </w:tc>
        <w:tc>
          <w:tcPr>
            <w:tcW w:w="2542" w:type="dxa"/>
            <w:tcBorders>
              <w:top w:val="nil"/>
              <w:bottom w:val="single" w:sz="4" w:space="0" w:color="auto"/>
              <w:right w:val="single" w:sz="4" w:space="0" w:color="auto"/>
            </w:tcBorders>
            <w:shd w:val="clear" w:color="auto" w:fill="E0E0E0"/>
            <w:vAlign w:val="center"/>
          </w:tcPr>
          <w:p w14:paraId="29A67005" w14:textId="7883E615" w:rsidR="00DE39C4" w:rsidRPr="000E02BE" w:rsidRDefault="006B71AA" w:rsidP="008369A3">
            <w:pPr>
              <w:pStyle w:val="IAIOBNPV"/>
            </w:pPr>
            <w:bookmarkStart w:id="8" w:name="IABNPV"/>
            <w:r>
              <w:t>-</w:t>
            </w:r>
            <w:r w:rsidR="00DE39C4">
              <w:fldChar w:fldCharType="begin">
                <w:ffData>
                  <w:name w:val="IABNPV"/>
                  <w:enabled/>
                  <w:calcOnExit w:val="0"/>
                  <w:textInput>
                    <w:default w:val="£m"/>
                    <w:maxLength w:val="9"/>
                  </w:textInput>
                </w:ffData>
              </w:fldChar>
            </w:r>
            <w:r w:rsidR="00DE39C4">
              <w:instrText xml:space="preserve"> FORMTEXT </w:instrText>
            </w:r>
            <w:r w:rsidR="00DE39C4">
              <w:fldChar w:fldCharType="separate"/>
            </w:r>
            <w:r w:rsidR="00DE39C4">
              <w:rPr>
                <w:noProof/>
              </w:rPr>
              <w:t>£</w:t>
            </w:r>
            <w:r>
              <w:rPr>
                <w:noProof/>
              </w:rPr>
              <w:t>2.7</w:t>
            </w:r>
            <w:r w:rsidR="00DE39C4">
              <w:rPr>
                <w:noProof/>
              </w:rPr>
              <w:t>m</w:t>
            </w:r>
            <w:r w:rsidR="00DE39C4">
              <w:fldChar w:fldCharType="end"/>
            </w:r>
            <w:bookmarkEnd w:id="8"/>
          </w:p>
        </w:tc>
        <w:bookmarkStart w:id="9" w:name="IANCTBPY"/>
        <w:tc>
          <w:tcPr>
            <w:tcW w:w="3118" w:type="dxa"/>
            <w:gridSpan w:val="2"/>
            <w:tcBorders>
              <w:top w:val="nil"/>
              <w:bottom w:val="single" w:sz="4" w:space="0" w:color="auto"/>
              <w:right w:val="single" w:sz="4" w:space="0" w:color="auto"/>
            </w:tcBorders>
            <w:shd w:val="clear" w:color="auto" w:fill="E0E0E0"/>
            <w:vAlign w:val="center"/>
          </w:tcPr>
          <w:p w14:paraId="71244981" w14:textId="6A950C91" w:rsidR="00DE39C4" w:rsidRPr="000E02BE" w:rsidRDefault="00DE39C4" w:rsidP="008369A3">
            <w:pPr>
              <w:pStyle w:val="IAIONCTBPY"/>
            </w:pPr>
            <w:r>
              <w:fldChar w:fldCharType="begin">
                <w:ffData>
                  <w:name w:val="IANCTBPY"/>
                  <w:enabled/>
                  <w:calcOnExit w:val="0"/>
                  <w:textInput>
                    <w:default w:val="£m"/>
                    <w:maxLength w:val="9"/>
                  </w:textInput>
                </w:ffData>
              </w:fldChar>
            </w:r>
            <w:r>
              <w:instrText xml:space="preserve"> FORMTEXT </w:instrText>
            </w:r>
            <w:r>
              <w:fldChar w:fldCharType="separate"/>
            </w:r>
            <w:r>
              <w:rPr>
                <w:noProof/>
              </w:rPr>
              <w:t>£</w:t>
            </w:r>
            <w:r w:rsidR="006B71AA">
              <w:rPr>
                <w:noProof/>
              </w:rPr>
              <w:t>0.3</w:t>
            </w:r>
            <w:r>
              <w:rPr>
                <w:noProof/>
              </w:rPr>
              <w:t>m</w:t>
            </w:r>
            <w:r>
              <w:fldChar w:fldCharType="end"/>
            </w:r>
            <w:bookmarkEnd w:id="9"/>
          </w:p>
        </w:tc>
        <w:tc>
          <w:tcPr>
            <w:tcW w:w="3260" w:type="dxa"/>
            <w:vMerge/>
            <w:vAlign w:val="center"/>
          </w:tcPr>
          <w:p w14:paraId="1824C3F7" w14:textId="77777777" w:rsidR="00DE39C4" w:rsidRPr="000E02BE" w:rsidRDefault="00DE39C4" w:rsidP="008369A3">
            <w:pPr>
              <w:pStyle w:val="IAIOPrefMQ"/>
            </w:pPr>
          </w:p>
        </w:tc>
      </w:tr>
      <w:tr w:rsidR="007208D9" w:rsidRPr="00826F71" w14:paraId="696EFFCC" w14:textId="77777777" w:rsidTr="007251EA">
        <w:trPr>
          <w:trHeight w:hRule="exact" w:val="1330"/>
        </w:trPr>
        <w:tc>
          <w:tcPr>
            <w:tcW w:w="10905" w:type="dxa"/>
            <w:gridSpan w:val="5"/>
            <w:tcBorders>
              <w:top w:val="single" w:sz="4" w:space="0" w:color="auto"/>
              <w:bottom w:val="single" w:sz="4" w:space="0" w:color="auto"/>
            </w:tcBorders>
          </w:tcPr>
          <w:p w14:paraId="744D4B79" w14:textId="07A3858D" w:rsidR="007208D9" w:rsidRPr="00EA0B74" w:rsidRDefault="072F643B" w:rsidP="008369A3">
            <w:pPr>
              <w:pStyle w:val="IAIOQ1"/>
            </w:pPr>
            <w:bookmarkStart w:id="10" w:name="Summary1"/>
            <w:r>
              <w:t>What is the problem under consideration? Why is government</w:t>
            </w:r>
            <w:r w:rsidR="00D64409">
              <w:t xml:space="preserve"> action or</w:t>
            </w:r>
            <w:r>
              <w:t xml:space="preserve"> intervention necessary?</w:t>
            </w:r>
            <w:bookmarkEnd w:id="10"/>
          </w:p>
          <w:p w14:paraId="54555A1D" w14:textId="636FB26A" w:rsidR="00E75380" w:rsidRPr="00C120C0" w:rsidRDefault="1C4EB975" w:rsidP="00FC05A0">
            <w:pPr>
              <w:pStyle w:val="IATableLines"/>
              <w:rPr>
                <w:rFonts w:eastAsia="Arial" w:cs="Arial"/>
                <w:szCs w:val="22"/>
              </w:rPr>
            </w:pPr>
            <w:bookmarkStart w:id="11" w:name="IAIOA1"/>
            <w:r w:rsidRPr="00373C73">
              <w:rPr>
                <w:sz w:val="20"/>
              </w:rPr>
              <w:t xml:space="preserve">Annexes II and III contain the data requirements to support the approval of active substances and biocidal products.  </w:t>
            </w:r>
            <w:r w:rsidR="5DA2CB87" w:rsidRPr="00373C73">
              <w:rPr>
                <w:sz w:val="20"/>
              </w:rPr>
              <w:t xml:space="preserve">Some of the current data requirements are now out </w:t>
            </w:r>
            <w:r w:rsidR="60CEFA2C" w:rsidRPr="00373C73">
              <w:rPr>
                <w:sz w:val="20"/>
              </w:rPr>
              <w:t>of date</w:t>
            </w:r>
            <w:r w:rsidR="0B0E3D30" w:rsidRPr="00373C73">
              <w:rPr>
                <w:sz w:val="20"/>
              </w:rPr>
              <w:t xml:space="preserve"> due to </w:t>
            </w:r>
            <w:r w:rsidR="60CEFA2C" w:rsidRPr="00373C73">
              <w:rPr>
                <w:sz w:val="20"/>
              </w:rPr>
              <w:t>t</w:t>
            </w:r>
            <w:r w:rsidR="10F1B0DF" w:rsidRPr="00373C73">
              <w:rPr>
                <w:sz w:val="20"/>
              </w:rPr>
              <w:t>echnical and scientific progress.</w:t>
            </w:r>
            <w:r w:rsidR="5BDF90B6" w:rsidRPr="00373C73">
              <w:rPr>
                <w:sz w:val="20"/>
              </w:rPr>
              <w:t xml:space="preserve">  An update of these Annexes is required so that they reflect current scientific standards</w:t>
            </w:r>
            <w:r w:rsidR="00267B6C" w:rsidRPr="00373C73">
              <w:rPr>
                <w:sz w:val="20"/>
              </w:rPr>
              <w:t xml:space="preserve"> and minimise animal testing requirements</w:t>
            </w:r>
            <w:r w:rsidR="14A3D89A" w:rsidRPr="00373C73">
              <w:rPr>
                <w:sz w:val="20"/>
                <w:szCs w:val="18"/>
              </w:rPr>
              <w:t>,</w:t>
            </w:r>
            <w:r w:rsidR="006F19ED" w:rsidRPr="00373C73">
              <w:rPr>
                <w:sz w:val="20"/>
              </w:rPr>
              <w:t xml:space="preserve"> </w:t>
            </w:r>
            <w:r w:rsidRPr="00373C73">
              <w:rPr>
                <w:sz w:val="20"/>
              </w:rPr>
              <w:t>adopting new testing methods and encouraging the use of in vitro studies rather than in vivo animal studies</w:t>
            </w:r>
            <w:r w:rsidR="448F1F5F" w:rsidRPr="00373C73">
              <w:rPr>
                <w:sz w:val="20"/>
              </w:rPr>
              <w:t>.</w:t>
            </w:r>
            <w:bookmarkEnd w:id="11"/>
          </w:p>
        </w:tc>
      </w:tr>
    </w:tbl>
    <w:p w14:paraId="62581936" w14:textId="77777777" w:rsidR="007208D9" w:rsidRDefault="007208D9" w:rsidP="007208D9">
      <w:pPr>
        <w:pStyle w:val="IASpacer"/>
      </w:pPr>
    </w:p>
    <w:tbl>
      <w:tblPr>
        <w:tblW w:w="5348"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905"/>
      </w:tblGrid>
      <w:tr w:rsidR="007208D9" w:rsidRPr="00826F71" w14:paraId="07B34A21" w14:textId="77777777" w:rsidTr="00D70667">
        <w:trPr>
          <w:trHeight w:hRule="exact" w:val="4359"/>
        </w:trPr>
        <w:tc>
          <w:tcPr>
            <w:tcW w:w="10905" w:type="dxa"/>
            <w:tcBorders>
              <w:top w:val="single" w:sz="4" w:space="0" w:color="auto"/>
              <w:bottom w:val="single" w:sz="4" w:space="0" w:color="auto"/>
            </w:tcBorders>
          </w:tcPr>
          <w:p w14:paraId="197141E5" w14:textId="6F0CCD37" w:rsidR="00D64409" w:rsidRPr="00EA0B74" w:rsidRDefault="00D64409" w:rsidP="00D64409">
            <w:pPr>
              <w:pStyle w:val="IAIOQ2"/>
            </w:pPr>
            <w:bookmarkStart w:id="12" w:name="Summary2"/>
            <w:r>
              <w:t>What are the policy objectives of the action or intervention and the intended effects?</w:t>
            </w:r>
            <w:bookmarkEnd w:id="12"/>
          </w:p>
          <w:p w14:paraId="61C1738B" w14:textId="2F1D2C54" w:rsidR="624517AD" w:rsidRPr="00373C73" w:rsidRDefault="0F949A5A" w:rsidP="00856AC4">
            <w:pPr>
              <w:pStyle w:val="IATableLines"/>
              <w:rPr>
                <w:rFonts w:eastAsia="Arial" w:cs="Arial"/>
                <w:sz w:val="20"/>
              </w:rPr>
            </w:pPr>
            <w:r w:rsidRPr="00373C73">
              <w:rPr>
                <w:sz w:val="20"/>
              </w:rPr>
              <w:t>Current</w:t>
            </w:r>
            <w:r w:rsidR="28F502AE" w:rsidRPr="00373C73">
              <w:rPr>
                <w:sz w:val="20"/>
              </w:rPr>
              <w:t xml:space="preserve"> </w:t>
            </w:r>
            <w:r w:rsidR="026D24D6" w:rsidRPr="00373C73">
              <w:rPr>
                <w:rFonts w:cs="Arial"/>
                <w:sz w:val="20"/>
              </w:rPr>
              <w:t xml:space="preserve">data </w:t>
            </w:r>
            <w:r w:rsidR="28F502AE" w:rsidRPr="00373C73">
              <w:rPr>
                <w:rFonts w:cs="Arial"/>
                <w:sz w:val="20"/>
              </w:rPr>
              <w:t xml:space="preserve">requirements </w:t>
            </w:r>
            <w:r w:rsidR="28964ED8" w:rsidRPr="00373C73">
              <w:rPr>
                <w:rFonts w:cs="Arial"/>
                <w:sz w:val="20"/>
              </w:rPr>
              <w:t>which must be met by</w:t>
            </w:r>
            <w:r w:rsidR="58A29927" w:rsidRPr="00373C73">
              <w:rPr>
                <w:rFonts w:cs="Arial"/>
                <w:sz w:val="20"/>
              </w:rPr>
              <w:t xml:space="preserve"> </w:t>
            </w:r>
            <w:r w:rsidR="724CD3C4" w:rsidRPr="00373C73">
              <w:rPr>
                <w:rFonts w:cs="Arial"/>
                <w:sz w:val="20"/>
              </w:rPr>
              <w:t xml:space="preserve">businesses making </w:t>
            </w:r>
            <w:r w:rsidR="4FCDFDCB" w:rsidRPr="00373C73">
              <w:rPr>
                <w:rFonts w:cs="Arial"/>
                <w:sz w:val="20"/>
              </w:rPr>
              <w:t xml:space="preserve">GB </w:t>
            </w:r>
            <w:r w:rsidR="58A29927" w:rsidRPr="00373C73">
              <w:rPr>
                <w:rFonts w:cs="Arial"/>
                <w:sz w:val="20"/>
              </w:rPr>
              <w:t>active substance approval and biocidal product authorisation applica</w:t>
            </w:r>
            <w:r w:rsidR="625B6B54" w:rsidRPr="00373C73">
              <w:rPr>
                <w:rFonts w:cs="Arial"/>
                <w:sz w:val="20"/>
              </w:rPr>
              <w:t>t</w:t>
            </w:r>
            <w:r w:rsidR="46FBF7B2" w:rsidRPr="00373C73">
              <w:rPr>
                <w:rFonts w:cs="Arial"/>
                <w:sz w:val="20"/>
              </w:rPr>
              <w:t>ions</w:t>
            </w:r>
            <w:r w:rsidR="6CA2F5E8" w:rsidRPr="00373C73">
              <w:rPr>
                <w:rFonts w:cs="Arial"/>
                <w:sz w:val="20"/>
              </w:rPr>
              <w:t xml:space="preserve"> </w:t>
            </w:r>
            <w:r w:rsidR="58A29927" w:rsidRPr="00373C73">
              <w:rPr>
                <w:rFonts w:cs="Arial"/>
                <w:sz w:val="20"/>
              </w:rPr>
              <w:t>are set out</w:t>
            </w:r>
            <w:r w:rsidR="147BC9A3" w:rsidRPr="00373C73">
              <w:rPr>
                <w:rFonts w:cs="Arial"/>
                <w:sz w:val="20"/>
              </w:rPr>
              <w:t xml:space="preserve"> </w:t>
            </w:r>
            <w:r w:rsidR="28F502AE" w:rsidRPr="00373C73">
              <w:rPr>
                <w:rFonts w:cs="Arial"/>
                <w:sz w:val="20"/>
              </w:rPr>
              <w:t>in the</w:t>
            </w:r>
            <w:r w:rsidR="2192BDC9" w:rsidRPr="00373C73">
              <w:rPr>
                <w:rFonts w:cs="Arial"/>
                <w:sz w:val="20"/>
              </w:rPr>
              <w:t xml:space="preserve"> </w:t>
            </w:r>
            <w:r w:rsidR="376AADE6" w:rsidRPr="00373C73">
              <w:rPr>
                <w:rFonts w:cs="Arial"/>
                <w:sz w:val="20"/>
              </w:rPr>
              <w:t>above</w:t>
            </w:r>
            <w:r w:rsidR="334792B5" w:rsidRPr="00373C73">
              <w:rPr>
                <w:rFonts w:cs="Arial"/>
                <w:sz w:val="20"/>
              </w:rPr>
              <w:t>-</w:t>
            </w:r>
            <w:r w:rsidR="376AADE6" w:rsidRPr="00373C73">
              <w:rPr>
                <w:rFonts w:cs="Arial"/>
                <w:sz w:val="20"/>
              </w:rPr>
              <w:t>mentioned</w:t>
            </w:r>
            <w:r w:rsidR="138AB397" w:rsidRPr="00373C73">
              <w:rPr>
                <w:rFonts w:cs="Arial"/>
                <w:sz w:val="20"/>
              </w:rPr>
              <w:t xml:space="preserve"> </w:t>
            </w:r>
            <w:r w:rsidR="2192BDC9" w:rsidRPr="00373C73">
              <w:rPr>
                <w:rFonts w:cs="Arial"/>
                <w:sz w:val="20"/>
              </w:rPr>
              <w:t>Annexes</w:t>
            </w:r>
            <w:r w:rsidR="2E228719" w:rsidRPr="00373C73">
              <w:rPr>
                <w:rFonts w:cs="Arial"/>
                <w:sz w:val="20"/>
              </w:rPr>
              <w:t>.</w:t>
            </w:r>
            <w:r w:rsidR="47B1F050" w:rsidRPr="00373C73">
              <w:rPr>
                <w:rFonts w:cs="Arial"/>
                <w:sz w:val="20"/>
              </w:rPr>
              <w:t xml:space="preserve"> </w:t>
            </w:r>
            <w:r w:rsidR="2E228719" w:rsidRPr="00373C73">
              <w:rPr>
                <w:rFonts w:cs="Arial"/>
                <w:sz w:val="20"/>
              </w:rPr>
              <w:t>They</w:t>
            </w:r>
            <w:r w:rsidR="2192BDC9" w:rsidRPr="00373C73">
              <w:rPr>
                <w:rFonts w:cs="Arial"/>
                <w:sz w:val="20"/>
              </w:rPr>
              <w:t xml:space="preserve"> will </w:t>
            </w:r>
            <w:r w:rsidR="79060CC0" w:rsidRPr="00373C73">
              <w:rPr>
                <w:rFonts w:cs="Arial"/>
                <w:sz w:val="20"/>
              </w:rPr>
              <w:t>be updated to</w:t>
            </w:r>
            <w:r w:rsidR="5019B8C5" w:rsidRPr="00373C73">
              <w:rPr>
                <w:rFonts w:eastAsia="Arial" w:cs="Arial"/>
                <w:sz w:val="20"/>
              </w:rPr>
              <w:t xml:space="preserve"> </w:t>
            </w:r>
            <w:r w:rsidR="0A0D85AF" w:rsidRPr="00373C73">
              <w:rPr>
                <w:rFonts w:eastAsia="Arial" w:cs="Arial"/>
                <w:sz w:val="20"/>
              </w:rPr>
              <w:t>m</w:t>
            </w:r>
            <w:r w:rsidR="4B69AFEA" w:rsidRPr="00373C73">
              <w:rPr>
                <w:rFonts w:eastAsia="Arial" w:cs="Arial"/>
                <w:sz w:val="20"/>
              </w:rPr>
              <w:t>ake HSE’s current published data requirement guidance a GB regulatory requirement</w:t>
            </w:r>
            <w:r w:rsidR="4538BBAC" w:rsidRPr="00373C73">
              <w:rPr>
                <w:rFonts w:eastAsia="Arial" w:cs="Arial"/>
                <w:sz w:val="20"/>
              </w:rPr>
              <w:t xml:space="preserve">. This is to enable the GB </w:t>
            </w:r>
            <w:r w:rsidR="6D599BE9" w:rsidRPr="00373C73">
              <w:rPr>
                <w:rFonts w:eastAsia="Arial" w:cs="Arial"/>
                <w:sz w:val="20"/>
              </w:rPr>
              <w:t>authority</w:t>
            </w:r>
            <w:r w:rsidR="4538BBAC" w:rsidRPr="00373C73">
              <w:rPr>
                <w:rFonts w:eastAsia="Arial" w:cs="Arial"/>
                <w:sz w:val="20"/>
              </w:rPr>
              <w:t xml:space="preserve"> to:</w:t>
            </w:r>
          </w:p>
          <w:p w14:paraId="2D187403" w14:textId="7B6F0A99" w:rsidR="624517AD" w:rsidRPr="00373C73" w:rsidRDefault="6D7554C7" w:rsidP="00713158">
            <w:pPr>
              <w:pStyle w:val="IATableLines"/>
              <w:numPr>
                <w:ilvl w:val="0"/>
                <w:numId w:val="46"/>
              </w:numPr>
              <w:spacing w:line="259" w:lineRule="auto"/>
              <w:rPr>
                <w:rFonts w:eastAsia="Arial" w:cs="Arial"/>
                <w:sz w:val="20"/>
              </w:rPr>
            </w:pPr>
            <w:r w:rsidRPr="00373C73">
              <w:rPr>
                <w:rFonts w:cs="Arial"/>
                <w:sz w:val="20"/>
              </w:rPr>
              <w:t>Keep</w:t>
            </w:r>
            <w:r w:rsidR="5DEFC75A" w:rsidRPr="00373C73">
              <w:rPr>
                <w:rFonts w:eastAsia="Arial" w:cs="Arial"/>
                <w:sz w:val="20"/>
              </w:rPr>
              <w:t xml:space="preserve"> up with technical and scientific progress</w:t>
            </w:r>
            <w:r w:rsidR="26151AF0" w:rsidRPr="00373C73">
              <w:rPr>
                <w:rFonts w:eastAsia="Arial" w:cs="Arial"/>
                <w:sz w:val="20"/>
              </w:rPr>
              <w:t xml:space="preserve">, ensuring </w:t>
            </w:r>
            <w:r w:rsidR="26151AF0" w:rsidRPr="00373C73">
              <w:rPr>
                <w:rFonts w:cs="Arial"/>
                <w:sz w:val="20"/>
              </w:rPr>
              <w:t>the GB regulatory authority has access to the most scientifically up to date information to be able to assess the risks associated with the use of</w:t>
            </w:r>
            <w:r w:rsidR="26151AF0" w:rsidRPr="00373C73">
              <w:rPr>
                <w:rFonts w:cs="Arial"/>
                <w:sz w:val="20"/>
                <w:szCs w:val="18"/>
              </w:rPr>
              <w:t xml:space="preserve"> biocidal products and their active substances </w:t>
            </w:r>
            <w:r w:rsidR="6737F032" w:rsidRPr="00373C73">
              <w:rPr>
                <w:rFonts w:cs="Arial"/>
                <w:sz w:val="20"/>
                <w:szCs w:val="18"/>
              </w:rPr>
              <w:t>so</w:t>
            </w:r>
            <w:r w:rsidR="26151AF0" w:rsidRPr="00373C73">
              <w:rPr>
                <w:rFonts w:cs="Arial"/>
                <w:sz w:val="20"/>
                <w:szCs w:val="18"/>
              </w:rPr>
              <w:t xml:space="preserve"> it can </w:t>
            </w:r>
            <w:r w:rsidR="4C3F9327" w:rsidRPr="00373C73">
              <w:rPr>
                <w:rFonts w:cs="Arial"/>
                <w:sz w:val="20"/>
                <w:szCs w:val="18"/>
              </w:rPr>
              <w:t xml:space="preserve">effectively </w:t>
            </w:r>
            <w:r w:rsidR="4C3F9327" w:rsidRPr="00373C73">
              <w:rPr>
                <w:rFonts w:eastAsia="Calibri" w:cs="Arial"/>
                <w:sz w:val="20"/>
              </w:rPr>
              <w:t>identify and control human, animal and environmental ha</w:t>
            </w:r>
            <w:r w:rsidR="0B960CD6" w:rsidRPr="00373C73">
              <w:rPr>
                <w:rFonts w:eastAsia="Calibri" w:cs="Arial"/>
                <w:sz w:val="20"/>
              </w:rPr>
              <w:t>zards before products reach the GB market</w:t>
            </w:r>
          </w:p>
          <w:p w14:paraId="46463921" w14:textId="3A753AE4" w:rsidR="624517AD" w:rsidRPr="00373C73" w:rsidRDefault="5337F56D" w:rsidP="00713158">
            <w:pPr>
              <w:pStyle w:val="IATableLines"/>
              <w:numPr>
                <w:ilvl w:val="0"/>
                <w:numId w:val="46"/>
              </w:numPr>
              <w:spacing w:line="259" w:lineRule="auto"/>
              <w:rPr>
                <w:rFonts w:eastAsia="Arial" w:cs="Arial"/>
                <w:szCs w:val="22"/>
              </w:rPr>
            </w:pPr>
            <w:r w:rsidRPr="00373C73">
              <w:rPr>
                <w:rFonts w:cs="Arial"/>
                <w:sz w:val="20"/>
                <w:szCs w:val="18"/>
              </w:rPr>
              <w:t xml:space="preserve">Improve </w:t>
            </w:r>
            <w:r w:rsidR="00713158" w:rsidRPr="00373C73">
              <w:rPr>
                <w:rFonts w:cs="Arial"/>
                <w:sz w:val="20"/>
                <w:szCs w:val="18"/>
              </w:rPr>
              <w:t xml:space="preserve">biocidal </w:t>
            </w:r>
            <w:r w:rsidRPr="00373C73">
              <w:rPr>
                <w:rFonts w:cs="Arial"/>
                <w:sz w:val="20"/>
                <w:szCs w:val="18"/>
              </w:rPr>
              <w:t xml:space="preserve">product safety and the ability for HSE to maintain world leading safety standards </w:t>
            </w:r>
          </w:p>
          <w:p w14:paraId="4FF878DF" w14:textId="2C8CDBAF" w:rsidR="624517AD" w:rsidRPr="00373C73" w:rsidRDefault="3F37ABE2" w:rsidP="00713158">
            <w:pPr>
              <w:pStyle w:val="IATableLines"/>
              <w:numPr>
                <w:ilvl w:val="0"/>
                <w:numId w:val="46"/>
              </w:numPr>
              <w:spacing w:line="259" w:lineRule="auto"/>
              <w:rPr>
                <w:rFonts w:cs="Arial"/>
                <w:sz w:val="20"/>
              </w:rPr>
            </w:pPr>
            <w:r w:rsidRPr="00373C73">
              <w:rPr>
                <w:rFonts w:cs="Arial"/>
                <w:sz w:val="20"/>
                <w:szCs w:val="18"/>
              </w:rPr>
              <w:t>Articulate</w:t>
            </w:r>
            <w:r w:rsidR="332DBC6F" w:rsidRPr="00373C73">
              <w:rPr>
                <w:rFonts w:cs="Arial"/>
                <w:sz w:val="20"/>
                <w:szCs w:val="18"/>
              </w:rPr>
              <w:t xml:space="preserve"> </w:t>
            </w:r>
            <w:r w:rsidR="47982EAA" w:rsidRPr="00373C73">
              <w:rPr>
                <w:rFonts w:eastAsia="Arial" w:cs="Arial"/>
                <w:sz w:val="20"/>
                <w:szCs w:val="18"/>
              </w:rPr>
              <w:t xml:space="preserve">unequivocal GB regulatory </w:t>
            </w:r>
            <w:r w:rsidR="5A72AD1E" w:rsidRPr="00373C73">
              <w:rPr>
                <w:rFonts w:eastAsia="Arial" w:cs="Arial"/>
                <w:sz w:val="20"/>
                <w:szCs w:val="18"/>
              </w:rPr>
              <w:t xml:space="preserve">data </w:t>
            </w:r>
            <w:r w:rsidR="47982EAA" w:rsidRPr="00373C73">
              <w:rPr>
                <w:rFonts w:eastAsia="Arial" w:cs="Arial"/>
                <w:sz w:val="20"/>
                <w:szCs w:val="18"/>
              </w:rPr>
              <w:t>requirements</w:t>
            </w:r>
            <w:r w:rsidR="0E22B3BA" w:rsidRPr="00373C73">
              <w:rPr>
                <w:rFonts w:eastAsia="Arial" w:cs="Arial"/>
                <w:sz w:val="20"/>
                <w:szCs w:val="18"/>
              </w:rPr>
              <w:t xml:space="preserve">, </w:t>
            </w:r>
            <w:r w:rsidR="47982EAA" w:rsidRPr="00373C73">
              <w:rPr>
                <w:rFonts w:eastAsia="Arial" w:cs="Arial"/>
                <w:sz w:val="20"/>
                <w:szCs w:val="18"/>
              </w:rPr>
              <w:t xml:space="preserve">which are clear to </w:t>
            </w:r>
            <w:r w:rsidR="3FB12948" w:rsidRPr="00373C73">
              <w:rPr>
                <w:rFonts w:cs="Arial"/>
                <w:sz w:val="20"/>
                <w:szCs w:val="18"/>
              </w:rPr>
              <w:t xml:space="preserve">businesses making GB active substance approval and biocidal product authorisation applications, and reduce </w:t>
            </w:r>
            <w:r w:rsidR="72025F17" w:rsidRPr="00373C73">
              <w:rPr>
                <w:rFonts w:cs="Arial"/>
                <w:sz w:val="20"/>
                <w:szCs w:val="18"/>
              </w:rPr>
              <w:t xml:space="preserve">the likelihood of application refusals and challenges relating to test requirements </w:t>
            </w:r>
          </w:p>
          <w:p w14:paraId="6F861789" w14:textId="77777777" w:rsidR="00713158" w:rsidRPr="00373C73" w:rsidRDefault="00713158" w:rsidP="00713158">
            <w:pPr>
              <w:pStyle w:val="IATableLines"/>
              <w:numPr>
                <w:ilvl w:val="0"/>
                <w:numId w:val="46"/>
              </w:numPr>
              <w:spacing w:line="259" w:lineRule="auto"/>
              <w:rPr>
                <w:sz w:val="20"/>
              </w:rPr>
            </w:pPr>
            <w:r w:rsidRPr="00373C73">
              <w:rPr>
                <w:rFonts w:eastAsia="Arial" w:cs="Arial"/>
                <w:sz w:val="20"/>
              </w:rPr>
              <w:t>Make requests for specific scientific test data to take advantage of scientific advances in endocrine testing and reduce animal testing</w:t>
            </w:r>
          </w:p>
          <w:p w14:paraId="04383283" w14:textId="3F691DFB" w:rsidR="624517AD" w:rsidRPr="00373C73" w:rsidRDefault="1F55F5C2" w:rsidP="00856AC4">
            <w:pPr>
              <w:pStyle w:val="IATableLines"/>
              <w:spacing w:line="259" w:lineRule="auto"/>
              <w:ind w:left="0"/>
              <w:rPr>
                <w:rFonts w:eastAsia="Arial" w:cs="Arial"/>
                <w:sz w:val="20"/>
                <w:szCs w:val="18"/>
              </w:rPr>
            </w:pPr>
            <w:r w:rsidRPr="00373C73">
              <w:rPr>
                <w:rFonts w:eastAsia="Arial" w:cs="Arial"/>
                <w:sz w:val="20"/>
                <w:szCs w:val="18"/>
              </w:rPr>
              <w:t>The changes will mean that</w:t>
            </w:r>
            <w:r w:rsidR="5FD7B985" w:rsidRPr="00373C73">
              <w:rPr>
                <w:rFonts w:eastAsia="Arial" w:cs="Arial"/>
                <w:sz w:val="20"/>
                <w:szCs w:val="18"/>
              </w:rPr>
              <w:t xml:space="preserve"> </w:t>
            </w:r>
            <w:r w:rsidR="17241CF4" w:rsidRPr="00373C73">
              <w:rPr>
                <w:rFonts w:eastAsia="Arial" w:cs="Arial"/>
                <w:sz w:val="20"/>
                <w:szCs w:val="18"/>
              </w:rPr>
              <w:t xml:space="preserve">applicant </w:t>
            </w:r>
            <w:r w:rsidR="01E2BEE2" w:rsidRPr="00373C73">
              <w:rPr>
                <w:rFonts w:eastAsia="Arial" w:cs="Arial"/>
                <w:sz w:val="20"/>
                <w:szCs w:val="18"/>
              </w:rPr>
              <w:t>b</w:t>
            </w:r>
            <w:r w:rsidR="12505921" w:rsidRPr="00373C73">
              <w:rPr>
                <w:rFonts w:eastAsia="Arial" w:cs="Arial"/>
                <w:sz w:val="20"/>
                <w:szCs w:val="18"/>
              </w:rPr>
              <w:t>usinesses:</w:t>
            </w:r>
          </w:p>
          <w:p w14:paraId="507B6AAB" w14:textId="77C1C528" w:rsidR="00E75380" w:rsidRPr="00373C73" w:rsidRDefault="3B391E5E" w:rsidP="00713158">
            <w:pPr>
              <w:pStyle w:val="IATableLines"/>
              <w:numPr>
                <w:ilvl w:val="0"/>
                <w:numId w:val="46"/>
              </w:numPr>
              <w:spacing w:line="259" w:lineRule="auto"/>
              <w:rPr>
                <w:rFonts w:eastAsia="Arial" w:cs="Arial"/>
                <w:sz w:val="20"/>
                <w:szCs w:val="18"/>
              </w:rPr>
            </w:pPr>
            <w:r w:rsidRPr="00373C73">
              <w:rPr>
                <w:rFonts w:eastAsia="Arial" w:cs="Arial"/>
                <w:sz w:val="20"/>
                <w:szCs w:val="18"/>
              </w:rPr>
              <w:t>Must e</w:t>
            </w:r>
            <w:r w:rsidR="1E6D5D03" w:rsidRPr="00373C73">
              <w:rPr>
                <w:rFonts w:eastAsia="Arial" w:cs="Arial"/>
                <w:sz w:val="20"/>
                <w:szCs w:val="18"/>
              </w:rPr>
              <w:t xml:space="preserve">nsure </w:t>
            </w:r>
            <w:r w:rsidR="7664545B" w:rsidRPr="00373C73">
              <w:rPr>
                <w:rFonts w:eastAsia="Arial" w:cs="Arial"/>
                <w:sz w:val="20"/>
                <w:szCs w:val="18"/>
              </w:rPr>
              <w:t xml:space="preserve">that </w:t>
            </w:r>
            <w:r w:rsidR="1E6D5D03" w:rsidRPr="00373C73">
              <w:rPr>
                <w:rFonts w:eastAsia="Arial" w:cs="Arial"/>
                <w:sz w:val="20"/>
                <w:szCs w:val="18"/>
              </w:rPr>
              <w:t>they m</w:t>
            </w:r>
            <w:r w:rsidR="72F40E34" w:rsidRPr="00373C73">
              <w:rPr>
                <w:rFonts w:eastAsia="Arial" w:cs="Arial"/>
                <w:sz w:val="20"/>
                <w:szCs w:val="18"/>
              </w:rPr>
              <w:t xml:space="preserve">eet specific data requirements set out in Annexes II and III, </w:t>
            </w:r>
            <w:r w:rsidR="30D1F571" w:rsidRPr="00373C73">
              <w:rPr>
                <w:rFonts w:eastAsia="Arial" w:cs="Arial"/>
                <w:sz w:val="20"/>
                <w:szCs w:val="18"/>
              </w:rPr>
              <w:t>including using in-vitro studies rather than in-vivo animal studies</w:t>
            </w:r>
            <w:r w:rsidR="72F40E34" w:rsidRPr="00373C73">
              <w:rPr>
                <w:rFonts w:eastAsia="Arial" w:cs="Arial"/>
                <w:sz w:val="20"/>
                <w:szCs w:val="18"/>
              </w:rPr>
              <w:t xml:space="preserve"> </w:t>
            </w:r>
            <w:r w:rsidR="00032E6F" w:rsidRPr="00373C73">
              <w:rPr>
                <w:rFonts w:eastAsia="Arial" w:cs="Arial"/>
                <w:sz w:val="20"/>
                <w:szCs w:val="18"/>
              </w:rPr>
              <w:t>(where specified)</w:t>
            </w:r>
            <w:r w:rsidR="72F40E34" w:rsidRPr="00373C73">
              <w:rPr>
                <w:rFonts w:eastAsia="Arial" w:cs="Arial"/>
                <w:sz w:val="20"/>
                <w:szCs w:val="18"/>
              </w:rPr>
              <w:t xml:space="preserve"> from the date that they come into force</w:t>
            </w:r>
          </w:p>
          <w:p w14:paraId="79FD5BAF" w14:textId="663B3453" w:rsidR="00E75380" w:rsidRPr="00C120C0" w:rsidRDefault="00E75380" w:rsidP="00856AC4">
            <w:pPr>
              <w:pStyle w:val="IATableLines"/>
              <w:spacing w:line="259" w:lineRule="auto"/>
              <w:ind w:left="0"/>
            </w:pPr>
          </w:p>
        </w:tc>
      </w:tr>
    </w:tbl>
    <w:p w14:paraId="042F89B7" w14:textId="77777777" w:rsidR="007208D9" w:rsidRPr="00826F71" w:rsidRDefault="007208D9" w:rsidP="007208D9">
      <w:pPr>
        <w:pStyle w:val="IASpacer"/>
      </w:pPr>
    </w:p>
    <w:tbl>
      <w:tblPr>
        <w:tblW w:w="5348"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905"/>
      </w:tblGrid>
      <w:tr w:rsidR="00686F5E" w:rsidRPr="00826F71" w14:paraId="2AF63F02" w14:textId="77777777" w:rsidTr="007251EA">
        <w:trPr>
          <w:trHeight w:hRule="exact" w:val="2326"/>
        </w:trPr>
        <w:tc>
          <w:tcPr>
            <w:tcW w:w="10905" w:type="dxa"/>
            <w:tcBorders>
              <w:top w:val="single" w:sz="4" w:space="0" w:color="auto"/>
              <w:bottom w:val="single" w:sz="4" w:space="0" w:color="auto"/>
            </w:tcBorders>
          </w:tcPr>
          <w:p w14:paraId="66483402" w14:textId="50B2DFDC" w:rsidR="00D64409" w:rsidRDefault="00D64409" w:rsidP="00D64409">
            <w:pPr>
              <w:pStyle w:val="IAIOQ3"/>
            </w:pPr>
            <w:bookmarkStart w:id="13" w:name="IAIOQ3"/>
            <w:bookmarkStart w:id="14" w:name="Summary3"/>
            <w:r>
              <w:t>What policy options have been considered, including any alternatives to regulation? Please justify preferred option (further details in Evidence Base)</w:t>
            </w:r>
            <w:bookmarkStart w:id="15" w:name="IAIOA3"/>
            <w:bookmarkEnd w:id="13"/>
          </w:p>
          <w:p w14:paraId="2035F703" w14:textId="391BCE8D" w:rsidR="00D50283" w:rsidRPr="00373C73" w:rsidRDefault="49139AA0" w:rsidP="29C9880E">
            <w:pPr>
              <w:pStyle w:val="ListParagraph"/>
              <w:numPr>
                <w:ilvl w:val="0"/>
                <w:numId w:val="4"/>
              </w:numPr>
              <w:rPr>
                <w:rFonts w:eastAsia="Arial" w:cs="Arial"/>
                <w:sz w:val="20"/>
                <w:szCs w:val="20"/>
              </w:rPr>
            </w:pPr>
            <w:r w:rsidRPr="00373C73">
              <w:rPr>
                <w:sz w:val="20"/>
                <w:szCs w:val="20"/>
              </w:rPr>
              <w:t xml:space="preserve">Option </w:t>
            </w:r>
            <w:r w:rsidR="00A314F5" w:rsidRPr="00373C73">
              <w:rPr>
                <w:sz w:val="20"/>
                <w:szCs w:val="20"/>
              </w:rPr>
              <w:t>0</w:t>
            </w:r>
            <w:r w:rsidRPr="00373C73">
              <w:rPr>
                <w:sz w:val="20"/>
                <w:szCs w:val="20"/>
              </w:rPr>
              <w:t xml:space="preserve"> – </w:t>
            </w:r>
            <w:r w:rsidR="00382DC5" w:rsidRPr="00373C73">
              <w:rPr>
                <w:sz w:val="20"/>
                <w:szCs w:val="20"/>
              </w:rPr>
              <w:t xml:space="preserve">Business as usual </w:t>
            </w:r>
            <w:r w:rsidR="00A314F5" w:rsidRPr="00373C73">
              <w:rPr>
                <w:sz w:val="20"/>
                <w:szCs w:val="20"/>
              </w:rPr>
              <w:t>(baseline)</w:t>
            </w:r>
          </w:p>
          <w:p w14:paraId="02B11F3A" w14:textId="44DD5658" w:rsidR="00A314F5" w:rsidRPr="00373C73" w:rsidRDefault="00A314F5" w:rsidP="29C9880E">
            <w:pPr>
              <w:pStyle w:val="ListParagraph"/>
              <w:numPr>
                <w:ilvl w:val="0"/>
                <w:numId w:val="4"/>
              </w:numPr>
              <w:rPr>
                <w:rFonts w:eastAsia="Arial" w:cs="Arial"/>
                <w:sz w:val="20"/>
                <w:szCs w:val="20"/>
              </w:rPr>
            </w:pPr>
            <w:r w:rsidRPr="00373C73">
              <w:rPr>
                <w:rFonts w:eastAsia="Arial" w:cs="Arial"/>
                <w:sz w:val="20"/>
                <w:szCs w:val="20"/>
              </w:rPr>
              <w:t xml:space="preserve">Option 1 – GB </w:t>
            </w:r>
            <w:r w:rsidRPr="00373C73">
              <w:rPr>
                <w:sz w:val="20"/>
                <w:szCs w:val="20"/>
              </w:rPr>
              <w:t>SI with tailored changes to GB Annexes II and III</w:t>
            </w:r>
            <w:r w:rsidR="00F6222F" w:rsidRPr="00373C73">
              <w:rPr>
                <w:sz w:val="20"/>
                <w:szCs w:val="20"/>
              </w:rPr>
              <w:t xml:space="preserve"> (preferred)</w:t>
            </w:r>
          </w:p>
          <w:p w14:paraId="313F8C93" w14:textId="7CCDCB55" w:rsidR="00F6222F" w:rsidRPr="00373C73" w:rsidRDefault="00F6222F" w:rsidP="00F6222F">
            <w:pPr>
              <w:pStyle w:val="IATableLines"/>
              <w:rPr>
                <w:sz w:val="20"/>
              </w:rPr>
            </w:pPr>
            <w:r w:rsidRPr="00373C73">
              <w:rPr>
                <w:sz w:val="20"/>
              </w:rPr>
              <w:t>Option 1 is preferred because</w:t>
            </w:r>
            <w:r w:rsidR="00676778" w:rsidRPr="00373C73">
              <w:rPr>
                <w:sz w:val="20"/>
              </w:rPr>
              <w:t xml:space="preserve"> it delivers on government priorities to maintain standards in line with technical progress, tailors the approach to what is appropriate for GB</w:t>
            </w:r>
            <w:r w:rsidR="00F26251" w:rsidRPr="00373C73">
              <w:rPr>
                <w:sz w:val="20"/>
              </w:rPr>
              <w:t xml:space="preserve">, minimises animal testing and </w:t>
            </w:r>
            <w:r w:rsidR="009931D3" w:rsidRPr="00373C73">
              <w:rPr>
                <w:sz w:val="20"/>
              </w:rPr>
              <w:t xml:space="preserve">provides the certainty of </w:t>
            </w:r>
            <w:r w:rsidR="005234C6" w:rsidRPr="00373C73">
              <w:rPr>
                <w:sz w:val="20"/>
              </w:rPr>
              <w:t xml:space="preserve">statutory requirements. </w:t>
            </w:r>
          </w:p>
          <w:p w14:paraId="0EF14623" w14:textId="77777777" w:rsidR="005234C6" w:rsidRPr="00373C73" w:rsidRDefault="005234C6" w:rsidP="00F6222F">
            <w:pPr>
              <w:pStyle w:val="IATableLines"/>
              <w:rPr>
                <w:sz w:val="20"/>
              </w:rPr>
            </w:pPr>
          </w:p>
          <w:p w14:paraId="07322D08" w14:textId="38EAA0C5" w:rsidR="00D50283" w:rsidRPr="00C120C0" w:rsidRDefault="00BF5AAF" w:rsidP="29C9880E">
            <w:pPr>
              <w:pStyle w:val="IATableLines"/>
            </w:pPr>
            <w:r w:rsidRPr="00373C73">
              <w:rPr>
                <w:sz w:val="20"/>
                <w:szCs w:val="18"/>
              </w:rPr>
              <w:t>Other options considered, but not taken forward</w:t>
            </w:r>
            <w:r w:rsidR="005D3BE1" w:rsidRPr="00373C73">
              <w:rPr>
                <w:sz w:val="20"/>
                <w:szCs w:val="18"/>
              </w:rPr>
              <w:t xml:space="preserve"> as </w:t>
            </w:r>
            <w:r w:rsidR="00AD0B91" w:rsidRPr="00373C73">
              <w:rPr>
                <w:sz w:val="20"/>
                <w:szCs w:val="18"/>
              </w:rPr>
              <w:t>they</w:t>
            </w:r>
            <w:r w:rsidR="005D3BE1" w:rsidRPr="00373C73">
              <w:rPr>
                <w:sz w:val="20"/>
                <w:szCs w:val="18"/>
              </w:rPr>
              <w:t xml:space="preserve"> do not deliver the objective above</w:t>
            </w:r>
            <w:r w:rsidR="00995CA4" w:rsidRPr="00373C73">
              <w:rPr>
                <w:sz w:val="20"/>
                <w:szCs w:val="18"/>
              </w:rPr>
              <w:t xml:space="preserve">: </w:t>
            </w:r>
            <w:r w:rsidR="49139AA0" w:rsidRPr="00373C73">
              <w:rPr>
                <w:sz w:val="20"/>
                <w:szCs w:val="18"/>
              </w:rPr>
              <w:t>GB SI mirroring changes to Annexes in the EU</w:t>
            </w:r>
            <w:r w:rsidR="00561631" w:rsidRPr="00373C73">
              <w:rPr>
                <w:sz w:val="20"/>
                <w:szCs w:val="18"/>
              </w:rPr>
              <w:t xml:space="preserve">; </w:t>
            </w:r>
            <w:r w:rsidR="00705F69" w:rsidRPr="00373C73">
              <w:rPr>
                <w:sz w:val="20"/>
                <w:szCs w:val="18"/>
              </w:rPr>
              <w:t xml:space="preserve">and </w:t>
            </w:r>
            <w:r w:rsidR="00C54789" w:rsidRPr="00373C73">
              <w:rPr>
                <w:sz w:val="20"/>
                <w:szCs w:val="18"/>
              </w:rPr>
              <w:t>l</w:t>
            </w:r>
            <w:r w:rsidR="49139AA0" w:rsidRPr="00373C73">
              <w:rPr>
                <w:sz w:val="20"/>
                <w:szCs w:val="18"/>
              </w:rPr>
              <w:t>eav</w:t>
            </w:r>
            <w:r w:rsidR="00C54789" w:rsidRPr="00373C73">
              <w:rPr>
                <w:sz w:val="20"/>
                <w:szCs w:val="18"/>
              </w:rPr>
              <w:t>ing</w:t>
            </w:r>
            <w:r w:rsidR="49139AA0" w:rsidRPr="00373C73">
              <w:rPr>
                <w:sz w:val="20"/>
                <w:szCs w:val="18"/>
              </w:rPr>
              <w:t xml:space="preserve"> GB BPR as is but ask applicants for further information based on guidance only</w:t>
            </w:r>
            <w:r w:rsidR="00D65A9C" w:rsidRPr="00373C73">
              <w:rPr>
                <w:sz w:val="20"/>
                <w:szCs w:val="18"/>
              </w:rPr>
              <w:t>.</w:t>
            </w:r>
            <w:bookmarkEnd w:id="15"/>
          </w:p>
        </w:tc>
      </w:tr>
    </w:tbl>
    <w:p w14:paraId="43DC04EC" w14:textId="77777777" w:rsidR="00686F5E" w:rsidRDefault="00686F5E">
      <w:pPr>
        <w:pStyle w:val="IASpacer2"/>
      </w:pPr>
    </w:p>
    <w:tbl>
      <w:tblPr>
        <w:tblW w:w="53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930"/>
      </w:tblGrid>
      <w:tr w:rsidR="00720FFE" w14:paraId="53C97780" w14:textId="77777777" w:rsidTr="007251EA">
        <w:tc>
          <w:tcPr>
            <w:tcW w:w="5000" w:type="pct"/>
          </w:tcPr>
          <w:tbl>
            <w:tblPr>
              <w:tblpPr w:leftFromText="180" w:rightFromText="180" w:vertAnchor="text" w:horzAnchor="margin" w:tblpY="31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51"/>
              <w:gridCol w:w="1098"/>
              <w:gridCol w:w="871"/>
              <w:gridCol w:w="347"/>
              <w:gridCol w:w="633"/>
              <w:gridCol w:w="1710"/>
            </w:tblGrid>
            <w:tr w:rsidR="00C24ED8" w:rsidRPr="00D50283" w14:paraId="7C2F95A3" w14:textId="77777777" w:rsidTr="007251EA">
              <w:trPr>
                <w:trHeight w:hRule="exact" w:val="340"/>
              </w:trPr>
              <w:tc>
                <w:tcPr>
                  <w:tcW w:w="7349" w:type="dxa"/>
                  <w:gridSpan w:val="2"/>
                  <w:shd w:val="clear" w:color="auto" w:fill="E0E0E0"/>
                  <w:vAlign w:val="center"/>
                </w:tcPr>
                <w:p w14:paraId="5A4A88EA" w14:textId="77777777" w:rsidR="00C24ED8" w:rsidRPr="00D50283" w:rsidRDefault="00C24ED8" w:rsidP="00C24ED8">
                  <w:pPr>
                    <w:pStyle w:val="IATableText"/>
                    <w:spacing w:before="0" w:after="0"/>
                    <w:rPr>
                      <w:iCs/>
                      <w:sz w:val="20"/>
                    </w:rPr>
                  </w:pPr>
                  <w:r>
                    <w:rPr>
                      <w:iCs/>
                      <w:sz w:val="20"/>
                    </w:rPr>
                    <w:t xml:space="preserve">Is this measure likely to impact on international trade and investment? </w:t>
                  </w:r>
                </w:p>
              </w:tc>
              <w:tc>
                <w:tcPr>
                  <w:tcW w:w="3561" w:type="dxa"/>
                  <w:gridSpan w:val="4"/>
                  <w:shd w:val="clear" w:color="auto" w:fill="E0E0E0"/>
                  <w:vAlign w:val="center"/>
                </w:tcPr>
                <w:p w14:paraId="78735923" w14:textId="77777777" w:rsidR="00C24ED8" w:rsidRDefault="00C24ED8" w:rsidP="00C24ED8">
                  <w:pPr>
                    <w:pStyle w:val="IAIOCheckEU"/>
                  </w:pPr>
                  <w:r>
                    <w:fldChar w:fldCharType="begin">
                      <w:ffData>
                        <w:name w:val=""/>
                        <w:enabled/>
                        <w:calcOnExit w:val="0"/>
                        <w:ddList>
                          <w:listEntry w:val="Yes / No"/>
                          <w:listEntry w:val="Yes"/>
                          <w:listEntry w:val="No"/>
                        </w:ddList>
                      </w:ffData>
                    </w:fldChar>
                  </w:r>
                  <w:r>
                    <w:instrText xml:space="preserve"> FORMDROPDOWN </w:instrText>
                  </w:r>
                  <w:r w:rsidR="00437381">
                    <w:fldChar w:fldCharType="separate"/>
                  </w:r>
                  <w:r>
                    <w:fldChar w:fldCharType="end"/>
                  </w:r>
                </w:p>
              </w:tc>
            </w:tr>
            <w:tr w:rsidR="00C24ED8" w:rsidRPr="00D50283" w14:paraId="38090AEE" w14:textId="77777777" w:rsidTr="007251EA">
              <w:trPr>
                <w:trHeight w:val="460"/>
              </w:trPr>
              <w:tc>
                <w:tcPr>
                  <w:tcW w:w="6251" w:type="dxa"/>
                  <w:shd w:val="clear" w:color="auto" w:fill="E0E0E0"/>
                  <w:vAlign w:val="center"/>
                </w:tcPr>
                <w:p w14:paraId="488C8D38" w14:textId="77777777" w:rsidR="00C24ED8" w:rsidRPr="00720FFE" w:rsidRDefault="00C24ED8" w:rsidP="00C24ED8">
                  <w:pPr>
                    <w:pStyle w:val="IATableLines"/>
                    <w:rPr>
                      <w:b/>
                      <w:color w:val="000000"/>
                      <w:sz w:val="20"/>
                    </w:rPr>
                  </w:pPr>
                  <w:r w:rsidRPr="00D50283">
                    <w:rPr>
                      <w:rFonts w:cs="Arial"/>
                      <w:sz w:val="20"/>
                    </w:rPr>
                    <w:t>Are a</w:t>
                  </w:r>
                  <w:r>
                    <w:rPr>
                      <w:rFonts w:cs="Arial"/>
                      <w:sz w:val="20"/>
                    </w:rPr>
                    <w:t>ny of these organisations in scope</w:t>
                  </w:r>
                  <w:r w:rsidRPr="00D50283">
                    <w:rPr>
                      <w:rFonts w:cs="Arial"/>
                      <w:sz w:val="20"/>
                    </w:rPr>
                    <w:t>?</w:t>
                  </w:r>
                </w:p>
              </w:tc>
              <w:tc>
                <w:tcPr>
                  <w:tcW w:w="1098" w:type="dxa"/>
                  <w:shd w:val="clear" w:color="auto" w:fill="E0E0E0"/>
                  <w:vAlign w:val="center"/>
                </w:tcPr>
                <w:p w14:paraId="531272B0" w14:textId="77777777" w:rsidR="00C24ED8" w:rsidRPr="00720FFE" w:rsidRDefault="00C24ED8" w:rsidP="00C24ED8">
                  <w:pPr>
                    <w:pStyle w:val="IATableLines"/>
                    <w:rPr>
                      <w:b/>
                      <w:color w:val="000000"/>
                      <w:sz w:val="20"/>
                    </w:rPr>
                  </w:pPr>
                  <w:r w:rsidRPr="00720FFE">
                    <w:rPr>
                      <w:b/>
                      <w:color w:val="000000"/>
                      <w:sz w:val="20"/>
                    </w:rPr>
                    <w:t>Micro</w:t>
                  </w:r>
                  <w:bookmarkStart w:id="16" w:name="IACheckMicro"/>
                  <w:r w:rsidRPr="00817638">
                    <w:rPr>
                      <w:rStyle w:val="IAIOCheckMicroChar"/>
                      <w:b w:val="0"/>
                      <w:sz w:val="20"/>
                    </w:rPr>
                    <w:fldChar w:fldCharType="begin">
                      <w:ffData>
                        <w:name w:val="IACheckMicro"/>
                        <w:enabled/>
                        <w:calcOnExit w:val="0"/>
                        <w:ddList>
                          <w:listEntry w:val="Yes/No"/>
                          <w:listEntry w:val="Yes"/>
                          <w:listEntry w:val="No"/>
                        </w:ddList>
                      </w:ffData>
                    </w:fldChar>
                  </w:r>
                  <w:r w:rsidRPr="00817638">
                    <w:rPr>
                      <w:rStyle w:val="IAIOCheckMicroChar"/>
                      <w:b w:val="0"/>
                      <w:sz w:val="20"/>
                    </w:rPr>
                    <w:instrText xml:space="preserve"> FORMDROPDOWN </w:instrText>
                  </w:r>
                  <w:r w:rsidR="00437381">
                    <w:rPr>
                      <w:rStyle w:val="IAIOCheckMicroChar"/>
                      <w:b w:val="0"/>
                      <w:sz w:val="20"/>
                    </w:rPr>
                  </w:r>
                  <w:r w:rsidR="00437381">
                    <w:rPr>
                      <w:rStyle w:val="IAIOCheckMicroChar"/>
                      <w:b w:val="0"/>
                      <w:sz w:val="20"/>
                    </w:rPr>
                    <w:fldChar w:fldCharType="separate"/>
                  </w:r>
                  <w:r w:rsidRPr="00817638">
                    <w:rPr>
                      <w:rStyle w:val="IAIOCheckMicroChar"/>
                      <w:b w:val="0"/>
                      <w:sz w:val="20"/>
                    </w:rPr>
                    <w:fldChar w:fldCharType="end"/>
                  </w:r>
                  <w:bookmarkEnd w:id="16"/>
                </w:p>
              </w:tc>
              <w:tc>
                <w:tcPr>
                  <w:tcW w:w="871" w:type="dxa"/>
                  <w:shd w:val="clear" w:color="auto" w:fill="E0E0E0"/>
                  <w:vAlign w:val="center"/>
                </w:tcPr>
                <w:p w14:paraId="05C69F82" w14:textId="77777777" w:rsidR="00C24ED8" w:rsidRPr="00720FFE" w:rsidRDefault="00C24ED8" w:rsidP="00C24ED8">
                  <w:pPr>
                    <w:pStyle w:val="IATableLines"/>
                    <w:rPr>
                      <w:b/>
                      <w:color w:val="000000"/>
                      <w:sz w:val="20"/>
                    </w:rPr>
                  </w:pPr>
                  <w:r w:rsidRPr="00720FFE">
                    <w:rPr>
                      <w:b/>
                      <w:color w:val="000000"/>
                      <w:sz w:val="20"/>
                    </w:rPr>
                    <w:t>Small</w:t>
                  </w:r>
                  <w:bookmarkStart w:id="17" w:name="IACheckSmall"/>
                  <w:r w:rsidRPr="00817638">
                    <w:rPr>
                      <w:rStyle w:val="IAIOCheckSmallChar"/>
                      <w:b w:val="0"/>
                      <w:sz w:val="20"/>
                    </w:rPr>
                    <w:fldChar w:fldCharType="begin">
                      <w:ffData>
                        <w:name w:val="IACheckSmall"/>
                        <w:enabled/>
                        <w:calcOnExit w:val="0"/>
                        <w:ddList>
                          <w:listEntry w:val="Yes/No"/>
                          <w:listEntry w:val="Yes"/>
                          <w:listEntry w:val="No"/>
                        </w:ddList>
                      </w:ffData>
                    </w:fldChar>
                  </w:r>
                  <w:r w:rsidRPr="00817638">
                    <w:rPr>
                      <w:rStyle w:val="IAIOCheckSmallChar"/>
                      <w:b w:val="0"/>
                      <w:sz w:val="20"/>
                    </w:rPr>
                    <w:instrText xml:space="preserve"> FORMDROPDOWN </w:instrText>
                  </w:r>
                  <w:r w:rsidR="00437381">
                    <w:rPr>
                      <w:rStyle w:val="IAIOCheckSmallChar"/>
                      <w:b w:val="0"/>
                      <w:sz w:val="20"/>
                    </w:rPr>
                  </w:r>
                  <w:r w:rsidR="00437381">
                    <w:rPr>
                      <w:rStyle w:val="IAIOCheckSmallChar"/>
                      <w:b w:val="0"/>
                      <w:sz w:val="20"/>
                    </w:rPr>
                    <w:fldChar w:fldCharType="separate"/>
                  </w:r>
                  <w:r w:rsidRPr="00817638">
                    <w:rPr>
                      <w:rStyle w:val="IAIOCheckSmallChar"/>
                      <w:b w:val="0"/>
                      <w:sz w:val="20"/>
                    </w:rPr>
                    <w:fldChar w:fldCharType="end"/>
                  </w:r>
                  <w:bookmarkEnd w:id="17"/>
                </w:p>
              </w:tc>
              <w:tc>
                <w:tcPr>
                  <w:tcW w:w="980" w:type="dxa"/>
                  <w:gridSpan w:val="2"/>
                  <w:shd w:val="clear" w:color="auto" w:fill="E0E0E0"/>
                  <w:vAlign w:val="center"/>
                </w:tcPr>
                <w:p w14:paraId="2FE20256" w14:textId="77777777" w:rsidR="00C24ED8" w:rsidRPr="00720FFE" w:rsidRDefault="00C24ED8" w:rsidP="00C24ED8">
                  <w:pPr>
                    <w:pStyle w:val="IATableLines"/>
                    <w:rPr>
                      <w:b/>
                      <w:color w:val="000000"/>
                      <w:sz w:val="20"/>
                    </w:rPr>
                  </w:pPr>
                  <w:r w:rsidRPr="00720FFE">
                    <w:rPr>
                      <w:b/>
                      <w:color w:val="000000"/>
                      <w:sz w:val="20"/>
                    </w:rPr>
                    <w:t>Medium</w:t>
                  </w:r>
                  <w:bookmarkStart w:id="18" w:name="IACheckMedium"/>
                  <w:r w:rsidRPr="00817638">
                    <w:rPr>
                      <w:rStyle w:val="IAIOCheckMediumChar"/>
                      <w:b w:val="0"/>
                      <w:sz w:val="20"/>
                    </w:rPr>
                    <w:fldChar w:fldCharType="begin">
                      <w:ffData>
                        <w:name w:val="IACheckMedium"/>
                        <w:enabled/>
                        <w:calcOnExit w:val="0"/>
                        <w:ddList>
                          <w:listEntry w:val="Yes/No"/>
                          <w:listEntry w:val="Yes"/>
                          <w:listEntry w:val="No"/>
                        </w:ddList>
                      </w:ffData>
                    </w:fldChar>
                  </w:r>
                  <w:r w:rsidRPr="00817638">
                    <w:rPr>
                      <w:rStyle w:val="IAIOCheckMediumChar"/>
                      <w:b w:val="0"/>
                      <w:sz w:val="20"/>
                    </w:rPr>
                    <w:instrText xml:space="preserve"> FORMDROPDOWN </w:instrText>
                  </w:r>
                  <w:r w:rsidR="00437381">
                    <w:rPr>
                      <w:rStyle w:val="IAIOCheckMediumChar"/>
                      <w:b w:val="0"/>
                      <w:sz w:val="20"/>
                    </w:rPr>
                  </w:r>
                  <w:r w:rsidR="00437381">
                    <w:rPr>
                      <w:rStyle w:val="IAIOCheckMediumChar"/>
                      <w:b w:val="0"/>
                      <w:sz w:val="20"/>
                    </w:rPr>
                    <w:fldChar w:fldCharType="separate"/>
                  </w:r>
                  <w:r w:rsidRPr="00817638">
                    <w:rPr>
                      <w:rStyle w:val="IAIOCheckMediumChar"/>
                      <w:b w:val="0"/>
                      <w:sz w:val="20"/>
                    </w:rPr>
                    <w:fldChar w:fldCharType="end"/>
                  </w:r>
                  <w:bookmarkEnd w:id="18"/>
                </w:p>
              </w:tc>
              <w:tc>
                <w:tcPr>
                  <w:tcW w:w="1710" w:type="dxa"/>
                  <w:shd w:val="clear" w:color="auto" w:fill="E0E0E0"/>
                  <w:vAlign w:val="center"/>
                </w:tcPr>
                <w:p w14:paraId="0C807B5B" w14:textId="77777777" w:rsidR="00C24ED8" w:rsidRPr="00720FFE" w:rsidRDefault="00C24ED8" w:rsidP="00C24ED8">
                  <w:pPr>
                    <w:pStyle w:val="IATableLines"/>
                    <w:rPr>
                      <w:b/>
                      <w:color w:val="000000"/>
                      <w:sz w:val="20"/>
                    </w:rPr>
                  </w:pPr>
                  <w:r w:rsidRPr="00720FFE">
                    <w:rPr>
                      <w:b/>
                      <w:color w:val="000000"/>
                      <w:sz w:val="20"/>
                    </w:rPr>
                    <w:t>Large</w:t>
                  </w:r>
                  <w:bookmarkStart w:id="19" w:name="IACheckLarge"/>
                  <w:r w:rsidRPr="00817638">
                    <w:rPr>
                      <w:rStyle w:val="IAIOCheckLargeChar"/>
                      <w:b w:val="0"/>
                      <w:sz w:val="20"/>
                    </w:rPr>
                    <w:fldChar w:fldCharType="begin">
                      <w:ffData>
                        <w:name w:val="IACheckLarge"/>
                        <w:enabled/>
                        <w:calcOnExit w:val="0"/>
                        <w:ddList>
                          <w:listEntry w:val="Yes/No"/>
                          <w:listEntry w:val="Yes"/>
                          <w:listEntry w:val="No"/>
                        </w:ddList>
                      </w:ffData>
                    </w:fldChar>
                  </w:r>
                  <w:r w:rsidRPr="00817638">
                    <w:rPr>
                      <w:rStyle w:val="IAIOCheckLargeChar"/>
                      <w:b w:val="0"/>
                      <w:sz w:val="20"/>
                    </w:rPr>
                    <w:instrText xml:space="preserve"> FORMDROPDOWN </w:instrText>
                  </w:r>
                  <w:r w:rsidR="00437381">
                    <w:rPr>
                      <w:rStyle w:val="IAIOCheckLargeChar"/>
                      <w:b w:val="0"/>
                      <w:sz w:val="20"/>
                    </w:rPr>
                  </w:r>
                  <w:r w:rsidR="00437381">
                    <w:rPr>
                      <w:rStyle w:val="IAIOCheckLargeChar"/>
                      <w:b w:val="0"/>
                      <w:sz w:val="20"/>
                    </w:rPr>
                    <w:fldChar w:fldCharType="separate"/>
                  </w:r>
                  <w:r w:rsidRPr="00817638">
                    <w:rPr>
                      <w:rStyle w:val="IAIOCheckLargeChar"/>
                      <w:b w:val="0"/>
                      <w:sz w:val="20"/>
                    </w:rPr>
                    <w:fldChar w:fldCharType="end"/>
                  </w:r>
                  <w:bookmarkEnd w:id="19"/>
                </w:p>
              </w:tc>
            </w:tr>
            <w:tr w:rsidR="00C24ED8" w14:paraId="2BC8851D" w14:textId="77777777" w:rsidTr="007251EA">
              <w:trPr>
                <w:trHeight w:hRule="exact" w:val="567"/>
              </w:trPr>
              <w:tc>
                <w:tcPr>
                  <w:tcW w:w="7349" w:type="dxa"/>
                  <w:gridSpan w:val="2"/>
                  <w:shd w:val="clear" w:color="auto" w:fill="E0E0E0"/>
                  <w:vAlign w:val="center"/>
                </w:tcPr>
                <w:p w14:paraId="4DF52121" w14:textId="77777777" w:rsidR="00C24ED8" w:rsidRDefault="00C24ED8" w:rsidP="00C24ED8">
                  <w:pPr>
                    <w:pStyle w:val="IATableText"/>
                    <w:spacing w:before="0" w:after="0"/>
                    <w:rPr>
                      <w:rFonts w:eastAsia="Times New Roman"/>
                      <w:sz w:val="16"/>
                      <w:szCs w:val="16"/>
                    </w:rPr>
                  </w:pPr>
                  <w:r>
                    <w:rPr>
                      <w:rFonts w:cs="Arial"/>
                      <w:sz w:val="20"/>
                    </w:rPr>
                    <w:t>What is the CO</w:t>
                  </w:r>
                  <w:r w:rsidRPr="00FC07D5">
                    <w:rPr>
                      <w:rFonts w:cs="Arial"/>
                      <w:sz w:val="20"/>
                      <w:vertAlign w:val="subscript"/>
                    </w:rPr>
                    <w:t>2</w:t>
                  </w:r>
                  <w:r>
                    <w:rPr>
                      <w:rFonts w:cs="Arial"/>
                      <w:sz w:val="20"/>
                    </w:rPr>
                    <w:t xml:space="preserve"> equivalent change in greenhouse gas emissions? </w:t>
                  </w:r>
                  <w:r>
                    <w:rPr>
                      <w:rFonts w:cs="Arial"/>
                      <w:sz w:val="20"/>
                    </w:rPr>
                    <w:br/>
                    <w:t>(Million tonnes CO</w:t>
                  </w:r>
                  <w:r w:rsidRPr="00FC07D5">
                    <w:rPr>
                      <w:rFonts w:cs="Arial"/>
                      <w:sz w:val="20"/>
                      <w:vertAlign w:val="subscript"/>
                    </w:rPr>
                    <w:t>2</w:t>
                  </w:r>
                  <w:r>
                    <w:rPr>
                      <w:rFonts w:cs="Arial"/>
                      <w:sz w:val="20"/>
                    </w:rPr>
                    <w:t xml:space="preserve"> equivalent)</w:t>
                  </w:r>
                  <w:r>
                    <w:rPr>
                      <w:spacing w:val="0"/>
                      <w:sz w:val="18"/>
                    </w:rPr>
                    <w:t xml:space="preserve">  </w:t>
                  </w:r>
                </w:p>
              </w:tc>
              <w:tc>
                <w:tcPr>
                  <w:tcW w:w="1218" w:type="dxa"/>
                  <w:gridSpan w:val="2"/>
                  <w:shd w:val="clear" w:color="auto" w:fill="E0E0E0"/>
                </w:tcPr>
                <w:p w14:paraId="5004D291" w14:textId="77777777" w:rsidR="00C24ED8" w:rsidRDefault="00C24ED8" w:rsidP="00C24ED8">
                  <w:pPr>
                    <w:pStyle w:val="IATableLabel"/>
                  </w:pPr>
                  <w:r>
                    <w:t xml:space="preserve">Traded:   </w:t>
                  </w:r>
                  <w:r>
                    <w:br/>
                  </w:r>
                  <w:bookmarkStart w:id="20" w:name="IACO2Traded"/>
                  <w:r w:rsidRPr="00335C9A">
                    <w:rPr>
                      <w:rStyle w:val="IAIOCO2TradedChar"/>
                      <w:sz w:val="20"/>
                    </w:rPr>
                    <w:fldChar w:fldCharType="begin">
                      <w:ffData>
                        <w:name w:val="IACO2Traded"/>
                        <w:enabled/>
                        <w:calcOnExit w:val="0"/>
                        <w:textInput>
                          <w:maxLength w:val="8"/>
                        </w:textInput>
                      </w:ffData>
                    </w:fldChar>
                  </w:r>
                  <w:r w:rsidRPr="00335C9A">
                    <w:rPr>
                      <w:rStyle w:val="IAIOCO2TradedChar"/>
                      <w:sz w:val="20"/>
                    </w:rPr>
                    <w:instrText xml:space="preserve"> FORMTEXT </w:instrText>
                  </w:r>
                  <w:r w:rsidRPr="00335C9A">
                    <w:rPr>
                      <w:rStyle w:val="IAIOCO2TradedChar"/>
                      <w:sz w:val="20"/>
                    </w:rPr>
                  </w:r>
                  <w:r w:rsidRPr="00335C9A">
                    <w:rPr>
                      <w:rStyle w:val="IAIOCO2TradedChar"/>
                      <w:sz w:val="20"/>
                    </w:rPr>
                    <w:fldChar w:fldCharType="separate"/>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t> </w:t>
                  </w:r>
                  <w:r w:rsidRPr="00335C9A">
                    <w:rPr>
                      <w:rStyle w:val="IAIOCO2TradedChar"/>
                      <w:sz w:val="20"/>
                    </w:rPr>
                    <w:fldChar w:fldCharType="end"/>
                  </w:r>
                  <w:bookmarkEnd w:id="20"/>
                </w:p>
              </w:tc>
              <w:tc>
                <w:tcPr>
                  <w:tcW w:w="2343" w:type="dxa"/>
                  <w:gridSpan w:val="2"/>
                  <w:shd w:val="clear" w:color="auto" w:fill="E0E0E0"/>
                </w:tcPr>
                <w:p w14:paraId="640EEDE0" w14:textId="77777777" w:rsidR="00C24ED8" w:rsidRDefault="00C24ED8" w:rsidP="00C24ED8">
                  <w:pPr>
                    <w:pStyle w:val="IATableLabel"/>
                  </w:pPr>
                  <w:r>
                    <w:t xml:space="preserve">Non-traded:   </w:t>
                  </w:r>
                  <w:r>
                    <w:br/>
                  </w:r>
                  <w:bookmarkStart w:id="21" w:name="IACO2NonTraded"/>
                  <w:r>
                    <w:rPr>
                      <w:rStyle w:val="IAIOCO2TradedChar"/>
                      <w:sz w:val="20"/>
                    </w:rPr>
                    <w:fldChar w:fldCharType="begin">
                      <w:ffData>
                        <w:name w:val="IACO2NonTraded"/>
                        <w:enabled/>
                        <w:calcOnExit w:val="0"/>
                        <w:textInput>
                          <w:maxLength w:val="8"/>
                        </w:textInput>
                      </w:ffData>
                    </w:fldChar>
                  </w:r>
                  <w:r>
                    <w:rPr>
                      <w:rStyle w:val="IAIOCO2TradedChar"/>
                      <w:sz w:val="20"/>
                    </w:rPr>
                    <w:instrText xml:space="preserve"> FORMTEXT </w:instrText>
                  </w:r>
                  <w:r>
                    <w:rPr>
                      <w:rStyle w:val="IAIOCO2TradedChar"/>
                      <w:sz w:val="20"/>
                    </w:rPr>
                  </w:r>
                  <w:r>
                    <w:rPr>
                      <w:rStyle w:val="IAIOCO2TradedChar"/>
                      <w:sz w:val="20"/>
                    </w:rPr>
                    <w:fldChar w:fldCharType="separate"/>
                  </w:r>
                  <w:r>
                    <w:rPr>
                      <w:rStyle w:val="IAIOCO2TradedChar"/>
                      <w:noProof/>
                      <w:sz w:val="20"/>
                    </w:rPr>
                    <w:t> </w:t>
                  </w:r>
                  <w:r>
                    <w:rPr>
                      <w:rStyle w:val="IAIOCO2TradedChar"/>
                      <w:noProof/>
                      <w:sz w:val="20"/>
                    </w:rPr>
                    <w:t> </w:t>
                  </w:r>
                  <w:r>
                    <w:rPr>
                      <w:rStyle w:val="IAIOCO2TradedChar"/>
                      <w:noProof/>
                      <w:sz w:val="20"/>
                    </w:rPr>
                    <w:t> </w:t>
                  </w:r>
                  <w:r>
                    <w:rPr>
                      <w:rStyle w:val="IAIOCO2TradedChar"/>
                      <w:noProof/>
                      <w:sz w:val="20"/>
                    </w:rPr>
                    <w:t> </w:t>
                  </w:r>
                  <w:r>
                    <w:rPr>
                      <w:rStyle w:val="IAIOCO2TradedChar"/>
                      <w:noProof/>
                      <w:sz w:val="20"/>
                    </w:rPr>
                    <w:t> </w:t>
                  </w:r>
                  <w:r>
                    <w:rPr>
                      <w:rStyle w:val="IAIOCO2TradedChar"/>
                      <w:sz w:val="20"/>
                    </w:rPr>
                    <w:fldChar w:fldCharType="end"/>
                  </w:r>
                  <w:bookmarkEnd w:id="21"/>
                </w:p>
              </w:tc>
            </w:tr>
          </w:tbl>
          <w:p w14:paraId="6AB5995D" w14:textId="77777777" w:rsidR="00720FFE" w:rsidRPr="007E190E" w:rsidRDefault="00720FFE" w:rsidP="00332B05">
            <w:pPr>
              <w:pStyle w:val="IATableLabel"/>
              <w:rPr>
                <w:b w:val="0"/>
                <w:sz w:val="22"/>
                <w:szCs w:val="22"/>
              </w:rPr>
            </w:pPr>
            <w:r w:rsidRPr="00D02C89">
              <w:t xml:space="preserve">Will the policy be reviewed?  </w:t>
            </w:r>
            <w:r w:rsidRPr="007E190E">
              <w:rPr>
                <w:b w:val="0"/>
                <w:sz w:val="22"/>
                <w:szCs w:val="22"/>
              </w:rPr>
              <w:t xml:space="preserve">It </w:t>
            </w:r>
            <w:bookmarkStart w:id="22" w:name="IAPolicyReview"/>
            <w:r w:rsidR="00BB249D" w:rsidRPr="007E190E">
              <w:rPr>
                <w:rStyle w:val="IAIOPolicyReviewChar"/>
                <w:szCs w:val="22"/>
              </w:rPr>
              <w:fldChar w:fldCharType="begin">
                <w:ffData>
                  <w:name w:val="IAPolicyReview"/>
                  <w:enabled/>
                  <w:calcOnExit w:val="0"/>
                  <w:ddList>
                    <w:listEntry w:val="will/will not"/>
                    <w:listEntry w:val="will"/>
                    <w:listEntry w:val="will not"/>
                  </w:ddList>
                </w:ffData>
              </w:fldChar>
            </w:r>
            <w:r w:rsidR="00BB249D" w:rsidRPr="007E190E">
              <w:rPr>
                <w:rStyle w:val="IAIOPolicyReviewChar"/>
                <w:szCs w:val="22"/>
              </w:rPr>
              <w:instrText xml:space="preserve"> FORMDROPDOWN </w:instrText>
            </w:r>
            <w:r w:rsidR="00437381">
              <w:rPr>
                <w:rStyle w:val="IAIOPolicyReviewChar"/>
                <w:szCs w:val="22"/>
              </w:rPr>
            </w:r>
            <w:r w:rsidR="00437381">
              <w:rPr>
                <w:rStyle w:val="IAIOPolicyReviewChar"/>
                <w:szCs w:val="22"/>
              </w:rPr>
              <w:fldChar w:fldCharType="separate"/>
            </w:r>
            <w:r w:rsidR="00BB249D" w:rsidRPr="007E190E">
              <w:rPr>
                <w:rStyle w:val="IAIOPolicyReviewChar"/>
                <w:szCs w:val="22"/>
              </w:rPr>
              <w:fldChar w:fldCharType="end"/>
            </w:r>
            <w:bookmarkEnd w:id="22"/>
            <w:r w:rsidRPr="007E190E">
              <w:rPr>
                <w:b w:val="0"/>
                <w:sz w:val="22"/>
                <w:szCs w:val="22"/>
              </w:rPr>
              <w:t xml:space="preserve"> be reviewed.</w:t>
            </w:r>
            <w:r w:rsidRPr="007E190E">
              <w:rPr>
                <w:sz w:val="22"/>
                <w:szCs w:val="22"/>
              </w:rPr>
              <w:t xml:space="preserve"> </w:t>
            </w:r>
            <w:r w:rsidRPr="00D02C89">
              <w:t xml:space="preserve"> If applicable, set review date:  </w:t>
            </w:r>
            <w:bookmarkStart w:id="23" w:name="IAReviewMonth"/>
            <w:r w:rsidR="00BB249D" w:rsidRPr="007E190E">
              <w:rPr>
                <w:rStyle w:val="IAIOReviewMonthChar"/>
                <w:szCs w:val="22"/>
              </w:rPr>
              <w:fldChar w:fldCharType="begin">
                <w:ffData>
                  <w:name w:val="IAReviewMonth"/>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00BB249D" w:rsidRPr="007E190E">
              <w:rPr>
                <w:rStyle w:val="IAIOReviewMonthChar"/>
                <w:szCs w:val="22"/>
              </w:rPr>
              <w:instrText xml:space="preserve"> FORMDROPDOWN </w:instrText>
            </w:r>
            <w:r w:rsidR="00437381">
              <w:rPr>
                <w:rStyle w:val="IAIOReviewMonthChar"/>
                <w:szCs w:val="22"/>
              </w:rPr>
            </w:r>
            <w:r w:rsidR="00437381">
              <w:rPr>
                <w:rStyle w:val="IAIOReviewMonthChar"/>
                <w:szCs w:val="22"/>
              </w:rPr>
              <w:fldChar w:fldCharType="separate"/>
            </w:r>
            <w:r w:rsidR="00BB249D" w:rsidRPr="007E190E">
              <w:rPr>
                <w:rStyle w:val="IAIOReviewMonthChar"/>
                <w:szCs w:val="22"/>
              </w:rPr>
              <w:fldChar w:fldCharType="end"/>
            </w:r>
            <w:bookmarkEnd w:id="23"/>
            <w:r w:rsidRPr="007E190E">
              <w:rPr>
                <w:b w:val="0"/>
                <w:sz w:val="22"/>
                <w:szCs w:val="22"/>
              </w:rPr>
              <w:t>/</w:t>
            </w:r>
            <w:bookmarkStart w:id="24" w:name="IAReviewYear"/>
            <w:r w:rsidR="00BB249D" w:rsidRPr="007E190E">
              <w:rPr>
                <w:rStyle w:val="IAIOReviewYearChar"/>
                <w:szCs w:val="22"/>
              </w:rPr>
              <w:fldChar w:fldCharType="begin">
                <w:ffData>
                  <w:name w:val="IAReviewYear"/>
                  <w:enabled/>
                  <w:calcOnExit w:val="0"/>
                  <w:ddList>
                    <w:listEntry w:val="Year"/>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00BB249D" w:rsidRPr="007E190E">
              <w:rPr>
                <w:rStyle w:val="IAIOReviewYearChar"/>
                <w:szCs w:val="22"/>
              </w:rPr>
              <w:instrText xml:space="preserve"> FORMDROPDOWN </w:instrText>
            </w:r>
            <w:r w:rsidR="00437381">
              <w:rPr>
                <w:rStyle w:val="IAIOReviewYearChar"/>
                <w:szCs w:val="22"/>
              </w:rPr>
            </w:r>
            <w:r w:rsidR="00437381">
              <w:rPr>
                <w:rStyle w:val="IAIOReviewYearChar"/>
                <w:szCs w:val="22"/>
              </w:rPr>
              <w:fldChar w:fldCharType="separate"/>
            </w:r>
            <w:r w:rsidR="00BB249D" w:rsidRPr="007E190E">
              <w:rPr>
                <w:rStyle w:val="IAIOReviewYearChar"/>
                <w:szCs w:val="22"/>
              </w:rPr>
              <w:fldChar w:fldCharType="end"/>
            </w:r>
            <w:bookmarkEnd w:id="24"/>
          </w:p>
        </w:tc>
      </w:tr>
    </w:tbl>
    <w:p w14:paraId="72FA46DC" w14:textId="77777777" w:rsidR="007E190E" w:rsidRPr="007E190E" w:rsidRDefault="007E190E" w:rsidP="007E190E">
      <w:pPr>
        <w:rPr>
          <w:vanish/>
        </w:rPr>
      </w:pPr>
      <w:bookmarkStart w:id="25" w:name="Summary4"/>
      <w:bookmarkEnd w:id="14"/>
    </w:p>
    <w:p w14:paraId="03B7A98F" w14:textId="77777777" w:rsidR="00452B35" w:rsidRPr="00DF2F4B" w:rsidRDefault="00452B35">
      <w:pPr>
        <w:pStyle w:val="IASign-off"/>
        <w:rPr>
          <w:sz w:val="20"/>
        </w:rPr>
      </w:pPr>
      <w:bookmarkStart w:id="26" w:name="SignOfftext"/>
      <w:bookmarkEnd w:id="25"/>
      <w:r w:rsidRPr="00DF2F4B">
        <w:rPr>
          <w:sz w:val="20"/>
        </w:rPr>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797"/>
        <w:gridCol w:w="2291"/>
        <w:gridCol w:w="1276"/>
        <w:gridCol w:w="1841"/>
      </w:tblGrid>
      <w:tr w:rsidR="00452B35" w14:paraId="35748F33" w14:textId="77777777" w:rsidTr="008B0B60">
        <w:trPr>
          <w:trHeight w:hRule="exact" w:val="767"/>
        </w:trPr>
        <w:tc>
          <w:tcPr>
            <w:tcW w:w="2350" w:type="pct"/>
            <w:vAlign w:val="bottom"/>
          </w:tcPr>
          <w:p w14:paraId="37F084B4" w14:textId="77777777" w:rsidR="00452B35" w:rsidRDefault="00452B35" w:rsidP="00A94548">
            <w:pPr>
              <w:pStyle w:val="IASignature"/>
              <w:tabs>
                <w:tab w:val="clear" w:pos="6804"/>
                <w:tab w:val="left" w:leader="dot" w:pos="7380"/>
              </w:tabs>
            </w:pPr>
            <w:r w:rsidRPr="00455EAA">
              <w:t>Signed by the</w:t>
            </w:r>
            <w:r>
              <w:t xml:space="preserve"> responsible </w:t>
            </w:r>
            <w:bookmarkStart w:id="27" w:name="IASignedBy"/>
            <w:r w:rsidR="00A94548">
              <w:fldChar w:fldCharType="begin">
                <w:ffData>
                  <w:name w:val="IASignedBy"/>
                  <w:enabled/>
                  <w:calcOnExit w:val="0"/>
                  <w:ddList>
                    <w:listEntry w:val="SELECT SIGNATORY"/>
                    <w:listEntry w:val="Chair"/>
                    <w:listEntry w:val="Chief Executive"/>
                    <w:listEntry w:val="Minister"/>
                  </w:ddList>
                </w:ffData>
              </w:fldChar>
            </w:r>
            <w:r w:rsidR="00A94548">
              <w:instrText xml:space="preserve"> FORMDROPDOWN </w:instrText>
            </w:r>
            <w:r w:rsidR="00437381">
              <w:fldChar w:fldCharType="separate"/>
            </w:r>
            <w:r w:rsidR="00A94548">
              <w:fldChar w:fldCharType="end"/>
            </w:r>
            <w:bookmarkEnd w:id="27"/>
            <w:r w:rsidRPr="00455EAA">
              <w:t>:</w:t>
            </w:r>
          </w:p>
        </w:tc>
        <w:tc>
          <w:tcPr>
            <w:tcW w:w="1122" w:type="pct"/>
            <w:tcBorders>
              <w:bottom w:val="dashSmallGap" w:sz="4" w:space="0" w:color="auto"/>
            </w:tcBorders>
            <w:vAlign w:val="bottom"/>
          </w:tcPr>
          <w:p w14:paraId="211FB83F" w14:textId="77777777" w:rsidR="00452B35" w:rsidRPr="00AB4A42" w:rsidRDefault="00452B35" w:rsidP="00C13EF0">
            <w:pPr>
              <w:pStyle w:val="IAIOtextSign"/>
            </w:pPr>
          </w:p>
        </w:tc>
        <w:tc>
          <w:tcPr>
            <w:tcW w:w="625" w:type="pct"/>
            <w:vAlign w:val="bottom"/>
          </w:tcPr>
          <w:p w14:paraId="58EC0DF8" w14:textId="77777777" w:rsidR="00452B35" w:rsidRDefault="00452B35" w:rsidP="00C13EF0">
            <w:pPr>
              <w:pStyle w:val="IASignature"/>
              <w:tabs>
                <w:tab w:val="clear" w:pos="6804"/>
                <w:tab w:val="left" w:leader="dot" w:pos="7380"/>
              </w:tabs>
            </w:pPr>
            <w:r>
              <w:t> </w:t>
            </w:r>
            <w:r w:rsidRPr="00455EAA">
              <w:t>Date:</w:t>
            </w:r>
          </w:p>
        </w:tc>
        <w:bookmarkStart w:id="28" w:name="SigDate"/>
        <w:tc>
          <w:tcPr>
            <w:tcW w:w="902" w:type="pct"/>
            <w:tcBorders>
              <w:bottom w:val="dashSmallGap" w:sz="4" w:space="0" w:color="auto"/>
            </w:tcBorders>
            <w:vAlign w:val="bottom"/>
          </w:tcPr>
          <w:p w14:paraId="72E0CF10" w14:textId="77777777" w:rsidR="00452B35" w:rsidRPr="005D0BD1" w:rsidRDefault="00452B35" w:rsidP="00C13EF0">
            <w:pPr>
              <w:pStyle w:val="IAIOSigDate"/>
            </w:pPr>
            <w:r>
              <w:fldChar w:fldCharType="begin">
                <w:ffData>
                  <w:name w:val="SigDate"/>
                  <w:enabled/>
                  <w:calcOnExit w:val="0"/>
                  <w:textInput/>
                </w:ffData>
              </w:fldChar>
            </w:r>
            <w:r>
              <w:instrText xml:space="preserve"> FORMTEXT </w:instrText>
            </w:r>
            <w:r>
              <w:fldChar w:fldCharType="separate"/>
            </w:r>
            <w:r w:rsidR="00C03042">
              <w:t xml:space="preserve"> </w:t>
            </w:r>
            <w:r>
              <w:fldChar w:fldCharType="end"/>
            </w:r>
            <w:bookmarkEnd w:id="28"/>
          </w:p>
        </w:tc>
      </w:tr>
      <w:bookmarkEnd w:id="26"/>
    </w:tbl>
    <w:p w14:paraId="53A67111" w14:textId="77777777" w:rsidR="00F1328C" w:rsidRDefault="00F1328C" w:rsidP="005A3880">
      <w:pPr>
        <w:pStyle w:val="Heading1"/>
        <w:spacing w:before="0"/>
        <w:sectPr w:rsidR="00F1328C" w:rsidSect="005A3880">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7" w:h="16840" w:code="9"/>
          <w:pgMar w:top="680" w:right="851" w:bottom="680" w:left="851" w:header="284" w:footer="284" w:gutter="0"/>
          <w:cols w:space="708"/>
          <w:docGrid w:linePitch="360"/>
        </w:sectPr>
      </w:pPr>
    </w:p>
    <w:p w14:paraId="017EB3A1" w14:textId="26F399FF" w:rsidR="0029444F" w:rsidRDefault="0029444F" w:rsidP="0029444F">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t>0</w:t>
      </w:r>
    </w:p>
    <w:p w14:paraId="74BDDEA2" w14:textId="77777777" w:rsidR="0029444F" w:rsidRDefault="0029444F" w:rsidP="0029444F">
      <w:pPr>
        <w:pStyle w:val="IAHeadLabel"/>
        <w:spacing w:before="50"/>
      </w:pPr>
      <w:r w:rsidRPr="00892576">
        <w:t xml:space="preserve">Description: </w:t>
      </w:r>
      <w:r w:rsidRPr="006B70AF">
        <w:t xml:space="preserve"> </w:t>
      </w:r>
      <w:r>
        <w:rPr>
          <w:rStyle w:val="IAPODescriptionCharChar"/>
        </w:rPr>
        <w:fldChar w:fldCharType="begin">
          <w:ffData>
            <w:name w:val="Text70"/>
            <w:enabled/>
            <w:calcOnExit w:val="0"/>
            <w:textInput>
              <w:maxLength w:val="230"/>
            </w:textInput>
          </w:ffData>
        </w:fldChar>
      </w:r>
      <w:r>
        <w:rPr>
          <w:rStyle w:val="IAPODescriptionCharChar"/>
        </w:rPr>
        <w:instrText xml:space="preserve"> FORMTEXT </w:instrText>
      </w:r>
      <w:r>
        <w:rPr>
          <w:rStyle w:val="IAPODescriptionCharChar"/>
        </w:rPr>
      </w:r>
      <w:r>
        <w:rPr>
          <w:rStyle w:val="IAPODescriptionCharChar"/>
        </w:rPr>
        <w:fldChar w:fldCharType="separate"/>
      </w:r>
      <w:r>
        <w:rPr>
          <w:rStyle w:val="IAPODescriptionCharChar"/>
          <w:noProof/>
        </w:rPr>
        <w:t> </w:t>
      </w:r>
      <w:r>
        <w:rPr>
          <w:rStyle w:val="IAPODescriptionCharChar"/>
          <w:noProof/>
        </w:rPr>
        <w:t> </w:t>
      </w:r>
      <w:r>
        <w:rPr>
          <w:rStyle w:val="IAPODescriptionCharChar"/>
          <w:noProof/>
        </w:rPr>
        <w:t> </w:t>
      </w:r>
      <w:r>
        <w:rPr>
          <w:rStyle w:val="IAPODescriptionCharChar"/>
          <w:noProof/>
        </w:rPr>
        <w:t> </w:t>
      </w:r>
      <w:r>
        <w:rPr>
          <w:rStyle w:val="IAPODescriptionCharChar"/>
          <w:noProof/>
        </w:rPr>
        <w:t> </w:t>
      </w:r>
      <w:r>
        <w:rPr>
          <w:rStyle w:val="IAPODescriptionCharChar"/>
        </w:rPr>
        <w:fldChar w:fldCharType="end"/>
      </w:r>
    </w:p>
    <w:p w14:paraId="3312E111" w14:textId="77777777" w:rsidR="0029444F" w:rsidRDefault="0029444F" w:rsidP="0029444F">
      <w:pPr>
        <w:pStyle w:val="IAHeadLabel"/>
        <w:spacing w:before="50"/>
      </w:pPr>
      <w:r>
        <w:t>FULL ECONOMIC ASSESSMENT</w:t>
      </w: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20"/>
      </w:tblGrid>
      <w:tr w:rsidR="0029444F" w:rsidRPr="007E190E" w14:paraId="7CF44820" w14:textId="77777777" w:rsidTr="00BE0377">
        <w:trPr>
          <w:trHeight w:hRule="exact" w:val="312"/>
        </w:trPr>
        <w:tc>
          <w:tcPr>
            <w:tcW w:w="1402" w:type="dxa"/>
            <w:vMerge w:val="restart"/>
            <w:tcBorders>
              <w:top w:val="single" w:sz="12" w:space="0" w:color="auto"/>
              <w:left w:val="single" w:sz="12" w:space="0" w:color="auto"/>
              <w:right w:val="single" w:sz="12" w:space="0" w:color="auto"/>
            </w:tcBorders>
          </w:tcPr>
          <w:p w14:paraId="76512410" w14:textId="77777777" w:rsidR="0029444F" w:rsidRPr="00826F71" w:rsidRDefault="0029444F" w:rsidP="00BE0377">
            <w:pPr>
              <w:pStyle w:val="POPBY"/>
            </w:pPr>
            <w:r w:rsidRPr="00826F71">
              <w:t>Price Base Year</w:t>
            </w:r>
            <w:r>
              <w:t xml:space="preserve">  </w:t>
            </w:r>
            <w:r>
              <w:rPr>
                <w:b w:val="0"/>
              </w:rPr>
              <w:t>2022</w:t>
            </w:r>
          </w:p>
        </w:tc>
        <w:tc>
          <w:tcPr>
            <w:tcW w:w="1260" w:type="dxa"/>
            <w:vMerge w:val="restart"/>
            <w:tcBorders>
              <w:top w:val="single" w:sz="12" w:space="0" w:color="auto"/>
              <w:left w:val="single" w:sz="12" w:space="0" w:color="auto"/>
              <w:right w:val="single" w:sz="12" w:space="0" w:color="auto"/>
            </w:tcBorders>
          </w:tcPr>
          <w:p w14:paraId="21E16051" w14:textId="77777777" w:rsidR="0029444F" w:rsidRPr="00826F71" w:rsidRDefault="0029444F" w:rsidP="00BE0377">
            <w:pPr>
              <w:pStyle w:val="POPVBY"/>
            </w:pPr>
            <w:r w:rsidRPr="00826F71">
              <w:t>PV Base Year</w:t>
            </w:r>
            <w:r>
              <w:t xml:space="preserve">  </w:t>
            </w:r>
            <w:r>
              <w:rPr>
                <w:b w:val="0"/>
              </w:rPr>
              <w:t>2023</w:t>
            </w:r>
          </w:p>
        </w:tc>
        <w:tc>
          <w:tcPr>
            <w:tcW w:w="1440" w:type="dxa"/>
            <w:vMerge w:val="restart"/>
            <w:tcBorders>
              <w:top w:val="single" w:sz="12" w:space="0" w:color="auto"/>
              <w:left w:val="single" w:sz="12" w:space="0" w:color="auto"/>
              <w:right w:val="single" w:sz="12" w:space="0" w:color="auto"/>
            </w:tcBorders>
          </w:tcPr>
          <w:p w14:paraId="5E38C97B" w14:textId="77777777" w:rsidR="0029444F" w:rsidRPr="00826F71" w:rsidRDefault="0029444F" w:rsidP="00BE0377">
            <w:pPr>
              <w:pStyle w:val="POTPY"/>
            </w:pPr>
            <w:r w:rsidRPr="00826F71">
              <w:t>Time Period Years</w:t>
            </w:r>
            <w:r>
              <w:t xml:space="preserve">  </w:t>
            </w:r>
            <w:r>
              <w:rPr>
                <w:b w:val="0"/>
              </w:rPr>
              <w:t>10</w:t>
            </w:r>
          </w:p>
        </w:tc>
        <w:tc>
          <w:tcPr>
            <w:tcW w:w="6260" w:type="dxa"/>
            <w:gridSpan w:val="3"/>
            <w:tcBorders>
              <w:top w:val="single" w:sz="12" w:space="0" w:color="auto"/>
              <w:left w:val="single" w:sz="12" w:space="0" w:color="auto"/>
              <w:right w:val="single" w:sz="12" w:space="0" w:color="auto"/>
            </w:tcBorders>
            <w:shd w:val="clear" w:color="auto" w:fill="FFFFFF"/>
          </w:tcPr>
          <w:p w14:paraId="43966D84" w14:textId="77777777" w:rsidR="0029444F" w:rsidRPr="00826F71" w:rsidRDefault="0029444F" w:rsidP="00BE0377">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29444F" w:rsidRPr="007E190E" w14:paraId="1183E160" w14:textId="77777777" w:rsidTr="00BE0377">
        <w:trPr>
          <w:trHeight w:hRule="exact" w:val="340"/>
        </w:trPr>
        <w:tc>
          <w:tcPr>
            <w:tcW w:w="1402" w:type="dxa"/>
            <w:vMerge/>
            <w:tcBorders>
              <w:left w:val="single" w:sz="12" w:space="0" w:color="auto"/>
              <w:bottom w:val="single" w:sz="12" w:space="0" w:color="auto"/>
              <w:right w:val="single" w:sz="12" w:space="0" w:color="auto"/>
            </w:tcBorders>
          </w:tcPr>
          <w:p w14:paraId="427FF866" w14:textId="77777777" w:rsidR="0029444F" w:rsidRPr="007E190E" w:rsidRDefault="0029444F" w:rsidP="00BE0377">
            <w:pPr>
              <w:pStyle w:val="IATableNotes"/>
              <w:ind w:left="0"/>
              <w:rPr>
                <w:b/>
                <w:sz w:val="20"/>
              </w:rPr>
            </w:pPr>
          </w:p>
        </w:tc>
        <w:tc>
          <w:tcPr>
            <w:tcW w:w="1260" w:type="dxa"/>
            <w:vMerge/>
            <w:tcBorders>
              <w:left w:val="single" w:sz="12" w:space="0" w:color="auto"/>
              <w:bottom w:val="single" w:sz="12" w:space="0" w:color="auto"/>
              <w:right w:val="single" w:sz="12" w:space="0" w:color="auto"/>
            </w:tcBorders>
          </w:tcPr>
          <w:p w14:paraId="426935CC" w14:textId="77777777" w:rsidR="0029444F" w:rsidRPr="007E190E" w:rsidRDefault="0029444F" w:rsidP="00BE0377">
            <w:pPr>
              <w:pStyle w:val="IATableNotes"/>
              <w:ind w:left="0"/>
              <w:rPr>
                <w:b/>
                <w:sz w:val="20"/>
              </w:rPr>
            </w:pPr>
          </w:p>
        </w:tc>
        <w:tc>
          <w:tcPr>
            <w:tcW w:w="1440" w:type="dxa"/>
            <w:vMerge/>
            <w:tcBorders>
              <w:left w:val="single" w:sz="12" w:space="0" w:color="auto"/>
              <w:bottom w:val="single" w:sz="12" w:space="0" w:color="auto"/>
              <w:right w:val="single" w:sz="12" w:space="0" w:color="auto"/>
            </w:tcBorders>
          </w:tcPr>
          <w:p w14:paraId="5941BDA8" w14:textId="77777777" w:rsidR="0029444F" w:rsidRPr="007E190E" w:rsidRDefault="0029444F" w:rsidP="00BE0377">
            <w:pPr>
              <w:pStyle w:val="IATableNotes"/>
              <w:ind w:left="0"/>
              <w:rPr>
                <w:b/>
                <w:sz w:val="20"/>
              </w:rPr>
            </w:pPr>
          </w:p>
        </w:tc>
        <w:tc>
          <w:tcPr>
            <w:tcW w:w="1800" w:type="dxa"/>
            <w:tcBorders>
              <w:top w:val="single" w:sz="12" w:space="0" w:color="auto"/>
              <w:left w:val="single" w:sz="12" w:space="0" w:color="auto"/>
              <w:bottom w:val="single" w:sz="12" w:space="0" w:color="auto"/>
              <w:right w:val="single" w:sz="12" w:space="0" w:color="auto"/>
            </w:tcBorders>
          </w:tcPr>
          <w:p w14:paraId="4A15BB1C" w14:textId="32E3CBBD" w:rsidR="0029444F" w:rsidRPr="007E190E" w:rsidRDefault="0029444F" w:rsidP="00BE0377">
            <w:pPr>
              <w:pStyle w:val="IATableLabel"/>
              <w:rPr>
                <w:bCs/>
              </w:rPr>
            </w:pPr>
            <w:r w:rsidRPr="00304C1D">
              <w:t>Low:</w:t>
            </w:r>
            <w:r w:rsidRPr="00826F71">
              <w:t xml:space="preserve"> </w:t>
            </w:r>
            <w:r>
              <w:rPr>
                <w:rStyle w:val="PONBLowCharChar"/>
                <w:sz w:val="20"/>
                <w:szCs w:val="22"/>
              </w:rPr>
              <w:t>N/A</w:t>
            </w:r>
          </w:p>
        </w:tc>
        <w:tc>
          <w:tcPr>
            <w:tcW w:w="1827" w:type="dxa"/>
            <w:tcBorders>
              <w:top w:val="single" w:sz="12" w:space="0" w:color="auto"/>
              <w:left w:val="single" w:sz="12" w:space="0" w:color="auto"/>
              <w:bottom w:val="single" w:sz="12" w:space="0" w:color="auto"/>
              <w:right w:val="single" w:sz="12" w:space="0" w:color="auto"/>
            </w:tcBorders>
          </w:tcPr>
          <w:p w14:paraId="3EB7FC49" w14:textId="1C4D8BA8" w:rsidR="0029444F" w:rsidRPr="007E190E" w:rsidRDefault="0029444F" w:rsidP="00BE0377">
            <w:pPr>
              <w:pStyle w:val="IATableLabel"/>
              <w:rPr>
                <w:rFonts w:cs="Arial"/>
                <w:bCs/>
                <w:szCs w:val="18"/>
              </w:rPr>
            </w:pPr>
            <w:r w:rsidRPr="00304C1D">
              <w:t>High:</w:t>
            </w:r>
            <w:r w:rsidRPr="00826F71">
              <w:t xml:space="preserve"> </w:t>
            </w:r>
            <w:r>
              <w:rPr>
                <w:rStyle w:val="PONBLowCharChar"/>
                <w:sz w:val="20"/>
                <w:szCs w:val="22"/>
              </w:rPr>
              <w:t>N/A</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14:paraId="33565190" w14:textId="46F6D521" w:rsidR="0029444F" w:rsidRPr="007E190E" w:rsidRDefault="0029444F" w:rsidP="00BE0377">
            <w:pPr>
              <w:pStyle w:val="IATableLabel"/>
              <w:rPr>
                <w:szCs w:val="18"/>
              </w:rPr>
            </w:pPr>
            <w:r w:rsidRPr="00304C1D">
              <w:t xml:space="preserve">Best </w:t>
            </w:r>
            <w:r>
              <w:t>E</w:t>
            </w:r>
            <w:r w:rsidRPr="00304C1D">
              <w:t>stimate:</w:t>
            </w:r>
            <w:r w:rsidRPr="00826F71">
              <w:t xml:space="preserve"> </w:t>
            </w:r>
            <w:r>
              <w:rPr>
                <w:rStyle w:val="PONBLowCharChar"/>
                <w:sz w:val="20"/>
                <w:szCs w:val="22"/>
              </w:rPr>
              <w:t>N/A</w:t>
            </w:r>
          </w:p>
        </w:tc>
      </w:tr>
    </w:tbl>
    <w:p w14:paraId="0B69CE1C" w14:textId="77777777" w:rsidR="0029444F" w:rsidRDefault="0029444F" w:rsidP="0029444F">
      <w:pPr>
        <w:pStyle w:val="IASpace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29444F" w:rsidRPr="007E190E" w14:paraId="2643916D" w14:textId="77777777" w:rsidTr="0029444F">
        <w:trPr>
          <w:trHeight w:hRule="exact" w:val="567"/>
        </w:trPr>
        <w:tc>
          <w:tcPr>
            <w:tcW w:w="2109" w:type="dxa"/>
            <w:tcBorders>
              <w:top w:val="single" w:sz="12" w:space="0" w:color="auto"/>
              <w:bottom w:val="single" w:sz="12" w:space="0" w:color="auto"/>
              <w:right w:val="single" w:sz="12" w:space="0" w:color="auto"/>
            </w:tcBorders>
            <w:shd w:val="clear" w:color="auto" w:fill="FFFFFF"/>
          </w:tcPr>
          <w:p w14:paraId="7514BE6B" w14:textId="77777777" w:rsidR="0029444F" w:rsidRPr="007E190E" w:rsidRDefault="0029444F" w:rsidP="00BE0377">
            <w:pPr>
              <w:pStyle w:val="IATableLabel"/>
              <w:rPr>
                <w:sz w:val="24"/>
                <w:szCs w:val="24"/>
              </w:rPr>
            </w:pPr>
            <w:r w:rsidRPr="007E190E">
              <w:rPr>
                <w:sz w:val="24"/>
                <w:szCs w:val="24"/>
              </w:rPr>
              <w:t>COSTS (£m)</w:t>
            </w:r>
          </w:p>
        </w:tc>
        <w:tc>
          <w:tcPr>
            <w:tcW w:w="2724" w:type="dxa"/>
            <w:gridSpan w:val="2"/>
            <w:tcBorders>
              <w:top w:val="single" w:sz="12" w:space="0" w:color="auto"/>
              <w:left w:val="single" w:sz="12" w:space="0" w:color="auto"/>
              <w:right w:val="single" w:sz="12" w:space="0" w:color="auto"/>
            </w:tcBorders>
          </w:tcPr>
          <w:p w14:paraId="37D9FC31" w14:textId="77777777" w:rsidR="0029444F" w:rsidRPr="00826F71" w:rsidRDefault="0029444F" w:rsidP="00BE0377">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40ACBE3D" w14:textId="77777777" w:rsidR="0029444F" w:rsidRPr="00826F71" w:rsidRDefault="0029444F" w:rsidP="00BE0377">
            <w:pPr>
              <w:pStyle w:val="IATableLabel"/>
              <w:jc w:val="right"/>
            </w:pPr>
            <w:r>
              <w:br/>
            </w:r>
          </w:p>
        </w:tc>
        <w:tc>
          <w:tcPr>
            <w:tcW w:w="2848" w:type="dxa"/>
            <w:tcBorders>
              <w:top w:val="single" w:sz="12" w:space="0" w:color="auto"/>
              <w:left w:val="single" w:sz="12" w:space="0" w:color="auto"/>
              <w:bottom w:val="single" w:sz="12" w:space="0" w:color="auto"/>
              <w:right w:val="single" w:sz="12" w:space="0" w:color="auto"/>
            </w:tcBorders>
          </w:tcPr>
          <w:p w14:paraId="3E0B0D37" w14:textId="77777777" w:rsidR="0029444F" w:rsidRPr="007E190E" w:rsidRDefault="0029444F" w:rsidP="00BE0377">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20" w:type="dxa"/>
            <w:gridSpan w:val="2"/>
            <w:tcBorders>
              <w:top w:val="single" w:sz="12" w:space="0" w:color="auto"/>
              <w:left w:val="single" w:sz="12" w:space="0" w:color="auto"/>
              <w:bottom w:val="single" w:sz="12" w:space="0" w:color="auto"/>
            </w:tcBorders>
          </w:tcPr>
          <w:p w14:paraId="4906D5C4" w14:textId="77777777" w:rsidR="0029444F" w:rsidRPr="00826F71" w:rsidRDefault="0029444F" w:rsidP="00BE0377">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29444F" w:rsidRPr="007E190E" w14:paraId="56FAB18E" w14:textId="77777777" w:rsidTr="00BE0377">
        <w:trPr>
          <w:trHeight w:hRule="exact" w:val="348"/>
        </w:trPr>
        <w:tc>
          <w:tcPr>
            <w:tcW w:w="2109" w:type="dxa"/>
            <w:tcBorders>
              <w:top w:val="single" w:sz="12" w:space="0" w:color="auto"/>
              <w:bottom w:val="single" w:sz="12" w:space="0" w:color="auto"/>
              <w:right w:val="single" w:sz="12" w:space="0" w:color="auto"/>
            </w:tcBorders>
            <w:vAlign w:val="center"/>
          </w:tcPr>
          <w:p w14:paraId="092ED88B" w14:textId="77777777" w:rsidR="0029444F" w:rsidRPr="00F63895" w:rsidRDefault="0029444F" w:rsidP="0029444F">
            <w:pPr>
              <w:pStyle w:val="IATableLabel"/>
            </w:pPr>
            <w:r w:rsidRPr="00F63895">
              <w:t xml:space="preserve">Low </w:t>
            </w:r>
          </w:p>
        </w:tc>
        <w:tc>
          <w:tcPr>
            <w:tcW w:w="1938" w:type="dxa"/>
            <w:tcBorders>
              <w:top w:val="single" w:sz="12" w:space="0" w:color="auto"/>
              <w:left w:val="single" w:sz="12" w:space="0" w:color="auto"/>
              <w:bottom w:val="single" w:sz="12" w:space="0" w:color="auto"/>
              <w:right w:val="single" w:sz="12" w:space="0" w:color="auto"/>
            </w:tcBorders>
            <w:vAlign w:val="center"/>
          </w:tcPr>
          <w:p w14:paraId="65360D15" w14:textId="7166831C" w:rsidR="0029444F" w:rsidRPr="007E190E" w:rsidRDefault="0029444F" w:rsidP="0029444F">
            <w:pPr>
              <w:pStyle w:val="POTTCostsLow"/>
              <w:rPr>
                <w:sz w:val="20"/>
              </w:rPr>
            </w:pPr>
            <w:r>
              <w:rPr>
                <w:rStyle w:val="PONBLowCharChar"/>
                <w:sz w:val="20"/>
                <w:szCs w:val="22"/>
              </w:rPr>
              <w:t>N/A</w:t>
            </w:r>
          </w:p>
        </w:tc>
        <w:tc>
          <w:tcPr>
            <w:tcW w:w="786" w:type="dxa"/>
            <w:vMerge w:val="restart"/>
            <w:tcBorders>
              <w:top w:val="single" w:sz="12" w:space="0" w:color="auto"/>
              <w:left w:val="single" w:sz="12" w:space="0" w:color="auto"/>
              <w:right w:val="single" w:sz="12" w:space="0" w:color="auto"/>
            </w:tcBorders>
            <w:vAlign w:val="center"/>
          </w:tcPr>
          <w:p w14:paraId="65A0CE7F" w14:textId="77777777" w:rsidR="0029444F" w:rsidRPr="007E190E" w:rsidRDefault="0029444F" w:rsidP="0029444F">
            <w:pPr>
              <w:pStyle w:val="POTTCostsYear"/>
              <w:rPr>
                <w:sz w:val="20"/>
                <w:szCs w:val="20"/>
              </w:rPr>
            </w:pPr>
            <w:r>
              <w:rPr>
                <w:sz w:val="20"/>
                <w:szCs w:val="20"/>
              </w:rPr>
              <w:t>1</w:t>
            </w:r>
          </w:p>
        </w:tc>
        <w:tc>
          <w:tcPr>
            <w:tcW w:w="2848" w:type="dxa"/>
            <w:tcBorders>
              <w:top w:val="single" w:sz="12" w:space="0" w:color="auto"/>
              <w:left w:val="single" w:sz="12" w:space="0" w:color="auto"/>
              <w:bottom w:val="single" w:sz="12" w:space="0" w:color="auto"/>
              <w:right w:val="single" w:sz="12" w:space="0" w:color="auto"/>
            </w:tcBorders>
          </w:tcPr>
          <w:p w14:paraId="651EBF3E" w14:textId="5A675FBC" w:rsidR="0029444F" w:rsidRPr="007E190E" w:rsidRDefault="0029444F" w:rsidP="0029444F">
            <w:pPr>
              <w:pStyle w:val="POAACostsLow"/>
              <w:rPr>
                <w:sz w:val="20"/>
              </w:rPr>
            </w:pPr>
            <w:r w:rsidRPr="003D414A">
              <w:rPr>
                <w:rStyle w:val="PONBLowCharChar"/>
                <w:sz w:val="20"/>
                <w:szCs w:val="22"/>
              </w:rPr>
              <w:t>N/A</w:t>
            </w:r>
          </w:p>
        </w:tc>
        <w:tc>
          <w:tcPr>
            <w:tcW w:w="2620" w:type="dxa"/>
            <w:gridSpan w:val="2"/>
            <w:tcBorders>
              <w:top w:val="single" w:sz="12" w:space="0" w:color="auto"/>
              <w:left w:val="single" w:sz="12" w:space="0" w:color="auto"/>
              <w:bottom w:val="single" w:sz="12" w:space="0" w:color="auto"/>
            </w:tcBorders>
          </w:tcPr>
          <w:p w14:paraId="679B96F2" w14:textId="32AA2115" w:rsidR="0029444F" w:rsidRPr="007E190E" w:rsidRDefault="0029444F" w:rsidP="0029444F">
            <w:pPr>
              <w:pStyle w:val="POTCCostsLow"/>
              <w:rPr>
                <w:sz w:val="20"/>
              </w:rPr>
            </w:pPr>
            <w:r w:rsidRPr="007637F8">
              <w:rPr>
                <w:rStyle w:val="PONBLowCharChar"/>
                <w:sz w:val="20"/>
                <w:szCs w:val="22"/>
              </w:rPr>
              <w:t>N/A</w:t>
            </w:r>
          </w:p>
        </w:tc>
      </w:tr>
      <w:tr w:rsidR="0029444F" w:rsidRPr="007E190E" w14:paraId="56FDC4E0" w14:textId="77777777" w:rsidTr="00BE0377">
        <w:trPr>
          <w:trHeight w:hRule="exact" w:val="348"/>
        </w:trPr>
        <w:tc>
          <w:tcPr>
            <w:tcW w:w="2109" w:type="dxa"/>
            <w:tcBorders>
              <w:top w:val="single" w:sz="12" w:space="0" w:color="auto"/>
              <w:bottom w:val="single" w:sz="12" w:space="0" w:color="auto"/>
              <w:right w:val="single" w:sz="12" w:space="0" w:color="auto"/>
            </w:tcBorders>
            <w:vAlign w:val="center"/>
          </w:tcPr>
          <w:p w14:paraId="6A7A8726" w14:textId="77777777" w:rsidR="0029444F" w:rsidRPr="00F63895" w:rsidRDefault="0029444F" w:rsidP="0029444F">
            <w:pPr>
              <w:pStyle w:val="IATableLabel"/>
            </w:pPr>
            <w:r w:rsidRPr="00F63895">
              <w:t xml:space="preserve">High </w:t>
            </w:r>
          </w:p>
        </w:tc>
        <w:tc>
          <w:tcPr>
            <w:tcW w:w="1938" w:type="dxa"/>
            <w:tcBorders>
              <w:top w:val="single" w:sz="12" w:space="0" w:color="auto"/>
              <w:left w:val="single" w:sz="12" w:space="0" w:color="auto"/>
              <w:bottom w:val="single" w:sz="12" w:space="0" w:color="auto"/>
              <w:right w:val="single" w:sz="12" w:space="0" w:color="auto"/>
            </w:tcBorders>
            <w:vAlign w:val="center"/>
          </w:tcPr>
          <w:p w14:paraId="799FB297" w14:textId="70DAF223" w:rsidR="0029444F" w:rsidRPr="007E190E" w:rsidRDefault="0029444F" w:rsidP="0029444F">
            <w:pPr>
              <w:pStyle w:val="POTTCostsHigh"/>
              <w:rPr>
                <w:sz w:val="20"/>
              </w:rPr>
            </w:pPr>
            <w:r>
              <w:rPr>
                <w:rStyle w:val="PONBLowCharChar"/>
                <w:sz w:val="20"/>
                <w:szCs w:val="22"/>
              </w:rPr>
              <w:t>N/A</w:t>
            </w:r>
          </w:p>
        </w:tc>
        <w:tc>
          <w:tcPr>
            <w:tcW w:w="786" w:type="dxa"/>
            <w:vMerge/>
            <w:tcBorders>
              <w:left w:val="single" w:sz="12" w:space="0" w:color="auto"/>
              <w:right w:val="single" w:sz="12" w:space="0" w:color="auto"/>
            </w:tcBorders>
            <w:shd w:val="clear" w:color="auto" w:fill="FFFFFF"/>
            <w:vAlign w:val="center"/>
          </w:tcPr>
          <w:p w14:paraId="7E93395F" w14:textId="77777777" w:rsidR="0029444F" w:rsidRPr="007E190E" w:rsidRDefault="0029444F" w:rsidP="0029444F">
            <w:pPr>
              <w:pStyle w:val="IATableText"/>
              <w:jc w:val="right"/>
              <w:rPr>
                <w:sz w:val="20"/>
              </w:rPr>
            </w:pPr>
          </w:p>
        </w:tc>
        <w:tc>
          <w:tcPr>
            <w:tcW w:w="2848" w:type="dxa"/>
            <w:tcBorders>
              <w:top w:val="single" w:sz="12" w:space="0" w:color="auto"/>
              <w:left w:val="single" w:sz="12" w:space="0" w:color="auto"/>
              <w:bottom w:val="single" w:sz="12" w:space="0" w:color="auto"/>
              <w:right w:val="single" w:sz="12" w:space="0" w:color="auto"/>
            </w:tcBorders>
          </w:tcPr>
          <w:p w14:paraId="710CEEB7" w14:textId="3D327500" w:rsidR="0029444F" w:rsidRPr="007E190E" w:rsidRDefault="0029444F" w:rsidP="0029444F">
            <w:pPr>
              <w:pStyle w:val="POAACostsHigh"/>
              <w:rPr>
                <w:sz w:val="20"/>
              </w:rPr>
            </w:pPr>
            <w:r w:rsidRPr="003D414A">
              <w:rPr>
                <w:rStyle w:val="PONBLowCharChar"/>
                <w:sz w:val="20"/>
                <w:szCs w:val="22"/>
              </w:rPr>
              <w:t>N/A</w:t>
            </w:r>
          </w:p>
        </w:tc>
        <w:tc>
          <w:tcPr>
            <w:tcW w:w="2620" w:type="dxa"/>
            <w:gridSpan w:val="2"/>
            <w:tcBorders>
              <w:top w:val="single" w:sz="12" w:space="0" w:color="auto"/>
              <w:left w:val="single" w:sz="12" w:space="0" w:color="auto"/>
              <w:bottom w:val="single" w:sz="12" w:space="0" w:color="auto"/>
            </w:tcBorders>
          </w:tcPr>
          <w:p w14:paraId="182ED067" w14:textId="4F942675" w:rsidR="0029444F" w:rsidRPr="007E190E" w:rsidRDefault="0029444F" w:rsidP="0029444F">
            <w:pPr>
              <w:pStyle w:val="POTCCostsHigh"/>
              <w:rPr>
                <w:sz w:val="20"/>
              </w:rPr>
            </w:pPr>
            <w:r w:rsidRPr="007637F8">
              <w:rPr>
                <w:rStyle w:val="PONBLowCharChar"/>
                <w:sz w:val="20"/>
                <w:szCs w:val="22"/>
              </w:rPr>
              <w:t>N/A</w:t>
            </w:r>
          </w:p>
        </w:tc>
      </w:tr>
      <w:tr w:rsidR="0029444F" w:rsidRPr="007E190E" w14:paraId="48991B08" w14:textId="77777777" w:rsidTr="00BE0377">
        <w:trPr>
          <w:trHeight w:hRule="exact" w:val="348"/>
        </w:trPr>
        <w:tc>
          <w:tcPr>
            <w:tcW w:w="2109" w:type="dxa"/>
            <w:tcBorders>
              <w:top w:val="single" w:sz="12" w:space="0" w:color="auto"/>
              <w:bottom w:val="single" w:sz="12" w:space="0" w:color="auto"/>
              <w:right w:val="single" w:sz="12" w:space="0" w:color="auto"/>
            </w:tcBorders>
            <w:shd w:val="clear" w:color="auto" w:fill="FFFFFF"/>
            <w:vAlign w:val="center"/>
          </w:tcPr>
          <w:p w14:paraId="6076ADD3" w14:textId="77777777" w:rsidR="0029444F" w:rsidRPr="00F63895" w:rsidRDefault="0029444F" w:rsidP="0029444F">
            <w:pPr>
              <w:pStyle w:val="IATableLabel"/>
            </w:pPr>
            <w:r w:rsidRPr="00F63895">
              <w:t>Best Estimate</w:t>
            </w:r>
          </w:p>
          <w:p w14:paraId="43F7596F" w14:textId="77777777" w:rsidR="0029444F" w:rsidRPr="007E190E" w:rsidRDefault="0029444F" w:rsidP="0029444F">
            <w:pPr>
              <w:pStyle w:val="IATableNotes"/>
              <w:spacing w:beforeLines="40" w:before="96"/>
              <w:ind w:left="0" w:right="-22"/>
              <w:jc w:val="center"/>
              <w:rPr>
                <w:rFonts w:cs="Arial"/>
                <w:b/>
                <w:sz w:val="20"/>
              </w:rPr>
            </w:pPr>
          </w:p>
        </w:tc>
        <w:tc>
          <w:tcPr>
            <w:tcW w:w="1938" w:type="dxa"/>
            <w:tcBorders>
              <w:top w:val="single" w:sz="12" w:space="0" w:color="auto"/>
              <w:left w:val="single" w:sz="12" w:space="0" w:color="auto"/>
              <w:bottom w:val="single" w:sz="12" w:space="0" w:color="auto"/>
              <w:right w:val="single" w:sz="12" w:space="0" w:color="auto"/>
            </w:tcBorders>
            <w:shd w:val="clear" w:color="auto" w:fill="FFFFFF"/>
            <w:vAlign w:val="center"/>
          </w:tcPr>
          <w:p w14:paraId="032ED2BE" w14:textId="7299C815" w:rsidR="0029444F" w:rsidRPr="007E190E" w:rsidRDefault="0029444F" w:rsidP="0029444F">
            <w:pPr>
              <w:pStyle w:val="POTTCostsBest"/>
              <w:rPr>
                <w:sz w:val="20"/>
              </w:rPr>
            </w:pPr>
            <w:r>
              <w:rPr>
                <w:rStyle w:val="PONBLowCharChar"/>
                <w:sz w:val="20"/>
                <w:szCs w:val="22"/>
              </w:rPr>
              <w:t>N/A</w:t>
            </w:r>
          </w:p>
        </w:tc>
        <w:tc>
          <w:tcPr>
            <w:tcW w:w="786" w:type="dxa"/>
            <w:vMerge/>
            <w:tcBorders>
              <w:left w:val="single" w:sz="12" w:space="0" w:color="auto"/>
              <w:right w:val="single" w:sz="12" w:space="0" w:color="auto"/>
            </w:tcBorders>
            <w:shd w:val="clear" w:color="auto" w:fill="FFFFFF"/>
            <w:vAlign w:val="center"/>
          </w:tcPr>
          <w:p w14:paraId="36576737" w14:textId="77777777" w:rsidR="0029444F" w:rsidRPr="007E190E" w:rsidRDefault="0029444F" w:rsidP="0029444F">
            <w:pPr>
              <w:pStyle w:val="IATableText"/>
              <w:jc w:val="right"/>
              <w:rPr>
                <w:sz w:val="20"/>
              </w:rPr>
            </w:pPr>
          </w:p>
        </w:tc>
        <w:tc>
          <w:tcPr>
            <w:tcW w:w="2848" w:type="dxa"/>
            <w:tcBorders>
              <w:top w:val="single" w:sz="12" w:space="0" w:color="auto"/>
              <w:left w:val="single" w:sz="12" w:space="0" w:color="auto"/>
              <w:bottom w:val="single" w:sz="12" w:space="0" w:color="auto"/>
              <w:right w:val="single" w:sz="12" w:space="0" w:color="auto"/>
            </w:tcBorders>
            <w:shd w:val="clear" w:color="auto" w:fill="FFFFFF"/>
          </w:tcPr>
          <w:p w14:paraId="521F788E" w14:textId="6D2131E4" w:rsidR="0029444F" w:rsidRPr="007E190E" w:rsidRDefault="0029444F" w:rsidP="0029444F">
            <w:pPr>
              <w:pStyle w:val="POAACostsBest"/>
              <w:rPr>
                <w:sz w:val="20"/>
              </w:rPr>
            </w:pPr>
            <w:r w:rsidRPr="003D414A">
              <w:rPr>
                <w:rStyle w:val="PONBLowCharChar"/>
                <w:sz w:val="20"/>
                <w:szCs w:val="22"/>
              </w:rPr>
              <w:t>N/A</w:t>
            </w:r>
          </w:p>
        </w:tc>
        <w:tc>
          <w:tcPr>
            <w:tcW w:w="2620" w:type="dxa"/>
            <w:gridSpan w:val="2"/>
            <w:tcBorders>
              <w:top w:val="single" w:sz="12" w:space="0" w:color="auto"/>
              <w:left w:val="single" w:sz="12" w:space="0" w:color="auto"/>
              <w:bottom w:val="single" w:sz="12" w:space="0" w:color="auto"/>
            </w:tcBorders>
            <w:shd w:val="clear" w:color="auto" w:fill="FFFFFF"/>
          </w:tcPr>
          <w:p w14:paraId="1C60CCAF" w14:textId="2CBEF543" w:rsidR="0029444F" w:rsidRPr="007E190E" w:rsidRDefault="0029444F" w:rsidP="0029444F">
            <w:pPr>
              <w:pStyle w:val="POTCCostsBest"/>
              <w:rPr>
                <w:sz w:val="20"/>
              </w:rPr>
            </w:pPr>
            <w:r w:rsidRPr="007637F8">
              <w:rPr>
                <w:rStyle w:val="PONBLowCharChar"/>
                <w:sz w:val="20"/>
                <w:szCs w:val="22"/>
              </w:rPr>
              <w:t>N/A</w:t>
            </w:r>
          </w:p>
        </w:tc>
      </w:tr>
      <w:tr w:rsidR="0029444F" w:rsidRPr="00826F71" w14:paraId="797EC184" w14:textId="77777777" w:rsidTr="0029444F">
        <w:trPr>
          <w:trHeight w:hRule="exact" w:val="2067"/>
        </w:trPr>
        <w:tc>
          <w:tcPr>
            <w:tcW w:w="10301" w:type="dxa"/>
            <w:gridSpan w:val="6"/>
            <w:tcBorders>
              <w:bottom w:val="single" w:sz="12" w:space="0" w:color="auto"/>
            </w:tcBorders>
          </w:tcPr>
          <w:p w14:paraId="34AEEA5B" w14:textId="77777777" w:rsidR="0029444F" w:rsidRPr="007E190E" w:rsidRDefault="0029444F" w:rsidP="00BE0377">
            <w:pPr>
              <w:pStyle w:val="IAPOQ1"/>
              <w:rPr>
                <w:szCs w:val="22"/>
              </w:rPr>
            </w:pPr>
            <w:r w:rsidRPr="00544292">
              <w:t xml:space="preserve">Description and scale of </w:t>
            </w:r>
            <w:r w:rsidRPr="00826F71">
              <w:t>key monetised costs</w:t>
            </w:r>
            <w:r w:rsidRPr="00544292">
              <w:t xml:space="preserve"> by ‘main affected groups’ </w:t>
            </w:r>
          </w:p>
          <w:p w14:paraId="356186D7" w14:textId="1C26713F" w:rsidR="0029444F" w:rsidRPr="00826F71" w:rsidRDefault="0029444F" w:rsidP="00BE0377">
            <w:pPr>
              <w:pStyle w:val="IAPOA1"/>
            </w:pPr>
            <w:r>
              <w:t>This is the ‘</w:t>
            </w:r>
            <w:r w:rsidR="00382DC5">
              <w:t>business as usual</w:t>
            </w:r>
            <w:r>
              <w:t xml:space="preserve">’ baseline against which the </w:t>
            </w:r>
            <w:r w:rsidR="00C5319B">
              <w:t>other</w:t>
            </w:r>
            <w:r>
              <w:t xml:space="preserve"> options are compared. As such, </w:t>
            </w:r>
            <w:r w:rsidR="00C5319B">
              <w:t>there are no additional costs and benefits of Option 0.</w:t>
            </w:r>
            <w:r>
              <w:t xml:space="preserve"> </w:t>
            </w:r>
          </w:p>
        </w:tc>
      </w:tr>
      <w:tr w:rsidR="0029444F" w:rsidRPr="00826F71" w14:paraId="0D577F75" w14:textId="77777777" w:rsidTr="0029444F">
        <w:trPr>
          <w:trHeight w:hRule="exact" w:val="1403"/>
        </w:trPr>
        <w:tc>
          <w:tcPr>
            <w:tcW w:w="10301" w:type="dxa"/>
            <w:gridSpan w:val="6"/>
            <w:tcBorders>
              <w:top w:val="single" w:sz="12" w:space="0" w:color="auto"/>
              <w:bottom w:val="single" w:sz="12" w:space="0" w:color="auto"/>
            </w:tcBorders>
          </w:tcPr>
          <w:p w14:paraId="0ED2D5E0" w14:textId="77777777" w:rsidR="0029444F" w:rsidRPr="007E190E" w:rsidRDefault="0029444F" w:rsidP="00BE0377">
            <w:pPr>
              <w:pStyle w:val="IAPOQ2"/>
              <w:rPr>
                <w:szCs w:val="22"/>
              </w:rPr>
            </w:pPr>
            <w:r w:rsidRPr="00544292">
              <w:t>Other</w:t>
            </w:r>
            <w:r w:rsidRPr="00826F71">
              <w:t xml:space="preserve"> key non-monetised costs</w:t>
            </w:r>
            <w:r w:rsidRPr="00544292">
              <w:t xml:space="preserve"> by ‘main affected groups’ </w:t>
            </w:r>
          </w:p>
          <w:p w14:paraId="49639BA9" w14:textId="0B6B9672" w:rsidR="0029444F" w:rsidRPr="007E190E" w:rsidRDefault="0018176D" w:rsidP="00BE0377">
            <w:pPr>
              <w:pStyle w:val="IAPOA2"/>
              <w:rPr>
                <w:szCs w:val="22"/>
              </w:rPr>
            </w:pPr>
            <w:r>
              <w:rPr>
                <w:szCs w:val="22"/>
              </w:rPr>
              <w:t xml:space="preserve">Doing nothing would mean we fail to keep the data requirements in line with </w:t>
            </w:r>
            <w:r w:rsidR="00BC63AF">
              <w:rPr>
                <w:szCs w:val="22"/>
              </w:rPr>
              <w:t xml:space="preserve">scientific and technical progress </w:t>
            </w:r>
            <w:r w:rsidR="00E31D85">
              <w:rPr>
                <w:szCs w:val="22"/>
              </w:rPr>
              <w:t xml:space="preserve">including </w:t>
            </w:r>
            <w:r w:rsidR="00BC63AF">
              <w:rPr>
                <w:szCs w:val="22"/>
              </w:rPr>
              <w:t xml:space="preserve">the use of </w:t>
            </w:r>
            <w:r w:rsidR="00E31D85">
              <w:rPr>
                <w:szCs w:val="22"/>
              </w:rPr>
              <w:t>non-animal in vitro test methods, which would fail to align with the Government’s objective</w:t>
            </w:r>
            <w:r w:rsidR="00E924E5">
              <w:rPr>
                <w:szCs w:val="22"/>
              </w:rPr>
              <w:t>s</w:t>
            </w:r>
            <w:r w:rsidR="00E31D85">
              <w:rPr>
                <w:szCs w:val="22"/>
              </w:rPr>
              <w:t xml:space="preserve"> of </w:t>
            </w:r>
            <w:r w:rsidR="009153B6">
              <w:rPr>
                <w:szCs w:val="22"/>
              </w:rPr>
              <w:t>eliminating or reducing animal testing</w:t>
            </w:r>
            <w:r w:rsidR="00855CE6">
              <w:rPr>
                <w:szCs w:val="22"/>
              </w:rPr>
              <w:t>.</w:t>
            </w:r>
          </w:p>
        </w:tc>
      </w:tr>
      <w:tr w:rsidR="0029444F" w:rsidRPr="007E190E" w14:paraId="15F730C0" w14:textId="77777777" w:rsidTr="0029444F">
        <w:trPr>
          <w:trHeight w:hRule="exact" w:val="567"/>
        </w:trPr>
        <w:tc>
          <w:tcPr>
            <w:tcW w:w="2109" w:type="dxa"/>
            <w:tcBorders>
              <w:bottom w:val="single" w:sz="12" w:space="0" w:color="auto"/>
              <w:right w:val="single" w:sz="12" w:space="0" w:color="auto"/>
            </w:tcBorders>
            <w:shd w:val="clear" w:color="auto" w:fill="FFFFFF"/>
          </w:tcPr>
          <w:p w14:paraId="70C175E8" w14:textId="77777777" w:rsidR="0029444F" w:rsidRPr="007E190E" w:rsidRDefault="0029444F" w:rsidP="00BE0377">
            <w:pPr>
              <w:pStyle w:val="IATableLabel"/>
              <w:rPr>
                <w:sz w:val="24"/>
                <w:szCs w:val="24"/>
              </w:rPr>
            </w:pPr>
            <w:r w:rsidRPr="007E190E">
              <w:rPr>
                <w:sz w:val="24"/>
                <w:szCs w:val="24"/>
              </w:rPr>
              <w:t xml:space="preserve">BENEFITS </w:t>
            </w:r>
            <w:r>
              <w:rPr>
                <w:sz w:val="24"/>
                <w:szCs w:val="24"/>
              </w:rPr>
              <w:t>(</w:t>
            </w:r>
            <w:r w:rsidRPr="007E190E">
              <w:rPr>
                <w:sz w:val="24"/>
                <w:szCs w:val="24"/>
              </w:rPr>
              <w:t>£m)</w:t>
            </w:r>
          </w:p>
        </w:tc>
        <w:tc>
          <w:tcPr>
            <w:tcW w:w="2724" w:type="dxa"/>
            <w:gridSpan w:val="2"/>
            <w:tcBorders>
              <w:top w:val="single" w:sz="12" w:space="0" w:color="auto"/>
              <w:left w:val="single" w:sz="12" w:space="0" w:color="auto"/>
              <w:right w:val="single" w:sz="12" w:space="0" w:color="auto"/>
            </w:tcBorders>
          </w:tcPr>
          <w:p w14:paraId="48D52D48" w14:textId="77777777" w:rsidR="0029444F" w:rsidRPr="00826F71" w:rsidRDefault="0029444F" w:rsidP="00BE0377">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3537017E" w14:textId="77777777" w:rsidR="0029444F" w:rsidRPr="00826F71" w:rsidRDefault="0029444F" w:rsidP="00BE0377">
            <w:pPr>
              <w:pStyle w:val="IATableLabel"/>
              <w:jc w:val="right"/>
            </w:pPr>
            <w:r>
              <w:br/>
            </w:r>
          </w:p>
        </w:tc>
        <w:tc>
          <w:tcPr>
            <w:tcW w:w="2848" w:type="dxa"/>
            <w:tcBorders>
              <w:left w:val="single" w:sz="12" w:space="0" w:color="auto"/>
              <w:bottom w:val="single" w:sz="12" w:space="0" w:color="auto"/>
              <w:right w:val="single" w:sz="12" w:space="0" w:color="auto"/>
            </w:tcBorders>
          </w:tcPr>
          <w:p w14:paraId="1A410C8D" w14:textId="77777777" w:rsidR="0029444F" w:rsidRPr="007E190E" w:rsidRDefault="0029444F" w:rsidP="00BE0377">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20" w:type="dxa"/>
            <w:gridSpan w:val="2"/>
            <w:tcBorders>
              <w:top w:val="single" w:sz="12" w:space="0" w:color="auto"/>
              <w:left w:val="single" w:sz="12" w:space="0" w:color="auto"/>
              <w:bottom w:val="single" w:sz="12" w:space="0" w:color="auto"/>
            </w:tcBorders>
          </w:tcPr>
          <w:p w14:paraId="4C8B4587" w14:textId="77777777" w:rsidR="0029444F" w:rsidRPr="00826F71" w:rsidRDefault="0029444F" w:rsidP="00BE0377">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29444F" w:rsidRPr="007E190E" w14:paraId="1CE831B7" w14:textId="77777777" w:rsidTr="00BE0377">
        <w:trPr>
          <w:trHeight w:hRule="exact" w:val="348"/>
        </w:trPr>
        <w:tc>
          <w:tcPr>
            <w:tcW w:w="2109" w:type="dxa"/>
            <w:tcBorders>
              <w:top w:val="single" w:sz="12" w:space="0" w:color="auto"/>
              <w:bottom w:val="single" w:sz="12" w:space="0" w:color="auto"/>
              <w:right w:val="single" w:sz="12" w:space="0" w:color="auto"/>
            </w:tcBorders>
            <w:vAlign w:val="center"/>
          </w:tcPr>
          <w:p w14:paraId="4715EE05" w14:textId="77777777" w:rsidR="0029444F" w:rsidRPr="00826F71" w:rsidRDefault="0029444F" w:rsidP="0029444F">
            <w:pPr>
              <w:pStyle w:val="IATableLabel"/>
            </w:pPr>
            <w:r w:rsidRPr="00826F71">
              <w:t xml:space="preserve">Low </w:t>
            </w:r>
          </w:p>
        </w:tc>
        <w:tc>
          <w:tcPr>
            <w:tcW w:w="1938" w:type="dxa"/>
            <w:tcBorders>
              <w:top w:val="single" w:sz="12" w:space="0" w:color="auto"/>
              <w:left w:val="single" w:sz="12" w:space="0" w:color="auto"/>
              <w:bottom w:val="single" w:sz="12" w:space="0" w:color="auto"/>
              <w:right w:val="single" w:sz="12" w:space="0" w:color="auto"/>
            </w:tcBorders>
          </w:tcPr>
          <w:p w14:paraId="2F591F77" w14:textId="061ED78A" w:rsidR="0029444F" w:rsidRPr="007E190E" w:rsidRDefault="0029444F" w:rsidP="0029444F">
            <w:pPr>
              <w:pStyle w:val="POTTBenLow"/>
              <w:rPr>
                <w:sz w:val="20"/>
              </w:rPr>
            </w:pPr>
            <w:r w:rsidRPr="006456B4">
              <w:rPr>
                <w:rStyle w:val="PONBLowCharChar"/>
                <w:sz w:val="20"/>
                <w:szCs w:val="22"/>
              </w:rPr>
              <w:t>N/A</w:t>
            </w:r>
          </w:p>
        </w:tc>
        <w:tc>
          <w:tcPr>
            <w:tcW w:w="786" w:type="dxa"/>
            <w:vMerge w:val="restart"/>
            <w:tcBorders>
              <w:top w:val="single" w:sz="12" w:space="0" w:color="auto"/>
              <w:left w:val="single" w:sz="12" w:space="0" w:color="auto"/>
              <w:right w:val="single" w:sz="12" w:space="0" w:color="auto"/>
            </w:tcBorders>
            <w:vAlign w:val="center"/>
          </w:tcPr>
          <w:p w14:paraId="0918F66B" w14:textId="77777777" w:rsidR="0029444F" w:rsidRPr="007E190E" w:rsidRDefault="0029444F" w:rsidP="0029444F">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48" w:type="dxa"/>
            <w:tcBorders>
              <w:top w:val="single" w:sz="12" w:space="0" w:color="auto"/>
              <w:left w:val="single" w:sz="12" w:space="0" w:color="auto"/>
              <w:bottom w:val="single" w:sz="12" w:space="0" w:color="auto"/>
              <w:right w:val="single" w:sz="12" w:space="0" w:color="auto"/>
            </w:tcBorders>
          </w:tcPr>
          <w:p w14:paraId="1DB226B6" w14:textId="2D08A5BF" w:rsidR="0029444F" w:rsidRPr="007E190E" w:rsidRDefault="0029444F" w:rsidP="0029444F">
            <w:pPr>
              <w:pStyle w:val="POAABenLow"/>
              <w:rPr>
                <w:sz w:val="20"/>
              </w:rPr>
            </w:pPr>
            <w:r w:rsidRPr="003D462A">
              <w:rPr>
                <w:rStyle w:val="PONBLowCharChar"/>
                <w:sz w:val="20"/>
                <w:szCs w:val="22"/>
              </w:rPr>
              <w:t>N/A</w:t>
            </w:r>
          </w:p>
        </w:tc>
        <w:tc>
          <w:tcPr>
            <w:tcW w:w="2620" w:type="dxa"/>
            <w:gridSpan w:val="2"/>
            <w:tcBorders>
              <w:top w:val="single" w:sz="12" w:space="0" w:color="auto"/>
              <w:left w:val="single" w:sz="12" w:space="0" w:color="auto"/>
              <w:bottom w:val="single" w:sz="12" w:space="0" w:color="auto"/>
            </w:tcBorders>
          </w:tcPr>
          <w:p w14:paraId="5683E4AA" w14:textId="1417BC67" w:rsidR="0029444F" w:rsidRPr="007E190E" w:rsidRDefault="0029444F" w:rsidP="0029444F">
            <w:pPr>
              <w:pStyle w:val="POTBBenLow"/>
              <w:rPr>
                <w:sz w:val="20"/>
              </w:rPr>
            </w:pPr>
            <w:r w:rsidRPr="008A00C3">
              <w:rPr>
                <w:rStyle w:val="PONBLowCharChar"/>
                <w:sz w:val="20"/>
                <w:szCs w:val="22"/>
              </w:rPr>
              <w:t>N/A</w:t>
            </w:r>
          </w:p>
        </w:tc>
      </w:tr>
      <w:tr w:rsidR="0029444F" w:rsidRPr="007E190E" w14:paraId="05198B0B" w14:textId="77777777" w:rsidTr="00BE0377">
        <w:trPr>
          <w:trHeight w:hRule="exact" w:val="348"/>
        </w:trPr>
        <w:tc>
          <w:tcPr>
            <w:tcW w:w="2109" w:type="dxa"/>
            <w:tcBorders>
              <w:top w:val="single" w:sz="12" w:space="0" w:color="auto"/>
              <w:bottom w:val="single" w:sz="12" w:space="0" w:color="auto"/>
              <w:right w:val="single" w:sz="12" w:space="0" w:color="auto"/>
            </w:tcBorders>
            <w:vAlign w:val="center"/>
          </w:tcPr>
          <w:p w14:paraId="12C7F8CC" w14:textId="77777777" w:rsidR="0029444F" w:rsidRPr="00826F71" w:rsidRDefault="0029444F" w:rsidP="0029444F">
            <w:pPr>
              <w:pStyle w:val="IATableLabel"/>
            </w:pPr>
            <w:r w:rsidRPr="00826F71">
              <w:t xml:space="preserve">High </w:t>
            </w:r>
          </w:p>
        </w:tc>
        <w:tc>
          <w:tcPr>
            <w:tcW w:w="1938" w:type="dxa"/>
            <w:tcBorders>
              <w:top w:val="single" w:sz="12" w:space="0" w:color="auto"/>
              <w:left w:val="single" w:sz="12" w:space="0" w:color="auto"/>
              <w:bottom w:val="single" w:sz="12" w:space="0" w:color="auto"/>
              <w:right w:val="single" w:sz="12" w:space="0" w:color="auto"/>
            </w:tcBorders>
          </w:tcPr>
          <w:p w14:paraId="1CA0703F" w14:textId="652C4EE5" w:rsidR="0029444F" w:rsidRPr="007E190E" w:rsidRDefault="0029444F" w:rsidP="0029444F">
            <w:pPr>
              <w:pStyle w:val="POTTBenHigh"/>
              <w:rPr>
                <w:sz w:val="20"/>
              </w:rPr>
            </w:pPr>
            <w:r w:rsidRPr="006456B4">
              <w:rPr>
                <w:rStyle w:val="PONBLowCharChar"/>
                <w:sz w:val="20"/>
                <w:szCs w:val="22"/>
              </w:rPr>
              <w:t>N/A</w:t>
            </w:r>
          </w:p>
        </w:tc>
        <w:tc>
          <w:tcPr>
            <w:tcW w:w="786" w:type="dxa"/>
            <w:vMerge/>
            <w:tcBorders>
              <w:left w:val="single" w:sz="12" w:space="0" w:color="auto"/>
              <w:right w:val="single" w:sz="12" w:space="0" w:color="auto"/>
            </w:tcBorders>
            <w:shd w:val="clear" w:color="auto" w:fill="FFFFFF"/>
            <w:vAlign w:val="center"/>
          </w:tcPr>
          <w:p w14:paraId="51FED4F6" w14:textId="77777777" w:rsidR="0029444F" w:rsidRPr="007E190E" w:rsidRDefault="0029444F" w:rsidP="0029444F">
            <w:pPr>
              <w:pStyle w:val="IATableText"/>
              <w:jc w:val="right"/>
              <w:rPr>
                <w:sz w:val="20"/>
              </w:rPr>
            </w:pPr>
          </w:p>
        </w:tc>
        <w:tc>
          <w:tcPr>
            <w:tcW w:w="2848" w:type="dxa"/>
            <w:tcBorders>
              <w:top w:val="single" w:sz="12" w:space="0" w:color="auto"/>
              <w:left w:val="single" w:sz="12" w:space="0" w:color="auto"/>
              <w:bottom w:val="single" w:sz="12" w:space="0" w:color="auto"/>
              <w:right w:val="single" w:sz="12" w:space="0" w:color="auto"/>
            </w:tcBorders>
          </w:tcPr>
          <w:p w14:paraId="383CC46C" w14:textId="74AF3EAD" w:rsidR="0029444F" w:rsidRPr="007E190E" w:rsidRDefault="0029444F" w:rsidP="0029444F">
            <w:pPr>
              <w:pStyle w:val="POAABenHigh"/>
              <w:rPr>
                <w:sz w:val="20"/>
              </w:rPr>
            </w:pPr>
            <w:r w:rsidRPr="003D462A">
              <w:rPr>
                <w:rStyle w:val="PONBLowCharChar"/>
                <w:sz w:val="20"/>
                <w:szCs w:val="22"/>
              </w:rPr>
              <w:t>N/A</w:t>
            </w:r>
          </w:p>
        </w:tc>
        <w:tc>
          <w:tcPr>
            <w:tcW w:w="2620" w:type="dxa"/>
            <w:gridSpan w:val="2"/>
            <w:tcBorders>
              <w:top w:val="single" w:sz="12" w:space="0" w:color="auto"/>
              <w:left w:val="single" w:sz="12" w:space="0" w:color="auto"/>
              <w:bottom w:val="single" w:sz="12" w:space="0" w:color="auto"/>
            </w:tcBorders>
          </w:tcPr>
          <w:p w14:paraId="0E484206" w14:textId="34F2D58F" w:rsidR="0029444F" w:rsidRPr="007E190E" w:rsidRDefault="0029444F" w:rsidP="0029444F">
            <w:pPr>
              <w:pStyle w:val="POTBBenHigh"/>
              <w:rPr>
                <w:sz w:val="20"/>
              </w:rPr>
            </w:pPr>
            <w:r w:rsidRPr="008A00C3">
              <w:rPr>
                <w:rStyle w:val="PONBLowCharChar"/>
                <w:sz w:val="20"/>
                <w:szCs w:val="22"/>
              </w:rPr>
              <w:t>N/A</w:t>
            </w:r>
          </w:p>
        </w:tc>
      </w:tr>
      <w:tr w:rsidR="0029444F" w:rsidRPr="007E190E" w14:paraId="3101EC54" w14:textId="77777777" w:rsidTr="00BE0377">
        <w:trPr>
          <w:trHeight w:hRule="exact" w:val="348"/>
        </w:trPr>
        <w:tc>
          <w:tcPr>
            <w:tcW w:w="2109" w:type="dxa"/>
            <w:tcBorders>
              <w:top w:val="single" w:sz="12" w:space="0" w:color="auto"/>
              <w:bottom w:val="single" w:sz="12" w:space="0" w:color="auto"/>
              <w:right w:val="single" w:sz="12" w:space="0" w:color="auto"/>
            </w:tcBorders>
            <w:shd w:val="clear" w:color="auto" w:fill="FFFFFF"/>
            <w:vAlign w:val="center"/>
          </w:tcPr>
          <w:p w14:paraId="3FF7D493" w14:textId="77777777" w:rsidR="0029444F" w:rsidRPr="00826F71" w:rsidRDefault="0029444F" w:rsidP="0029444F">
            <w:pPr>
              <w:pStyle w:val="IATableLabel"/>
            </w:pPr>
            <w:r w:rsidRPr="00826F71">
              <w:t xml:space="preserve">Best </w:t>
            </w:r>
            <w:r>
              <w:t>E</w:t>
            </w:r>
            <w:r w:rsidRPr="00826F71">
              <w:t>stimate</w:t>
            </w:r>
          </w:p>
          <w:p w14:paraId="21A2F25B" w14:textId="77777777" w:rsidR="0029444F" w:rsidRPr="007E190E" w:rsidRDefault="0029444F" w:rsidP="0029444F">
            <w:pPr>
              <w:pStyle w:val="IATableNotes"/>
              <w:spacing w:beforeLines="40" w:before="96"/>
              <w:ind w:left="0" w:right="-22"/>
              <w:jc w:val="center"/>
              <w:rPr>
                <w:rFonts w:cs="Arial"/>
                <w:b/>
                <w:sz w:val="20"/>
              </w:rPr>
            </w:pPr>
          </w:p>
        </w:tc>
        <w:tc>
          <w:tcPr>
            <w:tcW w:w="1938" w:type="dxa"/>
            <w:tcBorders>
              <w:top w:val="single" w:sz="12" w:space="0" w:color="auto"/>
              <w:left w:val="single" w:sz="12" w:space="0" w:color="auto"/>
              <w:bottom w:val="single" w:sz="12" w:space="0" w:color="auto"/>
              <w:right w:val="single" w:sz="12" w:space="0" w:color="auto"/>
            </w:tcBorders>
            <w:shd w:val="clear" w:color="auto" w:fill="FFFFFF"/>
          </w:tcPr>
          <w:p w14:paraId="03385691" w14:textId="573070B1" w:rsidR="0029444F" w:rsidRPr="007E190E" w:rsidRDefault="0029444F" w:rsidP="0029444F">
            <w:pPr>
              <w:pStyle w:val="POTTBenBest"/>
              <w:rPr>
                <w:sz w:val="20"/>
              </w:rPr>
            </w:pPr>
            <w:r w:rsidRPr="006456B4">
              <w:rPr>
                <w:rStyle w:val="PONBLowCharChar"/>
                <w:sz w:val="20"/>
                <w:szCs w:val="22"/>
              </w:rPr>
              <w:t>N/A</w:t>
            </w:r>
          </w:p>
        </w:tc>
        <w:tc>
          <w:tcPr>
            <w:tcW w:w="786" w:type="dxa"/>
            <w:vMerge/>
            <w:tcBorders>
              <w:left w:val="single" w:sz="12" w:space="0" w:color="auto"/>
              <w:bottom w:val="single" w:sz="12" w:space="0" w:color="auto"/>
              <w:right w:val="single" w:sz="12" w:space="0" w:color="auto"/>
            </w:tcBorders>
            <w:shd w:val="clear" w:color="auto" w:fill="FFFFFF"/>
            <w:vAlign w:val="center"/>
          </w:tcPr>
          <w:p w14:paraId="235DB36C" w14:textId="77777777" w:rsidR="0029444F" w:rsidRPr="007E190E" w:rsidRDefault="0029444F" w:rsidP="0029444F">
            <w:pPr>
              <w:pStyle w:val="IATableText"/>
              <w:jc w:val="right"/>
              <w:rPr>
                <w:sz w:val="20"/>
              </w:rPr>
            </w:pPr>
          </w:p>
        </w:tc>
        <w:tc>
          <w:tcPr>
            <w:tcW w:w="2848" w:type="dxa"/>
            <w:tcBorders>
              <w:top w:val="single" w:sz="12" w:space="0" w:color="auto"/>
              <w:left w:val="single" w:sz="12" w:space="0" w:color="auto"/>
              <w:bottom w:val="single" w:sz="12" w:space="0" w:color="auto"/>
              <w:right w:val="single" w:sz="12" w:space="0" w:color="auto"/>
            </w:tcBorders>
            <w:shd w:val="clear" w:color="auto" w:fill="FFFFFF"/>
          </w:tcPr>
          <w:p w14:paraId="5CB8F94C" w14:textId="006543F9" w:rsidR="0029444F" w:rsidRPr="007E190E" w:rsidRDefault="0029444F" w:rsidP="0029444F">
            <w:pPr>
              <w:pStyle w:val="POAABenBest"/>
              <w:rPr>
                <w:sz w:val="20"/>
              </w:rPr>
            </w:pPr>
            <w:r w:rsidRPr="003D462A">
              <w:rPr>
                <w:rStyle w:val="PONBLowCharChar"/>
                <w:sz w:val="20"/>
                <w:szCs w:val="22"/>
              </w:rPr>
              <w:t>N/A</w:t>
            </w:r>
          </w:p>
        </w:tc>
        <w:tc>
          <w:tcPr>
            <w:tcW w:w="2620" w:type="dxa"/>
            <w:gridSpan w:val="2"/>
            <w:tcBorders>
              <w:top w:val="single" w:sz="12" w:space="0" w:color="auto"/>
              <w:left w:val="single" w:sz="12" w:space="0" w:color="auto"/>
              <w:bottom w:val="single" w:sz="12" w:space="0" w:color="auto"/>
            </w:tcBorders>
            <w:shd w:val="clear" w:color="auto" w:fill="FFFFFF"/>
          </w:tcPr>
          <w:p w14:paraId="3F40B8E5" w14:textId="5024B54C" w:rsidR="0029444F" w:rsidRPr="007E190E" w:rsidRDefault="0029444F" w:rsidP="0029444F">
            <w:pPr>
              <w:pStyle w:val="POTBBenBest"/>
              <w:rPr>
                <w:sz w:val="20"/>
              </w:rPr>
            </w:pPr>
            <w:r w:rsidRPr="008A00C3">
              <w:rPr>
                <w:rStyle w:val="PONBLowCharChar"/>
                <w:sz w:val="20"/>
                <w:szCs w:val="22"/>
              </w:rPr>
              <w:t>N/A</w:t>
            </w:r>
          </w:p>
        </w:tc>
      </w:tr>
      <w:tr w:rsidR="0029444F" w:rsidRPr="00826F71" w14:paraId="55DA9D51" w14:textId="77777777" w:rsidTr="0029444F">
        <w:trPr>
          <w:trHeight w:hRule="exact" w:val="1701"/>
        </w:trPr>
        <w:tc>
          <w:tcPr>
            <w:tcW w:w="10301" w:type="dxa"/>
            <w:gridSpan w:val="6"/>
            <w:tcBorders>
              <w:bottom w:val="single" w:sz="12" w:space="0" w:color="auto"/>
            </w:tcBorders>
          </w:tcPr>
          <w:p w14:paraId="31D422C4" w14:textId="77777777" w:rsidR="0029444F" w:rsidRPr="007E190E" w:rsidRDefault="0029444F" w:rsidP="00BE0377">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32468149" w14:textId="08BA3033" w:rsidR="0029444F" w:rsidRPr="00826F71" w:rsidRDefault="00C5319B" w:rsidP="00BE0377">
            <w:pPr>
              <w:pStyle w:val="IAPOA3"/>
            </w:pPr>
            <w:r>
              <w:t xml:space="preserve">This is the </w:t>
            </w:r>
            <w:r w:rsidR="00382DC5">
              <w:t xml:space="preserve">business as usual </w:t>
            </w:r>
            <w:r>
              <w:t>baseline against which the other options are compared. As such, there are no additional costs and benefits of Option 0.</w:t>
            </w:r>
          </w:p>
        </w:tc>
      </w:tr>
      <w:tr w:rsidR="0029444F" w:rsidRPr="00826F71" w14:paraId="5D14653A" w14:textId="77777777" w:rsidTr="0029444F">
        <w:trPr>
          <w:trHeight w:hRule="exact" w:val="1701"/>
        </w:trPr>
        <w:tc>
          <w:tcPr>
            <w:tcW w:w="10301" w:type="dxa"/>
            <w:gridSpan w:val="6"/>
            <w:tcBorders>
              <w:top w:val="single" w:sz="12" w:space="0" w:color="auto"/>
            </w:tcBorders>
          </w:tcPr>
          <w:p w14:paraId="3ED2176C" w14:textId="77777777" w:rsidR="0029444F" w:rsidRPr="007E190E" w:rsidRDefault="0029444F" w:rsidP="00BE0377">
            <w:pPr>
              <w:pStyle w:val="IAPOQ4"/>
              <w:rPr>
                <w:szCs w:val="22"/>
              </w:rPr>
            </w:pPr>
            <w:r w:rsidRPr="00544292">
              <w:t>Other</w:t>
            </w:r>
            <w:r w:rsidRPr="00826F71">
              <w:t xml:space="preserve"> key non-monetised </w:t>
            </w:r>
            <w:r>
              <w:t>benefits</w:t>
            </w:r>
            <w:r w:rsidRPr="00544292">
              <w:t xml:space="preserve"> by ‘main affected groups’ </w:t>
            </w:r>
          </w:p>
          <w:p w14:paraId="1CD972C3" w14:textId="69D7C24E" w:rsidR="0029444F" w:rsidRPr="00826F71" w:rsidRDefault="00C5319B" w:rsidP="00BE0377">
            <w:pPr>
              <w:pStyle w:val="IAPOA4"/>
            </w:pPr>
            <w:r>
              <w:t xml:space="preserve">This is the </w:t>
            </w:r>
            <w:r w:rsidR="00382DC5">
              <w:t>business as usual</w:t>
            </w:r>
            <w:r>
              <w:t xml:space="preserve"> baseline against which the other options are compared. As such, there are no additional costs and benefits of Option 0.</w:t>
            </w:r>
          </w:p>
        </w:tc>
      </w:tr>
      <w:tr w:rsidR="0029444F" w:rsidRPr="00826F71" w14:paraId="7E50C841" w14:textId="77777777" w:rsidTr="0029444F">
        <w:trPr>
          <w:trHeight w:hRule="exact" w:val="346"/>
        </w:trPr>
        <w:tc>
          <w:tcPr>
            <w:tcW w:w="9446" w:type="dxa"/>
            <w:gridSpan w:val="5"/>
            <w:tcBorders>
              <w:top w:val="single" w:sz="12" w:space="0" w:color="auto"/>
              <w:bottom w:val="single" w:sz="12" w:space="0" w:color="auto"/>
              <w:right w:val="single" w:sz="12" w:space="0" w:color="auto"/>
            </w:tcBorders>
          </w:tcPr>
          <w:p w14:paraId="727C395C" w14:textId="77777777" w:rsidR="0029444F" w:rsidRDefault="0029444F" w:rsidP="00BE0377">
            <w:pPr>
              <w:pStyle w:val="IATableLabel"/>
              <w:tabs>
                <w:tab w:val="left" w:pos="7655"/>
              </w:tabs>
            </w:pPr>
            <w:r w:rsidRPr="00F1653E">
              <w:rPr>
                <w:rStyle w:val="IAPOQ5Char"/>
                <w:b/>
              </w:rPr>
              <w:t>Key assumptions/sensitivities/risks</w:t>
            </w:r>
            <w:r>
              <w:tab/>
              <w:t>Discount rate (%)</w:t>
            </w:r>
          </w:p>
          <w:p w14:paraId="22B16FB7" w14:textId="77777777" w:rsidR="0029444F" w:rsidRPr="00455895" w:rsidRDefault="0029444F" w:rsidP="00BE0377">
            <w:pPr>
              <w:pStyle w:val="IATableLabel"/>
            </w:pPr>
          </w:p>
        </w:tc>
        <w:tc>
          <w:tcPr>
            <w:tcW w:w="855" w:type="dxa"/>
            <w:tcBorders>
              <w:top w:val="single" w:sz="12" w:space="0" w:color="auto"/>
              <w:left w:val="single" w:sz="12" w:space="0" w:color="auto"/>
              <w:bottom w:val="single" w:sz="12" w:space="0" w:color="auto"/>
            </w:tcBorders>
          </w:tcPr>
          <w:p w14:paraId="0C178B89" w14:textId="77777777" w:rsidR="0029444F" w:rsidRPr="007E6CF8" w:rsidRDefault="0029444F" w:rsidP="00BE0377">
            <w:pPr>
              <w:pStyle w:val="IAPODisRate"/>
            </w:pPr>
            <w:r>
              <w:t>3.5%</w:t>
            </w:r>
          </w:p>
        </w:tc>
      </w:tr>
      <w:tr w:rsidR="0029444F" w:rsidRPr="007E190E" w14:paraId="5A27A4F7" w14:textId="77777777" w:rsidTr="0029444F">
        <w:trPr>
          <w:trHeight w:hRule="exact" w:val="1375"/>
        </w:trPr>
        <w:tc>
          <w:tcPr>
            <w:tcW w:w="10301" w:type="dxa"/>
            <w:gridSpan w:val="6"/>
            <w:tcBorders>
              <w:top w:val="nil"/>
              <w:bottom w:val="single" w:sz="12" w:space="0" w:color="auto"/>
            </w:tcBorders>
          </w:tcPr>
          <w:p w14:paraId="7C1F5C5F" w14:textId="5525713E" w:rsidR="0029444F" w:rsidRPr="00544292" w:rsidRDefault="0029444F" w:rsidP="00BE0377">
            <w:pPr>
              <w:pStyle w:val="IAPOA5"/>
            </w:pPr>
          </w:p>
        </w:tc>
      </w:tr>
    </w:tbl>
    <w:p w14:paraId="3DF08CB2" w14:textId="77777777" w:rsidR="0029444F" w:rsidRDefault="0029444F" w:rsidP="0029444F">
      <w:pPr>
        <w:pStyle w:val="IASpacer"/>
      </w:pPr>
    </w:p>
    <w:p w14:paraId="505250E5" w14:textId="77777777" w:rsidR="0029444F" w:rsidRDefault="0029444F" w:rsidP="0029444F">
      <w:pPr>
        <w:pStyle w:val="IAHeadLabel"/>
        <w:spacing w:before="50"/>
      </w:pPr>
    </w:p>
    <w:p w14:paraId="00F63EEE" w14:textId="0BE1EF16" w:rsidR="0029444F" w:rsidRDefault="0029444F" w:rsidP="0029444F">
      <w:pPr>
        <w:pStyle w:val="IAHeadLabel"/>
        <w:spacing w:before="50"/>
      </w:pPr>
      <w:r>
        <w:t xml:space="preserve">BUSINESS ASSESSMENT (Option </w:t>
      </w:r>
      <w:r w:rsidR="00F53A36">
        <w:rPr>
          <w:noProof/>
        </w:rPr>
        <w:t>0</w:t>
      </w:r>
      <w:r>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F53A36" w:rsidRPr="000E02BE" w14:paraId="6C32F8CC" w14:textId="77777777" w:rsidTr="00F53A36">
        <w:trPr>
          <w:trHeight w:hRule="exact" w:val="384"/>
        </w:trPr>
        <w:tc>
          <w:tcPr>
            <w:tcW w:w="5507" w:type="dxa"/>
            <w:gridSpan w:val="3"/>
            <w:tcBorders>
              <w:top w:val="single" w:sz="12" w:space="0" w:color="auto"/>
              <w:left w:val="single" w:sz="12" w:space="0" w:color="auto"/>
              <w:bottom w:val="nil"/>
              <w:right w:val="single" w:sz="12" w:space="0" w:color="auto"/>
            </w:tcBorders>
          </w:tcPr>
          <w:p w14:paraId="01D8ECDB" w14:textId="77777777" w:rsidR="00F53A36" w:rsidRPr="000E02BE" w:rsidRDefault="00F53A36" w:rsidP="00BE0377">
            <w:pPr>
              <w:pStyle w:val="IATableLabel"/>
            </w:pPr>
            <w:r w:rsidRPr="000E02BE">
              <w:t xml:space="preserve">Direct impact on </w:t>
            </w:r>
            <w:r>
              <w:t>business (Equivalent Annual) £m</w:t>
            </w:r>
            <w:r w:rsidRPr="000E02BE">
              <w:t xml:space="preserve">: </w:t>
            </w:r>
          </w:p>
        </w:tc>
        <w:tc>
          <w:tcPr>
            <w:tcW w:w="4804" w:type="dxa"/>
            <w:vMerge w:val="restart"/>
            <w:tcBorders>
              <w:top w:val="single" w:sz="12" w:space="0" w:color="auto"/>
              <w:left w:val="single" w:sz="12" w:space="0" w:color="auto"/>
              <w:right w:val="single" w:sz="12" w:space="0" w:color="auto"/>
            </w:tcBorders>
          </w:tcPr>
          <w:p w14:paraId="2FB5CCE0" w14:textId="77777777" w:rsidR="00F53A36" w:rsidRPr="000E02BE" w:rsidRDefault="00F53A36" w:rsidP="00BE0377">
            <w:pPr>
              <w:pStyle w:val="IATableLabel"/>
            </w:pPr>
            <w:r>
              <w:t xml:space="preserve">Score for Business Impact Target (qualifying provisions only) £m: </w:t>
            </w:r>
            <w:r w:rsidRPr="00601A78">
              <w:rPr>
                <w:b w:val="0"/>
                <w:bCs/>
              </w:rPr>
              <w:t>Nil (de minimis)</w:t>
            </w:r>
          </w:p>
          <w:p w14:paraId="7A035078" w14:textId="6C816B1D" w:rsidR="00F53A36" w:rsidRPr="000E02BE" w:rsidRDefault="00F53A36" w:rsidP="00BE0377">
            <w:pPr>
              <w:pStyle w:val="IAPODIMQ"/>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3A36" w:rsidRPr="00E75380" w14:paraId="2D4E26F3" w14:textId="77777777" w:rsidTr="00F53A36">
        <w:trPr>
          <w:trHeight w:val="650"/>
        </w:trPr>
        <w:tc>
          <w:tcPr>
            <w:tcW w:w="1977" w:type="dxa"/>
            <w:tcBorders>
              <w:top w:val="single" w:sz="12" w:space="0" w:color="auto"/>
              <w:left w:val="single" w:sz="12" w:space="0" w:color="auto"/>
              <w:bottom w:val="single" w:sz="12" w:space="0" w:color="auto"/>
              <w:right w:val="single" w:sz="12" w:space="0" w:color="auto"/>
            </w:tcBorders>
            <w:shd w:val="clear" w:color="auto" w:fill="FFFFFF"/>
          </w:tcPr>
          <w:p w14:paraId="7A7F9CAC" w14:textId="73CE36B9" w:rsidR="00F53A36" w:rsidRPr="00F63895" w:rsidRDefault="00F53A36" w:rsidP="00BE0377">
            <w:pPr>
              <w:pStyle w:val="IATableLabel"/>
            </w:pPr>
            <w:r w:rsidRPr="00F63895">
              <w:t xml:space="preserve">Costs: </w:t>
            </w:r>
            <w:r>
              <w:rPr>
                <w:b w:val="0"/>
                <w:bCs/>
              </w:rPr>
              <w:t>N/A</w:t>
            </w:r>
          </w:p>
        </w:tc>
        <w:tc>
          <w:tcPr>
            <w:tcW w:w="1836" w:type="dxa"/>
            <w:tcBorders>
              <w:top w:val="single" w:sz="12" w:space="0" w:color="auto"/>
              <w:left w:val="single" w:sz="12" w:space="0" w:color="auto"/>
              <w:bottom w:val="single" w:sz="12" w:space="0" w:color="auto"/>
              <w:right w:val="single" w:sz="12" w:space="0" w:color="auto"/>
            </w:tcBorders>
            <w:shd w:val="clear" w:color="auto" w:fill="FFFFFF"/>
          </w:tcPr>
          <w:p w14:paraId="0CAA685A" w14:textId="5A567628" w:rsidR="00F53A36" w:rsidRPr="00F63895" w:rsidRDefault="00F53A36" w:rsidP="00BE0377">
            <w:pPr>
              <w:pStyle w:val="IATableLabel"/>
            </w:pPr>
            <w:r w:rsidRPr="00F63895">
              <w:t xml:space="preserve">Benefits: </w:t>
            </w:r>
            <w:r>
              <w:rPr>
                <w:rStyle w:val="IAPODIBenChar"/>
                <w:sz w:val="20"/>
              </w:rPr>
              <w:t>N/A</w:t>
            </w:r>
          </w:p>
        </w:tc>
        <w:tc>
          <w:tcPr>
            <w:tcW w:w="1694" w:type="dxa"/>
            <w:tcBorders>
              <w:top w:val="single" w:sz="12" w:space="0" w:color="auto"/>
              <w:left w:val="single" w:sz="12" w:space="0" w:color="auto"/>
              <w:bottom w:val="single" w:sz="12" w:space="0" w:color="auto"/>
              <w:right w:val="single" w:sz="12" w:space="0" w:color="auto"/>
            </w:tcBorders>
            <w:shd w:val="clear" w:color="auto" w:fill="FFFFFF"/>
          </w:tcPr>
          <w:p w14:paraId="0071ED89" w14:textId="71760787" w:rsidR="00F53A36" w:rsidRPr="00F63895" w:rsidRDefault="00F53A36" w:rsidP="00BE0377">
            <w:pPr>
              <w:pStyle w:val="IATableLabel"/>
            </w:pPr>
            <w:r w:rsidRPr="00F63895">
              <w:t xml:space="preserve">Net: </w:t>
            </w:r>
            <w:r>
              <w:rPr>
                <w:rStyle w:val="IAPODINetChar"/>
                <w:sz w:val="20"/>
              </w:rPr>
              <w:t>N/A</w:t>
            </w:r>
          </w:p>
        </w:tc>
        <w:tc>
          <w:tcPr>
            <w:tcW w:w="4804" w:type="dxa"/>
            <w:vMerge/>
            <w:tcBorders>
              <w:left w:val="single" w:sz="12" w:space="0" w:color="auto"/>
              <w:bottom w:val="single" w:sz="12" w:space="0" w:color="auto"/>
              <w:right w:val="single" w:sz="12" w:space="0" w:color="auto"/>
            </w:tcBorders>
            <w:shd w:val="clear" w:color="auto" w:fill="FFFFFF"/>
          </w:tcPr>
          <w:p w14:paraId="2DB25406" w14:textId="77777777" w:rsidR="00F53A36" w:rsidRPr="00F63895" w:rsidRDefault="00F53A36" w:rsidP="00BE0377">
            <w:pPr>
              <w:pStyle w:val="IAPODIMQ"/>
            </w:pPr>
          </w:p>
        </w:tc>
      </w:tr>
    </w:tbl>
    <w:p w14:paraId="334C7557" w14:textId="77777777" w:rsidR="001844B6" w:rsidRDefault="001844B6" w:rsidP="005A3880">
      <w:pPr>
        <w:pStyle w:val="Heading1"/>
        <w:spacing w:before="0"/>
      </w:pPr>
      <w:r>
        <w:lastRenderedPageBreak/>
        <w:t>Summary: Analysis &amp; Evidence</w:t>
      </w:r>
      <w:r>
        <w:tab/>
      </w:r>
      <w:r w:rsidRPr="00E3545D">
        <w:rPr>
          <w:rFonts w:ascii="Arial" w:hAnsi="Arial"/>
          <w:b w:val="0"/>
          <w:bCs w:val="0"/>
        </w:rPr>
        <w:t xml:space="preserve">Policy Option </w:t>
      </w:r>
      <w:r>
        <w:rPr>
          <w:rFonts w:ascii="Arial" w:hAnsi="Arial"/>
          <w:b w:val="0"/>
          <w:bCs w:val="0"/>
        </w:rPr>
        <w:fldChar w:fldCharType="begin"/>
      </w:r>
      <w:r>
        <w:rPr>
          <w:rFonts w:ascii="Arial" w:hAnsi="Arial"/>
          <w:b w:val="0"/>
          <w:bCs w:val="0"/>
        </w:rPr>
        <w:instrText xml:space="preserve"> SEQ Policy </w:instrText>
      </w:r>
      <w:r>
        <w:rPr>
          <w:rFonts w:ascii="Arial" w:hAnsi="Arial"/>
          <w:b w:val="0"/>
          <w:bCs w:val="0"/>
        </w:rPr>
        <w:fldChar w:fldCharType="separate"/>
      </w:r>
      <w:r w:rsidR="00044FE7">
        <w:rPr>
          <w:rFonts w:ascii="Arial" w:hAnsi="Arial"/>
          <w:b w:val="0"/>
          <w:bCs w:val="0"/>
          <w:noProof/>
        </w:rPr>
        <w:t>1</w:t>
      </w:r>
      <w:r>
        <w:rPr>
          <w:rFonts w:ascii="Arial" w:hAnsi="Arial"/>
          <w:b w:val="0"/>
          <w:bCs w:val="0"/>
        </w:rPr>
        <w:fldChar w:fldCharType="end"/>
      </w:r>
    </w:p>
    <w:p w14:paraId="173E4E1E" w14:textId="77777777" w:rsidR="001844B6" w:rsidRDefault="001844B6" w:rsidP="005A3880">
      <w:pPr>
        <w:pStyle w:val="IAHeadLabel"/>
        <w:spacing w:before="50"/>
      </w:pPr>
      <w:r w:rsidRPr="00892576">
        <w:t xml:space="preserve">Description: </w:t>
      </w:r>
      <w:r w:rsidRPr="006B70AF">
        <w:t xml:space="preserve"> </w:t>
      </w:r>
      <w:bookmarkStart w:id="29" w:name="Text70"/>
      <w:r w:rsidR="0071468E">
        <w:rPr>
          <w:rStyle w:val="IAPODescriptionCharChar"/>
        </w:rPr>
        <w:fldChar w:fldCharType="begin">
          <w:ffData>
            <w:name w:val="Text70"/>
            <w:enabled/>
            <w:calcOnExit w:val="0"/>
            <w:textInput>
              <w:maxLength w:val="230"/>
            </w:textInput>
          </w:ffData>
        </w:fldChar>
      </w:r>
      <w:r w:rsidR="0071468E">
        <w:rPr>
          <w:rStyle w:val="IAPODescriptionCharChar"/>
        </w:rPr>
        <w:instrText xml:space="preserve"> FORMTEXT </w:instrText>
      </w:r>
      <w:r w:rsidR="0071468E">
        <w:rPr>
          <w:rStyle w:val="IAPODescriptionCharChar"/>
        </w:rPr>
      </w:r>
      <w:r w:rsidR="0071468E">
        <w:rPr>
          <w:rStyle w:val="IAPODescriptionCharChar"/>
        </w:rPr>
        <w:fldChar w:fldCharType="separate"/>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noProof/>
        </w:rPr>
        <w:t> </w:t>
      </w:r>
      <w:r w:rsidR="0071468E">
        <w:rPr>
          <w:rStyle w:val="IAPODescriptionCharChar"/>
        </w:rPr>
        <w:fldChar w:fldCharType="end"/>
      </w:r>
      <w:bookmarkEnd w:id="29"/>
    </w:p>
    <w:p w14:paraId="4C47A1A0" w14:textId="77777777" w:rsidR="001844B6" w:rsidRDefault="001844B6" w:rsidP="005A3880">
      <w:pPr>
        <w:pStyle w:val="IAHeadLabel"/>
        <w:spacing w:before="50"/>
      </w:pPr>
      <w:r>
        <w:t>FULL ECONOMIC ASSESSMENT</w:t>
      </w:r>
    </w:p>
    <w:tbl>
      <w:tblPr>
        <w:tblW w:w="506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95"/>
        <w:gridCol w:w="1254"/>
        <w:gridCol w:w="1433"/>
        <w:gridCol w:w="1791"/>
        <w:gridCol w:w="1818"/>
        <w:gridCol w:w="2620"/>
      </w:tblGrid>
      <w:tr w:rsidR="001844B6" w:rsidRPr="007E190E" w14:paraId="40269D48" w14:textId="77777777" w:rsidTr="47B6537F">
        <w:trPr>
          <w:trHeight w:hRule="exact" w:val="312"/>
        </w:trPr>
        <w:tc>
          <w:tcPr>
            <w:tcW w:w="1402" w:type="dxa"/>
            <w:vMerge w:val="restart"/>
            <w:tcBorders>
              <w:top w:val="single" w:sz="12" w:space="0" w:color="auto"/>
              <w:left w:val="single" w:sz="12" w:space="0" w:color="auto"/>
              <w:right w:val="single" w:sz="12" w:space="0" w:color="auto"/>
            </w:tcBorders>
          </w:tcPr>
          <w:p w14:paraId="731050F6" w14:textId="026370A4" w:rsidR="001844B6" w:rsidRPr="00826F71" w:rsidRDefault="001844B6" w:rsidP="005A3880">
            <w:pPr>
              <w:pStyle w:val="POPBY"/>
            </w:pPr>
            <w:r w:rsidRPr="00826F71">
              <w:t>Price Base Year</w:t>
            </w:r>
            <w:r>
              <w:t xml:space="preserve">  </w:t>
            </w:r>
            <w:r w:rsidR="006B71AA">
              <w:rPr>
                <w:b w:val="0"/>
              </w:rPr>
              <w:t>2022</w:t>
            </w:r>
          </w:p>
        </w:tc>
        <w:tc>
          <w:tcPr>
            <w:tcW w:w="1260" w:type="dxa"/>
            <w:vMerge w:val="restart"/>
            <w:tcBorders>
              <w:top w:val="single" w:sz="12" w:space="0" w:color="auto"/>
              <w:left w:val="single" w:sz="12" w:space="0" w:color="auto"/>
              <w:right w:val="single" w:sz="12" w:space="0" w:color="auto"/>
            </w:tcBorders>
          </w:tcPr>
          <w:p w14:paraId="53FEE567" w14:textId="280B4A50" w:rsidR="001844B6" w:rsidRPr="00826F71" w:rsidRDefault="001844B6" w:rsidP="005A3880">
            <w:pPr>
              <w:pStyle w:val="POPVBY"/>
              <w:rPr>
                <w:b w:val="0"/>
              </w:rPr>
            </w:pPr>
            <w:r>
              <w:t xml:space="preserve">PV Base Year  </w:t>
            </w:r>
            <w:r w:rsidR="6BCCA1AA">
              <w:rPr>
                <w:b w:val="0"/>
              </w:rPr>
              <w:t>2023</w:t>
            </w:r>
          </w:p>
        </w:tc>
        <w:tc>
          <w:tcPr>
            <w:tcW w:w="1440" w:type="dxa"/>
            <w:vMerge w:val="restart"/>
            <w:tcBorders>
              <w:top w:val="single" w:sz="12" w:space="0" w:color="auto"/>
              <w:left w:val="single" w:sz="12" w:space="0" w:color="auto"/>
              <w:right w:val="single" w:sz="12" w:space="0" w:color="auto"/>
            </w:tcBorders>
          </w:tcPr>
          <w:p w14:paraId="74B379F4" w14:textId="1A27991C" w:rsidR="001844B6" w:rsidRPr="00826F71" w:rsidRDefault="001844B6" w:rsidP="005A3880">
            <w:pPr>
              <w:pStyle w:val="POTPY"/>
            </w:pPr>
            <w:r w:rsidRPr="00826F71">
              <w:t>Time Period Years</w:t>
            </w:r>
            <w:r>
              <w:t xml:space="preserve">  </w:t>
            </w:r>
            <w:r w:rsidR="006B71AA">
              <w:rPr>
                <w:b w:val="0"/>
              </w:rPr>
              <w:t>10</w:t>
            </w:r>
          </w:p>
        </w:tc>
        <w:tc>
          <w:tcPr>
            <w:tcW w:w="6260" w:type="dxa"/>
            <w:gridSpan w:val="3"/>
            <w:tcBorders>
              <w:top w:val="single" w:sz="12" w:space="0" w:color="auto"/>
              <w:left w:val="single" w:sz="12" w:space="0" w:color="auto"/>
              <w:right w:val="single" w:sz="12" w:space="0" w:color="auto"/>
            </w:tcBorders>
            <w:shd w:val="clear" w:color="auto" w:fill="FFFFFF" w:themeFill="background1"/>
          </w:tcPr>
          <w:p w14:paraId="245A882B" w14:textId="77777777" w:rsidR="001844B6" w:rsidRPr="00826F71" w:rsidRDefault="001844B6" w:rsidP="007E190E">
            <w:pPr>
              <w:pStyle w:val="IATableLabel"/>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1844B6" w:rsidRPr="007E190E" w14:paraId="53A4C8BD" w14:textId="77777777" w:rsidTr="47B6537F">
        <w:trPr>
          <w:trHeight w:hRule="exact" w:val="340"/>
        </w:trPr>
        <w:tc>
          <w:tcPr>
            <w:tcW w:w="1402" w:type="dxa"/>
            <w:vMerge/>
          </w:tcPr>
          <w:p w14:paraId="246CADD2" w14:textId="77777777" w:rsidR="001844B6" w:rsidRPr="007E190E" w:rsidRDefault="001844B6" w:rsidP="007E190E">
            <w:pPr>
              <w:pStyle w:val="IATableNotes"/>
              <w:ind w:left="0"/>
              <w:rPr>
                <w:b/>
                <w:sz w:val="20"/>
              </w:rPr>
            </w:pPr>
          </w:p>
        </w:tc>
        <w:tc>
          <w:tcPr>
            <w:tcW w:w="1260" w:type="dxa"/>
            <w:vMerge/>
          </w:tcPr>
          <w:p w14:paraId="785522E2" w14:textId="77777777" w:rsidR="001844B6" w:rsidRPr="007E190E" w:rsidRDefault="001844B6" w:rsidP="007E190E">
            <w:pPr>
              <w:pStyle w:val="IATableNotes"/>
              <w:ind w:left="0"/>
              <w:rPr>
                <w:b/>
                <w:sz w:val="20"/>
              </w:rPr>
            </w:pPr>
          </w:p>
        </w:tc>
        <w:tc>
          <w:tcPr>
            <w:tcW w:w="1440" w:type="dxa"/>
            <w:vMerge/>
          </w:tcPr>
          <w:p w14:paraId="752830E2" w14:textId="77777777" w:rsidR="001844B6" w:rsidRPr="007E190E" w:rsidRDefault="001844B6" w:rsidP="007E190E">
            <w:pPr>
              <w:pStyle w:val="IATableNotes"/>
              <w:ind w:left="0"/>
              <w:rPr>
                <w:b/>
                <w:sz w:val="20"/>
              </w:rPr>
            </w:pPr>
          </w:p>
        </w:tc>
        <w:tc>
          <w:tcPr>
            <w:tcW w:w="1800" w:type="dxa"/>
            <w:tcBorders>
              <w:top w:val="single" w:sz="12" w:space="0" w:color="auto"/>
              <w:left w:val="single" w:sz="12" w:space="0" w:color="auto"/>
              <w:bottom w:val="single" w:sz="12" w:space="0" w:color="auto"/>
              <w:right w:val="single" w:sz="12" w:space="0" w:color="auto"/>
            </w:tcBorders>
          </w:tcPr>
          <w:p w14:paraId="21E846D0" w14:textId="29E7A0E8" w:rsidR="001844B6" w:rsidRPr="007E190E" w:rsidRDefault="001844B6" w:rsidP="005A3880">
            <w:pPr>
              <w:pStyle w:val="IATableLabel"/>
              <w:rPr>
                <w:bCs/>
              </w:rPr>
            </w:pPr>
            <w:r w:rsidRPr="00304C1D">
              <w:t>Low:</w:t>
            </w:r>
            <w:r w:rsidRPr="00826F71">
              <w:t xml:space="preserve"> </w:t>
            </w:r>
            <w:r w:rsidR="006B71AA">
              <w:rPr>
                <w:rStyle w:val="PONBLowCharChar"/>
                <w:sz w:val="20"/>
                <w:szCs w:val="22"/>
              </w:rPr>
              <w:t>-£5.6m</w:t>
            </w:r>
          </w:p>
        </w:tc>
        <w:tc>
          <w:tcPr>
            <w:tcW w:w="1827" w:type="dxa"/>
            <w:tcBorders>
              <w:top w:val="single" w:sz="12" w:space="0" w:color="auto"/>
              <w:left w:val="single" w:sz="12" w:space="0" w:color="auto"/>
              <w:bottom w:val="single" w:sz="12" w:space="0" w:color="auto"/>
              <w:right w:val="single" w:sz="12" w:space="0" w:color="auto"/>
            </w:tcBorders>
          </w:tcPr>
          <w:p w14:paraId="66F16503" w14:textId="5062BBBC" w:rsidR="001844B6" w:rsidRPr="007E190E" w:rsidRDefault="001844B6" w:rsidP="005A3880">
            <w:pPr>
              <w:pStyle w:val="IATableLabel"/>
              <w:rPr>
                <w:rFonts w:cs="Arial"/>
                <w:bCs/>
                <w:szCs w:val="18"/>
              </w:rPr>
            </w:pPr>
            <w:r w:rsidRPr="00304C1D">
              <w:t>High:</w:t>
            </w:r>
            <w:r w:rsidRPr="00826F71">
              <w:t xml:space="preserve"> </w:t>
            </w:r>
            <w:r w:rsidR="0038715E">
              <w:rPr>
                <w:rStyle w:val="PONBHighChar"/>
                <w:sz w:val="20"/>
                <w:szCs w:val="22"/>
              </w:rPr>
              <w:t>-£0.9m</w:t>
            </w:r>
          </w:p>
        </w:tc>
        <w:tc>
          <w:tcPr>
            <w:tcW w:w="26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BD20EB" w14:textId="564A0073" w:rsidR="001844B6" w:rsidRPr="007E190E" w:rsidRDefault="001844B6" w:rsidP="005A3880">
            <w:pPr>
              <w:pStyle w:val="IATableLabel"/>
              <w:rPr>
                <w:szCs w:val="18"/>
              </w:rPr>
            </w:pPr>
            <w:r w:rsidRPr="00304C1D">
              <w:t xml:space="preserve">Best </w:t>
            </w:r>
            <w:r>
              <w:t>E</w:t>
            </w:r>
            <w:r w:rsidRPr="00304C1D">
              <w:t>stimate:</w:t>
            </w:r>
            <w:r w:rsidRPr="00826F71">
              <w:t xml:space="preserve"> </w:t>
            </w:r>
            <w:r w:rsidR="0038715E">
              <w:rPr>
                <w:rStyle w:val="PONBBestEstChar"/>
                <w:sz w:val="20"/>
                <w:szCs w:val="22"/>
              </w:rPr>
              <w:t>-£3.2m</w:t>
            </w:r>
          </w:p>
        </w:tc>
      </w:tr>
    </w:tbl>
    <w:p w14:paraId="73B5CDAE" w14:textId="77777777" w:rsidR="001844B6" w:rsidRDefault="001844B6" w:rsidP="005A3880">
      <w:pPr>
        <w:pStyle w:val="IASpacer"/>
      </w:pPr>
    </w:p>
    <w:tbl>
      <w:tblPr>
        <w:tblW w:w="50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109"/>
        <w:gridCol w:w="1938"/>
        <w:gridCol w:w="786"/>
        <w:gridCol w:w="2848"/>
        <w:gridCol w:w="1765"/>
        <w:gridCol w:w="855"/>
      </w:tblGrid>
      <w:tr w:rsidR="001844B6" w:rsidRPr="007E190E" w14:paraId="61FD520F" w14:textId="77777777" w:rsidTr="47B6537F">
        <w:trPr>
          <w:trHeight w:hRule="exact" w:val="567"/>
        </w:trPr>
        <w:tc>
          <w:tcPr>
            <w:tcW w:w="2122" w:type="dxa"/>
            <w:tcBorders>
              <w:top w:val="single" w:sz="12" w:space="0" w:color="auto"/>
              <w:bottom w:val="single" w:sz="12" w:space="0" w:color="auto"/>
              <w:right w:val="single" w:sz="12" w:space="0" w:color="auto"/>
            </w:tcBorders>
            <w:shd w:val="clear" w:color="auto" w:fill="FFFFFF" w:themeFill="background1"/>
          </w:tcPr>
          <w:p w14:paraId="20A06FF1" w14:textId="77777777" w:rsidR="001844B6" w:rsidRPr="007E190E" w:rsidRDefault="001844B6" w:rsidP="005A3880">
            <w:pPr>
              <w:pStyle w:val="IATableLabel"/>
              <w:rPr>
                <w:sz w:val="24"/>
                <w:szCs w:val="24"/>
              </w:rPr>
            </w:pPr>
            <w:r w:rsidRPr="007E190E">
              <w:rPr>
                <w:sz w:val="24"/>
                <w:szCs w:val="24"/>
              </w:rPr>
              <w:t>COSTS (£m)</w:t>
            </w:r>
          </w:p>
        </w:tc>
        <w:tc>
          <w:tcPr>
            <w:tcW w:w="2739" w:type="dxa"/>
            <w:gridSpan w:val="2"/>
            <w:tcBorders>
              <w:top w:val="single" w:sz="12" w:space="0" w:color="auto"/>
              <w:left w:val="single" w:sz="12" w:space="0" w:color="auto"/>
              <w:right w:val="single" w:sz="12" w:space="0" w:color="auto"/>
            </w:tcBorders>
          </w:tcPr>
          <w:p w14:paraId="45F34166" w14:textId="77777777" w:rsidR="001844B6" w:rsidRPr="00826F71" w:rsidRDefault="001844B6" w:rsidP="007E190E">
            <w:pPr>
              <w:pStyle w:val="IATableLabel"/>
              <w:tabs>
                <w:tab w:val="right" w:pos="1800"/>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2020BF85" w14:textId="77777777" w:rsidR="001844B6" w:rsidRPr="00826F71" w:rsidRDefault="001844B6" w:rsidP="007E190E">
            <w:pPr>
              <w:pStyle w:val="IATableLabel"/>
              <w:jc w:val="right"/>
            </w:pPr>
            <w:r>
              <w:br/>
            </w:r>
          </w:p>
        </w:tc>
        <w:tc>
          <w:tcPr>
            <w:tcW w:w="2865" w:type="dxa"/>
            <w:tcBorders>
              <w:top w:val="single" w:sz="12" w:space="0" w:color="auto"/>
              <w:left w:val="single" w:sz="12" w:space="0" w:color="auto"/>
              <w:bottom w:val="single" w:sz="12" w:space="0" w:color="auto"/>
              <w:right w:val="single" w:sz="12" w:space="0" w:color="auto"/>
            </w:tcBorders>
          </w:tcPr>
          <w:p w14:paraId="23602683"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12" w:space="0" w:color="auto"/>
            </w:tcBorders>
          </w:tcPr>
          <w:p w14:paraId="3AB23739" w14:textId="77777777" w:rsidR="001844B6" w:rsidRPr="00826F71" w:rsidRDefault="001844B6" w:rsidP="007E190E">
            <w:pPr>
              <w:pStyle w:val="IATableLabel"/>
              <w:jc w:val="right"/>
            </w:pPr>
            <w:r w:rsidRPr="00826F71">
              <w:t>Total Cost</w:t>
            </w:r>
            <w:r w:rsidRPr="007E190E">
              <w:rPr>
                <w:b w:val="0"/>
                <w:sz w:val="18"/>
                <w:szCs w:val="18"/>
              </w:rPr>
              <w:t xml:space="preserve"> </w:t>
            </w:r>
            <w:r w:rsidRPr="007E190E">
              <w:rPr>
                <w:b w:val="0"/>
                <w:sz w:val="18"/>
                <w:szCs w:val="18"/>
              </w:rPr>
              <w:br/>
              <w:t>(Present Value)</w:t>
            </w:r>
          </w:p>
        </w:tc>
      </w:tr>
      <w:tr w:rsidR="001844B6" w:rsidRPr="007E190E" w14:paraId="4458011D" w14:textId="77777777" w:rsidTr="47B6537F">
        <w:trPr>
          <w:trHeight w:hRule="exact" w:val="348"/>
        </w:trPr>
        <w:tc>
          <w:tcPr>
            <w:tcW w:w="2122" w:type="dxa"/>
            <w:tcBorders>
              <w:top w:val="single" w:sz="12" w:space="0" w:color="auto"/>
              <w:bottom w:val="single" w:sz="12" w:space="0" w:color="auto"/>
              <w:right w:val="single" w:sz="12" w:space="0" w:color="auto"/>
            </w:tcBorders>
            <w:vAlign w:val="center"/>
          </w:tcPr>
          <w:p w14:paraId="4E41E6CF" w14:textId="77777777" w:rsidR="001844B6" w:rsidRPr="00F63895" w:rsidRDefault="001844B6" w:rsidP="005A3880">
            <w:pPr>
              <w:pStyle w:val="IATableLabel"/>
            </w:pPr>
            <w:r w:rsidRPr="00F63895">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5140797A" w14:textId="780CAC26" w:rsidR="001844B6" w:rsidRPr="007E190E" w:rsidRDefault="0038715E" w:rsidP="005A3880">
            <w:pPr>
              <w:pStyle w:val="POTTCostsLow"/>
              <w:rPr>
                <w:sz w:val="20"/>
              </w:rPr>
            </w:pPr>
            <w:r>
              <w:rPr>
                <w:sz w:val="20"/>
              </w:rPr>
              <w:t>£0.1m</w:t>
            </w:r>
          </w:p>
        </w:tc>
        <w:tc>
          <w:tcPr>
            <w:tcW w:w="790" w:type="dxa"/>
            <w:vMerge w:val="restart"/>
            <w:tcBorders>
              <w:top w:val="single" w:sz="12" w:space="0" w:color="auto"/>
              <w:left w:val="single" w:sz="12" w:space="0" w:color="auto"/>
              <w:right w:val="single" w:sz="12" w:space="0" w:color="auto"/>
            </w:tcBorders>
            <w:vAlign w:val="center"/>
          </w:tcPr>
          <w:p w14:paraId="318114D6" w14:textId="1FA58B63" w:rsidR="001844B6" w:rsidRPr="007E190E" w:rsidRDefault="00C15EE5" w:rsidP="005A3880">
            <w:pPr>
              <w:pStyle w:val="POTTCostsYear"/>
              <w:rPr>
                <w:sz w:val="20"/>
                <w:szCs w:val="20"/>
              </w:rPr>
            </w:pPr>
            <w:r>
              <w:rPr>
                <w:sz w:val="20"/>
                <w:szCs w:val="20"/>
              </w:rPr>
              <w:t>1</w:t>
            </w:r>
          </w:p>
        </w:tc>
        <w:tc>
          <w:tcPr>
            <w:tcW w:w="2865" w:type="dxa"/>
            <w:tcBorders>
              <w:top w:val="single" w:sz="12" w:space="0" w:color="auto"/>
              <w:left w:val="single" w:sz="12" w:space="0" w:color="auto"/>
              <w:bottom w:val="single" w:sz="12" w:space="0" w:color="auto"/>
              <w:right w:val="single" w:sz="12" w:space="0" w:color="auto"/>
            </w:tcBorders>
            <w:vAlign w:val="center"/>
          </w:tcPr>
          <w:p w14:paraId="40093593" w14:textId="0AA4C34E" w:rsidR="001844B6" w:rsidRPr="007E190E" w:rsidRDefault="00C15EE5" w:rsidP="005A3880">
            <w:pPr>
              <w:pStyle w:val="POAACostsLow"/>
              <w:rPr>
                <w:sz w:val="20"/>
              </w:rPr>
            </w:pPr>
            <w:r>
              <w:rPr>
                <w:sz w:val="20"/>
              </w:rPr>
              <w:t>£0.1m</w:t>
            </w:r>
          </w:p>
        </w:tc>
        <w:tc>
          <w:tcPr>
            <w:tcW w:w="2636" w:type="dxa"/>
            <w:gridSpan w:val="2"/>
            <w:tcBorders>
              <w:top w:val="single" w:sz="12" w:space="0" w:color="auto"/>
              <w:left w:val="single" w:sz="12" w:space="0" w:color="auto"/>
              <w:bottom w:val="single" w:sz="12" w:space="0" w:color="auto"/>
            </w:tcBorders>
            <w:vAlign w:val="center"/>
          </w:tcPr>
          <w:p w14:paraId="3C592E75" w14:textId="54A3443D" w:rsidR="001844B6" w:rsidRPr="007E190E" w:rsidRDefault="00C15EE5" w:rsidP="005A3880">
            <w:pPr>
              <w:pStyle w:val="POTCCostsLow"/>
              <w:rPr>
                <w:sz w:val="20"/>
              </w:rPr>
            </w:pPr>
            <w:r>
              <w:rPr>
                <w:sz w:val="20"/>
              </w:rPr>
              <w:t>£0.9m</w:t>
            </w:r>
          </w:p>
        </w:tc>
      </w:tr>
      <w:tr w:rsidR="001844B6" w:rsidRPr="007E190E" w14:paraId="2A188929" w14:textId="77777777" w:rsidTr="47B6537F">
        <w:trPr>
          <w:trHeight w:hRule="exact" w:val="348"/>
        </w:trPr>
        <w:tc>
          <w:tcPr>
            <w:tcW w:w="2122" w:type="dxa"/>
            <w:tcBorders>
              <w:top w:val="single" w:sz="12" w:space="0" w:color="auto"/>
              <w:bottom w:val="single" w:sz="12" w:space="0" w:color="auto"/>
              <w:right w:val="single" w:sz="12" w:space="0" w:color="auto"/>
            </w:tcBorders>
            <w:vAlign w:val="center"/>
          </w:tcPr>
          <w:p w14:paraId="7F2FA1BA" w14:textId="77777777" w:rsidR="001844B6" w:rsidRPr="00F63895" w:rsidRDefault="001844B6" w:rsidP="005A3880">
            <w:pPr>
              <w:pStyle w:val="IATableLabel"/>
            </w:pPr>
            <w:r w:rsidRPr="00F63895">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615C67DC" w14:textId="19424A00" w:rsidR="001844B6" w:rsidRPr="007E190E" w:rsidRDefault="00C15EE5" w:rsidP="005A3880">
            <w:pPr>
              <w:pStyle w:val="POTTCostsHigh"/>
              <w:rPr>
                <w:sz w:val="20"/>
              </w:rPr>
            </w:pPr>
            <w:r>
              <w:rPr>
                <w:sz w:val="20"/>
              </w:rPr>
              <w:t>£0.4m</w:t>
            </w:r>
          </w:p>
        </w:tc>
        <w:tc>
          <w:tcPr>
            <w:tcW w:w="790" w:type="dxa"/>
            <w:vMerge/>
            <w:vAlign w:val="center"/>
          </w:tcPr>
          <w:p w14:paraId="3109568A"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4E49AA06" w14:textId="7BB280C7" w:rsidR="001844B6" w:rsidRPr="007E190E" w:rsidRDefault="00C15EE5" w:rsidP="005A3880">
            <w:pPr>
              <w:pStyle w:val="POAACostsHigh"/>
              <w:rPr>
                <w:sz w:val="20"/>
              </w:rPr>
            </w:pPr>
            <w:r>
              <w:rPr>
                <w:sz w:val="20"/>
              </w:rPr>
              <w:t>£0.6m</w:t>
            </w:r>
          </w:p>
        </w:tc>
        <w:tc>
          <w:tcPr>
            <w:tcW w:w="2636" w:type="dxa"/>
            <w:gridSpan w:val="2"/>
            <w:tcBorders>
              <w:top w:val="single" w:sz="12" w:space="0" w:color="auto"/>
              <w:left w:val="single" w:sz="12" w:space="0" w:color="auto"/>
              <w:bottom w:val="single" w:sz="12" w:space="0" w:color="auto"/>
            </w:tcBorders>
            <w:vAlign w:val="center"/>
          </w:tcPr>
          <w:p w14:paraId="7B0C835D" w14:textId="2A034190" w:rsidR="001844B6" w:rsidRPr="007E190E" w:rsidRDefault="00C15EE5" w:rsidP="005A3880">
            <w:pPr>
              <w:pStyle w:val="POTCCostsHigh"/>
              <w:rPr>
                <w:sz w:val="20"/>
              </w:rPr>
            </w:pPr>
            <w:r>
              <w:rPr>
                <w:sz w:val="20"/>
              </w:rPr>
              <w:t>£5.6m</w:t>
            </w:r>
          </w:p>
        </w:tc>
      </w:tr>
      <w:tr w:rsidR="001844B6" w:rsidRPr="007E190E" w14:paraId="63E1E9EE" w14:textId="77777777" w:rsidTr="47B6537F">
        <w:trPr>
          <w:trHeight w:hRule="exact" w:val="348"/>
        </w:trPr>
        <w:tc>
          <w:tcPr>
            <w:tcW w:w="2122" w:type="dxa"/>
            <w:tcBorders>
              <w:top w:val="single" w:sz="12" w:space="0" w:color="auto"/>
              <w:bottom w:val="single" w:sz="12" w:space="0" w:color="auto"/>
              <w:right w:val="single" w:sz="12" w:space="0" w:color="auto"/>
            </w:tcBorders>
            <w:shd w:val="clear" w:color="auto" w:fill="FFFFFF" w:themeFill="background1"/>
            <w:vAlign w:val="center"/>
          </w:tcPr>
          <w:p w14:paraId="0A52C5D6" w14:textId="77777777" w:rsidR="001844B6" w:rsidRPr="00F63895" w:rsidRDefault="001844B6" w:rsidP="005A3880">
            <w:pPr>
              <w:pStyle w:val="IATableLabel"/>
            </w:pPr>
            <w:r w:rsidRPr="00F63895">
              <w:t>Best Estimate</w:t>
            </w:r>
          </w:p>
          <w:p w14:paraId="247C5159" w14:textId="77777777"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0499C6C" w14:textId="55EFA2E0" w:rsidR="001844B6" w:rsidRPr="007E190E" w:rsidRDefault="00C15EE5" w:rsidP="005A3880">
            <w:pPr>
              <w:pStyle w:val="POTTCostsBest"/>
              <w:rPr>
                <w:sz w:val="20"/>
              </w:rPr>
            </w:pPr>
            <w:r>
              <w:rPr>
                <w:sz w:val="20"/>
              </w:rPr>
              <w:t>£0.3m</w:t>
            </w:r>
          </w:p>
        </w:tc>
        <w:tc>
          <w:tcPr>
            <w:tcW w:w="790" w:type="dxa"/>
            <w:vMerge/>
            <w:vAlign w:val="center"/>
          </w:tcPr>
          <w:p w14:paraId="3302B3F3"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BE4D85" w14:textId="2FCDAA50" w:rsidR="001844B6" w:rsidRPr="007E190E" w:rsidRDefault="00C15EE5" w:rsidP="005A3880">
            <w:pPr>
              <w:pStyle w:val="POAACostsBest"/>
              <w:rPr>
                <w:sz w:val="20"/>
              </w:rPr>
            </w:pPr>
            <w:r>
              <w:rPr>
                <w:sz w:val="20"/>
              </w:rPr>
              <w:t>£0.3m</w:t>
            </w:r>
          </w:p>
        </w:tc>
        <w:tc>
          <w:tcPr>
            <w:tcW w:w="2636" w:type="dxa"/>
            <w:gridSpan w:val="2"/>
            <w:tcBorders>
              <w:top w:val="single" w:sz="12" w:space="0" w:color="auto"/>
              <w:left w:val="single" w:sz="12" w:space="0" w:color="auto"/>
              <w:bottom w:val="single" w:sz="12" w:space="0" w:color="auto"/>
            </w:tcBorders>
            <w:shd w:val="clear" w:color="auto" w:fill="FFFFFF" w:themeFill="background1"/>
            <w:vAlign w:val="center"/>
          </w:tcPr>
          <w:p w14:paraId="64B08B6E" w14:textId="13E21545" w:rsidR="001844B6" w:rsidRPr="007E190E" w:rsidRDefault="00C15EE5" w:rsidP="005A3880">
            <w:pPr>
              <w:pStyle w:val="POTCCostsBest"/>
              <w:rPr>
                <w:sz w:val="20"/>
              </w:rPr>
            </w:pPr>
            <w:r>
              <w:rPr>
                <w:sz w:val="20"/>
              </w:rPr>
              <w:t>£3.2</w:t>
            </w:r>
            <w:r w:rsidR="001B18D0">
              <w:rPr>
                <w:sz w:val="20"/>
              </w:rPr>
              <w:t>m</w:t>
            </w:r>
          </w:p>
        </w:tc>
      </w:tr>
      <w:tr w:rsidR="001844B6" w:rsidRPr="00826F71" w14:paraId="5ADDE4DC" w14:textId="77777777" w:rsidTr="47B6537F">
        <w:trPr>
          <w:trHeight w:hRule="exact" w:val="2067"/>
        </w:trPr>
        <w:tc>
          <w:tcPr>
            <w:tcW w:w="10362" w:type="dxa"/>
            <w:gridSpan w:val="6"/>
            <w:tcBorders>
              <w:bottom w:val="single" w:sz="12" w:space="0" w:color="auto"/>
            </w:tcBorders>
          </w:tcPr>
          <w:p w14:paraId="6CD829AC" w14:textId="77777777" w:rsidR="001844B6" w:rsidRPr="007E190E" w:rsidRDefault="001844B6" w:rsidP="005A3880">
            <w:pPr>
              <w:pStyle w:val="IAPOQ1"/>
              <w:rPr>
                <w:szCs w:val="22"/>
              </w:rPr>
            </w:pPr>
            <w:r w:rsidRPr="00544292">
              <w:t xml:space="preserve">Description and scale of </w:t>
            </w:r>
            <w:r w:rsidRPr="00826F71">
              <w:t>key monetised costs</w:t>
            </w:r>
            <w:r w:rsidRPr="00544292">
              <w:t xml:space="preserve"> by ‘main affected groups’ </w:t>
            </w:r>
          </w:p>
          <w:p w14:paraId="3BC3A000" w14:textId="5389F52C" w:rsidR="001844B6" w:rsidRPr="00826F71" w:rsidRDefault="00C9144E" w:rsidP="005A3880">
            <w:pPr>
              <w:pStyle w:val="IAPOA1"/>
            </w:pPr>
            <w:r>
              <w:t>The costs are anticipated to fall to the manufacturers of biocidal active substances and products</w:t>
            </w:r>
            <w:r w:rsidR="0085459F">
              <w:t>. W</w:t>
            </w:r>
            <w:r w:rsidR="006E6B3B">
              <w:t xml:space="preserve">e estimate the majority of businesses in scope will incur the costs anyway </w:t>
            </w:r>
            <w:r w:rsidR="00443A1E">
              <w:t xml:space="preserve">through compliance with </w:t>
            </w:r>
            <w:r w:rsidR="00C45730">
              <w:t xml:space="preserve">similar requirements in the EU. Around 1,140 businesses will incur one-off familiarisation costs of between around </w:t>
            </w:r>
            <w:r w:rsidR="009264BA">
              <w:t xml:space="preserve">£150,000 and £440,000. </w:t>
            </w:r>
            <w:r w:rsidR="0012233B">
              <w:t xml:space="preserve">In addition, businesses undertaking additional required tests </w:t>
            </w:r>
            <w:r w:rsidR="00180FDF">
              <w:t xml:space="preserve">for biocidal active substance and product dossiers will incur ten-year present value costs of between around </w:t>
            </w:r>
            <w:r w:rsidR="0085459F">
              <w:t xml:space="preserve">£770,000 and £5.1 million. </w:t>
            </w:r>
          </w:p>
        </w:tc>
      </w:tr>
      <w:tr w:rsidR="001844B6" w:rsidRPr="00826F71" w14:paraId="6C705C06" w14:textId="77777777" w:rsidTr="47B6537F">
        <w:trPr>
          <w:trHeight w:hRule="exact" w:val="1403"/>
        </w:trPr>
        <w:tc>
          <w:tcPr>
            <w:tcW w:w="10362" w:type="dxa"/>
            <w:gridSpan w:val="6"/>
            <w:tcBorders>
              <w:top w:val="single" w:sz="12" w:space="0" w:color="auto"/>
              <w:bottom w:val="single" w:sz="12" w:space="0" w:color="auto"/>
            </w:tcBorders>
          </w:tcPr>
          <w:p w14:paraId="0DA1A2FE" w14:textId="77777777" w:rsidR="001844B6" w:rsidRPr="007E190E" w:rsidRDefault="001844B6" w:rsidP="005A3880">
            <w:pPr>
              <w:pStyle w:val="IAPOQ2"/>
              <w:rPr>
                <w:szCs w:val="22"/>
              </w:rPr>
            </w:pPr>
            <w:r w:rsidRPr="00544292">
              <w:t>Other</w:t>
            </w:r>
            <w:r w:rsidRPr="00826F71">
              <w:t xml:space="preserve"> key non-monetised costs</w:t>
            </w:r>
            <w:r w:rsidRPr="00544292">
              <w:t xml:space="preserve"> by ‘main affected groups’ </w:t>
            </w:r>
          </w:p>
          <w:p w14:paraId="0CF6A04D" w14:textId="774695FD" w:rsidR="001844B6" w:rsidRPr="007E190E" w:rsidRDefault="00301484" w:rsidP="005A3880">
            <w:pPr>
              <w:pStyle w:val="IAPOA2"/>
            </w:pPr>
            <w:r>
              <w:t xml:space="preserve">For the only entirely new test </w:t>
            </w:r>
            <w:r w:rsidR="0088534D">
              <w:t xml:space="preserve">(Developmental Neurotoxicity Test) there </w:t>
            </w:r>
            <w:r w:rsidR="00C87B28">
              <w:t xml:space="preserve">may </w:t>
            </w:r>
            <w:r w:rsidR="00D46824">
              <w:t xml:space="preserve">be some costs associated with </w:t>
            </w:r>
            <w:r w:rsidR="0095195F">
              <w:t xml:space="preserve">translating the test result </w:t>
            </w:r>
            <w:r w:rsidR="006E1FC1">
              <w:t>into a suitable format for the dossier and drawing appropriate conclusions</w:t>
            </w:r>
            <w:r w:rsidR="00E03E74">
              <w:t xml:space="preserve"> in addition to the costs of undertaking the test</w:t>
            </w:r>
            <w:r w:rsidR="00122ED6">
              <w:t>.</w:t>
            </w:r>
            <w:r w:rsidR="004C53EC">
              <w:t xml:space="preserve">  This has not been quantitatively </w:t>
            </w:r>
            <w:r w:rsidR="2BD76903">
              <w:t>estimate</w:t>
            </w:r>
            <w:r w:rsidR="63EC71F2">
              <w:t>d</w:t>
            </w:r>
            <w:r w:rsidR="004C53EC">
              <w:t xml:space="preserve"> in this IA and </w:t>
            </w:r>
            <w:r w:rsidR="0061727F">
              <w:t xml:space="preserve">we will gather evidence during consultation. </w:t>
            </w:r>
          </w:p>
        </w:tc>
      </w:tr>
      <w:tr w:rsidR="001844B6" w:rsidRPr="007E190E" w14:paraId="238F2CEA" w14:textId="77777777" w:rsidTr="47B6537F">
        <w:trPr>
          <w:trHeight w:hRule="exact" w:val="567"/>
        </w:trPr>
        <w:tc>
          <w:tcPr>
            <w:tcW w:w="2122" w:type="dxa"/>
            <w:tcBorders>
              <w:bottom w:val="single" w:sz="12" w:space="0" w:color="auto"/>
              <w:right w:val="single" w:sz="12" w:space="0" w:color="auto"/>
            </w:tcBorders>
            <w:shd w:val="clear" w:color="auto" w:fill="FFFFFF" w:themeFill="background1"/>
          </w:tcPr>
          <w:p w14:paraId="2D8738E8" w14:textId="703ABBAA" w:rsidR="001844B6" w:rsidRPr="007E190E" w:rsidRDefault="001844B6" w:rsidP="005A3880">
            <w:pPr>
              <w:pStyle w:val="IATableLabel"/>
              <w:rPr>
                <w:sz w:val="24"/>
                <w:szCs w:val="24"/>
              </w:rPr>
            </w:pPr>
            <w:r w:rsidRPr="007E190E">
              <w:rPr>
                <w:sz w:val="24"/>
                <w:szCs w:val="24"/>
              </w:rPr>
              <w:t xml:space="preserve">BENEFITS </w:t>
            </w:r>
            <w:r w:rsidR="00B21702">
              <w:rPr>
                <w:sz w:val="24"/>
                <w:szCs w:val="24"/>
              </w:rPr>
              <w:t>(</w:t>
            </w:r>
            <w:r w:rsidRPr="007E190E">
              <w:rPr>
                <w:sz w:val="24"/>
                <w:szCs w:val="24"/>
              </w:rPr>
              <w:t>£m)</w:t>
            </w:r>
          </w:p>
        </w:tc>
        <w:tc>
          <w:tcPr>
            <w:tcW w:w="2739" w:type="dxa"/>
            <w:gridSpan w:val="2"/>
            <w:tcBorders>
              <w:top w:val="single" w:sz="12" w:space="0" w:color="auto"/>
              <w:left w:val="single" w:sz="12" w:space="0" w:color="auto"/>
              <w:right w:val="single" w:sz="12" w:space="0" w:color="auto"/>
            </w:tcBorders>
          </w:tcPr>
          <w:p w14:paraId="379EF752" w14:textId="77777777" w:rsidR="001844B6" w:rsidRPr="00826F71" w:rsidRDefault="001844B6" w:rsidP="007E190E">
            <w:pPr>
              <w:pStyle w:val="IATableLabel"/>
              <w:tabs>
                <w:tab w:val="right" w:pos="1797"/>
                <w:tab w:val="center" w:pos="2340"/>
              </w:tabs>
              <w:jc w:val="right"/>
            </w:pPr>
            <w:r w:rsidRPr="00826F71">
              <w:t xml:space="preserve">Total Transition </w:t>
            </w:r>
            <w:r>
              <w:br/>
            </w:r>
            <w:r>
              <w:tab/>
            </w:r>
            <w:r w:rsidRPr="007E190E">
              <w:rPr>
                <w:b w:val="0"/>
                <w:sz w:val="18"/>
                <w:szCs w:val="18"/>
              </w:rPr>
              <w:t>(Constant Price)</w:t>
            </w:r>
            <w:r>
              <w:tab/>
            </w:r>
            <w:r w:rsidRPr="007E190E">
              <w:rPr>
                <w:b w:val="0"/>
                <w:sz w:val="18"/>
                <w:szCs w:val="18"/>
              </w:rPr>
              <w:t>Yea</w:t>
            </w:r>
            <w:r w:rsidRPr="007E190E">
              <w:rPr>
                <w:b w:val="0"/>
                <w:bCs/>
                <w:sz w:val="18"/>
                <w:szCs w:val="18"/>
              </w:rPr>
              <w:t>r</w:t>
            </w:r>
            <w:r w:rsidRPr="007E190E">
              <w:rPr>
                <w:b w:val="0"/>
                <w:sz w:val="18"/>
                <w:szCs w:val="18"/>
              </w:rPr>
              <w:t>s</w:t>
            </w:r>
          </w:p>
          <w:p w14:paraId="6882D2DD" w14:textId="77777777" w:rsidR="001844B6" w:rsidRPr="00826F71" w:rsidRDefault="001844B6" w:rsidP="007E190E">
            <w:pPr>
              <w:pStyle w:val="IATableLabel"/>
              <w:jc w:val="right"/>
            </w:pPr>
            <w:r>
              <w:br/>
            </w:r>
          </w:p>
        </w:tc>
        <w:tc>
          <w:tcPr>
            <w:tcW w:w="2865" w:type="dxa"/>
            <w:tcBorders>
              <w:left w:val="single" w:sz="12" w:space="0" w:color="auto"/>
              <w:bottom w:val="single" w:sz="12" w:space="0" w:color="auto"/>
              <w:right w:val="single" w:sz="12" w:space="0" w:color="auto"/>
            </w:tcBorders>
          </w:tcPr>
          <w:p w14:paraId="7DE04C76" w14:textId="77777777" w:rsidR="001844B6" w:rsidRPr="007E190E" w:rsidRDefault="001844B6" w:rsidP="007E190E">
            <w:pPr>
              <w:pStyle w:val="IATableLabel"/>
              <w:jc w:val="right"/>
              <w:rPr>
                <w:rFonts w:cs="Arial"/>
                <w:bCs/>
              </w:rPr>
            </w:pPr>
            <w:r w:rsidRPr="00826F71">
              <w:t>Average Annual</w:t>
            </w:r>
            <w:r w:rsidRPr="000C031E">
              <w:t xml:space="preserve"> </w:t>
            </w:r>
            <w:r>
              <w:br/>
            </w:r>
            <w:r w:rsidRPr="007E190E">
              <w:rPr>
                <w:b w:val="0"/>
                <w:sz w:val="18"/>
                <w:szCs w:val="18"/>
              </w:rPr>
              <w:t xml:space="preserve">(excl. Transition) </w:t>
            </w:r>
            <w:r w:rsidRPr="007E190E">
              <w:rPr>
                <w:rFonts w:cs="Arial"/>
                <w:b w:val="0"/>
                <w:bCs/>
                <w:sz w:val="18"/>
                <w:szCs w:val="18"/>
              </w:rPr>
              <w:t>(Constant Price)</w:t>
            </w:r>
          </w:p>
        </w:tc>
        <w:tc>
          <w:tcPr>
            <w:tcW w:w="2636" w:type="dxa"/>
            <w:gridSpan w:val="2"/>
            <w:tcBorders>
              <w:top w:val="single" w:sz="12" w:space="0" w:color="auto"/>
              <w:left w:val="single" w:sz="12" w:space="0" w:color="auto"/>
              <w:bottom w:val="single" w:sz="12" w:space="0" w:color="auto"/>
            </w:tcBorders>
          </w:tcPr>
          <w:p w14:paraId="20E24574" w14:textId="77777777" w:rsidR="001844B6" w:rsidRPr="00826F71" w:rsidRDefault="001844B6" w:rsidP="007E190E">
            <w:pPr>
              <w:pStyle w:val="IATableLabel"/>
              <w:jc w:val="right"/>
            </w:pPr>
            <w:r w:rsidRPr="00826F71">
              <w:t xml:space="preserve">Total </w:t>
            </w:r>
            <w:r>
              <w:t>Benefit</w:t>
            </w:r>
            <w:r w:rsidRPr="007E190E">
              <w:rPr>
                <w:b w:val="0"/>
                <w:sz w:val="18"/>
                <w:szCs w:val="18"/>
              </w:rPr>
              <w:t xml:space="preserve"> </w:t>
            </w:r>
            <w:r w:rsidRPr="007E190E">
              <w:rPr>
                <w:b w:val="0"/>
                <w:sz w:val="18"/>
                <w:szCs w:val="18"/>
              </w:rPr>
              <w:br/>
              <w:t>(Present Value)</w:t>
            </w:r>
          </w:p>
        </w:tc>
      </w:tr>
      <w:tr w:rsidR="001844B6" w:rsidRPr="007E190E" w14:paraId="4F133AA6" w14:textId="77777777" w:rsidTr="47B6537F">
        <w:trPr>
          <w:trHeight w:hRule="exact" w:val="348"/>
        </w:trPr>
        <w:tc>
          <w:tcPr>
            <w:tcW w:w="2122" w:type="dxa"/>
            <w:tcBorders>
              <w:top w:val="single" w:sz="12" w:space="0" w:color="auto"/>
              <w:bottom w:val="single" w:sz="12" w:space="0" w:color="auto"/>
              <w:right w:val="single" w:sz="12" w:space="0" w:color="auto"/>
            </w:tcBorders>
            <w:vAlign w:val="center"/>
          </w:tcPr>
          <w:p w14:paraId="46BAC235" w14:textId="77777777" w:rsidR="001844B6" w:rsidRPr="00826F71" w:rsidRDefault="001844B6" w:rsidP="005A3880">
            <w:pPr>
              <w:pStyle w:val="IATableLabel"/>
            </w:pPr>
            <w:r w:rsidRPr="00826F71">
              <w:t xml:space="preserve">Low </w:t>
            </w:r>
          </w:p>
        </w:tc>
        <w:tc>
          <w:tcPr>
            <w:tcW w:w="1949" w:type="dxa"/>
            <w:tcBorders>
              <w:top w:val="single" w:sz="12" w:space="0" w:color="auto"/>
              <w:left w:val="single" w:sz="12" w:space="0" w:color="auto"/>
              <w:bottom w:val="single" w:sz="12" w:space="0" w:color="auto"/>
              <w:right w:val="single" w:sz="12" w:space="0" w:color="auto"/>
            </w:tcBorders>
            <w:vAlign w:val="center"/>
          </w:tcPr>
          <w:p w14:paraId="05B943C0" w14:textId="26FAFDF6" w:rsidR="001844B6" w:rsidRPr="007E190E" w:rsidRDefault="001B18D0" w:rsidP="005A3880">
            <w:pPr>
              <w:pStyle w:val="POTTBenLow"/>
              <w:rPr>
                <w:sz w:val="20"/>
              </w:rPr>
            </w:pPr>
            <w:r>
              <w:rPr>
                <w:sz w:val="20"/>
              </w:rPr>
              <w:t>Unquantified</w:t>
            </w:r>
          </w:p>
        </w:tc>
        <w:tc>
          <w:tcPr>
            <w:tcW w:w="790" w:type="dxa"/>
            <w:vMerge w:val="restart"/>
            <w:tcBorders>
              <w:top w:val="single" w:sz="12" w:space="0" w:color="auto"/>
              <w:left w:val="single" w:sz="12" w:space="0" w:color="auto"/>
              <w:right w:val="single" w:sz="12" w:space="0" w:color="auto"/>
            </w:tcBorders>
            <w:vAlign w:val="center"/>
          </w:tcPr>
          <w:p w14:paraId="2F68BDB8" w14:textId="77777777" w:rsidR="001844B6" w:rsidRPr="007E190E" w:rsidRDefault="001844B6" w:rsidP="007E190E">
            <w:pPr>
              <w:pStyle w:val="IATableText"/>
              <w:jc w:val="center"/>
              <w:rPr>
                <w:sz w:val="20"/>
              </w:rPr>
            </w:pPr>
            <w:r w:rsidRPr="007E190E">
              <w:rPr>
                <w:sz w:val="20"/>
              </w:rPr>
              <w:fldChar w:fldCharType="begin">
                <w:ffData>
                  <w:name w:val="Text48"/>
                  <w:enabled/>
                  <w:calcOnExit w:val="0"/>
                  <w:textInput>
                    <w:maxLength w:val="3"/>
                  </w:textInput>
                </w:ffData>
              </w:fldChar>
            </w:r>
            <w:r w:rsidRPr="007E190E">
              <w:rPr>
                <w:sz w:val="20"/>
              </w:rPr>
              <w:instrText xml:space="preserve"> FORMTEXT </w:instrText>
            </w:r>
            <w:r w:rsidRPr="007E190E">
              <w:rPr>
                <w:sz w:val="20"/>
              </w:rPr>
            </w:r>
            <w:r w:rsidRPr="007E190E">
              <w:rPr>
                <w:sz w:val="20"/>
              </w:rPr>
              <w:fldChar w:fldCharType="separate"/>
            </w:r>
            <w:r w:rsidRPr="007E190E">
              <w:rPr>
                <w:noProof/>
                <w:sz w:val="20"/>
              </w:rPr>
              <w:t> </w:t>
            </w:r>
            <w:r w:rsidRPr="007E190E">
              <w:rPr>
                <w:noProof/>
                <w:sz w:val="20"/>
              </w:rPr>
              <w:t> </w:t>
            </w:r>
            <w:r w:rsidRPr="007E190E">
              <w:rPr>
                <w:noProof/>
                <w:sz w:val="20"/>
              </w:rPr>
              <w:t> </w:t>
            </w:r>
            <w:r w:rsidRPr="007E190E">
              <w:rPr>
                <w:sz w:val="20"/>
              </w:rPr>
              <w:fldChar w:fldCharType="end"/>
            </w:r>
          </w:p>
        </w:tc>
        <w:tc>
          <w:tcPr>
            <w:tcW w:w="2865" w:type="dxa"/>
            <w:tcBorders>
              <w:top w:val="single" w:sz="12" w:space="0" w:color="auto"/>
              <w:left w:val="single" w:sz="12" w:space="0" w:color="auto"/>
              <w:bottom w:val="single" w:sz="12" w:space="0" w:color="auto"/>
              <w:right w:val="single" w:sz="12" w:space="0" w:color="auto"/>
            </w:tcBorders>
            <w:vAlign w:val="center"/>
          </w:tcPr>
          <w:p w14:paraId="604312AF" w14:textId="6D24C55C" w:rsidR="001844B6" w:rsidRPr="007E190E" w:rsidRDefault="001B18D0" w:rsidP="005A3880">
            <w:pPr>
              <w:pStyle w:val="POAABenLow"/>
              <w:rPr>
                <w:sz w:val="20"/>
              </w:rPr>
            </w:pPr>
            <w:r>
              <w:rPr>
                <w:sz w:val="20"/>
              </w:rPr>
              <w:t>Unquantified</w:t>
            </w:r>
          </w:p>
        </w:tc>
        <w:tc>
          <w:tcPr>
            <w:tcW w:w="2636" w:type="dxa"/>
            <w:gridSpan w:val="2"/>
            <w:tcBorders>
              <w:top w:val="single" w:sz="12" w:space="0" w:color="auto"/>
              <w:left w:val="single" w:sz="12" w:space="0" w:color="auto"/>
              <w:bottom w:val="single" w:sz="12" w:space="0" w:color="auto"/>
            </w:tcBorders>
            <w:vAlign w:val="center"/>
          </w:tcPr>
          <w:p w14:paraId="0830B16C" w14:textId="2DDE03FF" w:rsidR="001844B6" w:rsidRPr="007E190E" w:rsidRDefault="001B18D0" w:rsidP="005A3880">
            <w:pPr>
              <w:pStyle w:val="POTBBenLow"/>
              <w:rPr>
                <w:sz w:val="20"/>
              </w:rPr>
            </w:pPr>
            <w:r>
              <w:rPr>
                <w:sz w:val="20"/>
              </w:rPr>
              <w:t>Unquantified</w:t>
            </w:r>
          </w:p>
        </w:tc>
      </w:tr>
      <w:tr w:rsidR="001844B6" w:rsidRPr="007E190E" w14:paraId="7EDA2791" w14:textId="77777777" w:rsidTr="47B6537F">
        <w:trPr>
          <w:trHeight w:hRule="exact" w:val="348"/>
        </w:trPr>
        <w:tc>
          <w:tcPr>
            <w:tcW w:w="2122" w:type="dxa"/>
            <w:tcBorders>
              <w:top w:val="single" w:sz="12" w:space="0" w:color="auto"/>
              <w:bottom w:val="single" w:sz="12" w:space="0" w:color="auto"/>
              <w:right w:val="single" w:sz="12" w:space="0" w:color="auto"/>
            </w:tcBorders>
            <w:vAlign w:val="center"/>
          </w:tcPr>
          <w:p w14:paraId="2FBDD7E9" w14:textId="77777777" w:rsidR="001844B6" w:rsidRPr="00826F71" w:rsidRDefault="001844B6" w:rsidP="005A3880">
            <w:pPr>
              <w:pStyle w:val="IATableLabel"/>
            </w:pPr>
            <w:r w:rsidRPr="00826F71">
              <w:t xml:space="preserve">High </w:t>
            </w:r>
          </w:p>
        </w:tc>
        <w:tc>
          <w:tcPr>
            <w:tcW w:w="1949" w:type="dxa"/>
            <w:tcBorders>
              <w:top w:val="single" w:sz="12" w:space="0" w:color="auto"/>
              <w:left w:val="single" w:sz="12" w:space="0" w:color="auto"/>
              <w:bottom w:val="single" w:sz="12" w:space="0" w:color="auto"/>
              <w:right w:val="single" w:sz="12" w:space="0" w:color="auto"/>
            </w:tcBorders>
            <w:vAlign w:val="center"/>
          </w:tcPr>
          <w:p w14:paraId="2110C4D0" w14:textId="2D3DEE72" w:rsidR="001844B6" w:rsidRPr="007E190E" w:rsidRDefault="001B18D0" w:rsidP="005A3880">
            <w:pPr>
              <w:pStyle w:val="POTTBenHigh"/>
              <w:rPr>
                <w:sz w:val="20"/>
              </w:rPr>
            </w:pPr>
            <w:r>
              <w:rPr>
                <w:sz w:val="20"/>
              </w:rPr>
              <w:t>Unquantified</w:t>
            </w:r>
          </w:p>
        </w:tc>
        <w:tc>
          <w:tcPr>
            <w:tcW w:w="790" w:type="dxa"/>
            <w:vMerge/>
            <w:vAlign w:val="center"/>
          </w:tcPr>
          <w:p w14:paraId="1B5B17C3"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vAlign w:val="center"/>
          </w:tcPr>
          <w:p w14:paraId="10AB5029" w14:textId="3FD77FF1" w:rsidR="001844B6" w:rsidRPr="007E190E" w:rsidRDefault="001B18D0" w:rsidP="005A3880">
            <w:pPr>
              <w:pStyle w:val="POAABenHigh"/>
              <w:rPr>
                <w:sz w:val="20"/>
              </w:rPr>
            </w:pPr>
            <w:r>
              <w:rPr>
                <w:sz w:val="20"/>
              </w:rPr>
              <w:t>Unquantified</w:t>
            </w:r>
          </w:p>
        </w:tc>
        <w:tc>
          <w:tcPr>
            <w:tcW w:w="2636" w:type="dxa"/>
            <w:gridSpan w:val="2"/>
            <w:tcBorders>
              <w:top w:val="single" w:sz="12" w:space="0" w:color="auto"/>
              <w:left w:val="single" w:sz="12" w:space="0" w:color="auto"/>
              <w:bottom w:val="single" w:sz="12" w:space="0" w:color="auto"/>
            </w:tcBorders>
            <w:vAlign w:val="center"/>
          </w:tcPr>
          <w:p w14:paraId="172EF0D7" w14:textId="38CCEDEB" w:rsidR="001844B6" w:rsidRPr="007E190E" w:rsidRDefault="001B18D0" w:rsidP="005A3880">
            <w:pPr>
              <w:pStyle w:val="POTBBenHigh"/>
              <w:rPr>
                <w:sz w:val="20"/>
              </w:rPr>
            </w:pPr>
            <w:r>
              <w:rPr>
                <w:sz w:val="20"/>
              </w:rPr>
              <w:t>Unquantified</w:t>
            </w:r>
          </w:p>
        </w:tc>
      </w:tr>
      <w:tr w:rsidR="001844B6" w:rsidRPr="007E190E" w14:paraId="20B66F08" w14:textId="77777777" w:rsidTr="47B6537F">
        <w:trPr>
          <w:trHeight w:hRule="exact" w:val="348"/>
        </w:trPr>
        <w:tc>
          <w:tcPr>
            <w:tcW w:w="2122" w:type="dxa"/>
            <w:tcBorders>
              <w:top w:val="single" w:sz="12" w:space="0" w:color="auto"/>
              <w:bottom w:val="single" w:sz="12" w:space="0" w:color="auto"/>
              <w:right w:val="single" w:sz="12" w:space="0" w:color="auto"/>
            </w:tcBorders>
            <w:shd w:val="clear" w:color="auto" w:fill="FFFFFF" w:themeFill="background1"/>
            <w:vAlign w:val="center"/>
          </w:tcPr>
          <w:p w14:paraId="122CE01D" w14:textId="77777777" w:rsidR="001844B6" w:rsidRPr="00826F71" w:rsidRDefault="001844B6" w:rsidP="005A3880">
            <w:pPr>
              <w:pStyle w:val="IATableLabel"/>
            </w:pPr>
            <w:r w:rsidRPr="00826F71">
              <w:t xml:space="preserve">Best </w:t>
            </w:r>
            <w:r>
              <w:t>E</w:t>
            </w:r>
            <w:r w:rsidRPr="00826F71">
              <w:t>stimate</w:t>
            </w:r>
          </w:p>
          <w:p w14:paraId="5E9E6484" w14:textId="77777777" w:rsidR="001844B6" w:rsidRPr="007E190E" w:rsidRDefault="001844B6" w:rsidP="007E190E">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830DB1" w14:textId="1EBDBE48" w:rsidR="001844B6" w:rsidRPr="007E190E" w:rsidRDefault="001B18D0" w:rsidP="005A3880">
            <w:pPr>
              <w:pStyle w:val="POTTBenBest"/>
              <w:rPr>
                <w:sz w:val="20"/>
              </w:rPr>
            </w:pPr>
            <w:r>
              <w:rPr>
                <w:sz w:val="20"/>
              </w:rPr>
              <w:t>Unquantified</w:t>
            </w:r>
          </w:p>
        </w:tc>
        <w:tc>
          <w:tcPr>
            <w:tcW w:w="790" w:type="dxa"/>
            <w:vMerge/>
            <w:vAlign w:val="center"/>
          </w:tcPr>
          <w:p w14:paraId="27B1352A" w14:textId="77777777" w:rsidR="001844B6" w:rsidRPr="007E190E" w:rsidRDefault="001844B6" w:rsidP="007E190E">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515B75" w14:textId="39E1675F" w:rsidR="001844B6" w:rsidRPr="007E190E" w:rsidRDefault="001B18D0" w:rsidP="005A3880">
            <w:pPr>
              <w:pStyle w:val="POAABenBest"/>
              <w:rPr>
                <w:sz w:val="20"/>
              </w:rPr>
            </w:pPr>
            <w:r>
              <w:rPr>
                <w:sz w:val="20"/>
              </w:rPr>
              <w:t>Unquantified</w:t>
            </w:r>
          </w:p>
        </w:tc>
        <w:tc>
          <w:tcPr>
            <w:tcW w:w="2636" w:type="dxa"/>
            <w:gridSpan w:val="2"/>
            <w:tcBorders>
              <w:top w:val="single" w:sz="12" w:space="0" w:color="auto"/>
              <w:left w:val="single" w:sz="12" w:space="0" w:color="auto"/>
              <w:bottom w:val="single" w:sz="12" w:space="0" w:color="auto"/>
            </w:tcBorders>
            <w:shd w:val="clear" w:color="auto" w:fill="FFFFFF" w:themeFill="background1"/>
            <w:vAlign w:val="center"/>
          </w:tcPr>
          <w:p w14:paraId="502E711E" w14:textId="5E4892D6" w:rsidR="001844B6" w:rsidRPr="007E190E" w:rsidRDefault="001B18D0" w:rsidP="005A3880">
            <w:pPr>
              <w:pStyle w:val="POTBBenBest"/>
              <w:rPr>
                <w:sz w:val="20"/>
              </w:rPr>
            </w:pPr>
            <w:r>
              <w:rPr>
                <w:sz w:val="20"/>
              </w:rPr>
              <w:t>Unquantified</w:t>
            </w:r>
            <w:r w:rsidRPr="007E190E">
              <w:rPr>
                <w:sz w:val="20"/>
              </w:rPr>
              <w:t xml:space="preserve"> </w:t>
            </w:r>
          </w:p>
        </w:tc>
      </w:tr>
      <w:tr w:rsidR="001844B6" w:rsidRPr="00826F71" w14:paraId="48F6B96F" w14:textId="77777777" w:rsidTr="47B6537F">
        <w:trPr>
          <w:trHeight w:hRule="exact" w:val="1701"/>
        </w:trPr>
        <w:tc>
          <w:tcPr>
            <w:tcW w:w="10362" w:type="dxa"/>
            <w:gridSpan w:val="6"/>
            <w:tcBorders>
              <w:bottom w:val="single" w:sz="12" w:space="0" w:color="auto"/>
            </w:tcBorders>
          </w:tcPr>
          <w:p w14:paraId="11CE454C" w14:textId="77777777" w:rsidR="001844B6" w:rsidRPr="007E190E" w:rsidRDefault="001844B6" w:rsidP="005A3880">
            <w:pPr>
              <w:pStyle w:val="IPPOQ3"/>
              <w:rPr>
                <w:szCs w:val="22"/>
              </w:rPr>
            </w:pPr>
            <w:r w:rsidRPr="00544292">
              <w:t xml:space="preserve">Description and scale of </w:t>
            </w:r>
            <w:r w:rsidRPr="00826F71">
              <w:t xml:space="preserve">key monetised </w:t>
            </w:r>
            <w:r>
              <w:t>benefits</w:t>
            </w:r>
            <w:r w:rsidRPr="00544292">
              <w:t xml:space="preserve"> by ‘main affected groups’ </w:t>
            </w:r>
          </w:p>
          <w:p w14:paraId="314541B6" w14:textId="00A49AB1" w:rsidR="001844B6" w:rsidRPr="00826F71" w:rsidRDefault="003246CB" w:rsidP="005A3880">
            <w:pPr>
              <w:pStyle w:val="IAPOA3"/>
            </w:pPr>
            <w:r>
              <w:t>None</w:t>
            </w:r>
          </w:p>
        </w:tc>
      </w:tr>
      <w:tr w:rsidR="001844B6" w:rsidRPr="00826F71" w14:paraId="258A9ADB" w14:textId="77777777" w:rsidTr="47B6537F">
        <w:trPr>
          <w:trHeight w:hRule="exact" w:val="1701"/>
        </w:trPr>
        <w:tc>
          <w:tcPr>
            <w:tcW w:w="10362" w:type="dxa"/>
            <w:gridSpan w:val="6"/>
            <w:tcBorders>
              <w:top w:val="single" w:sz="12" w:space="0" w:color="auto"/>
            </w:tcBorders>
          </w:tcPr>
          <w:p w14:paraId="3C34BAC1" w14:textId="77777777" w:rsidR="001844B6" w:rsidRPr="007E190E" w:rsidRDefault="001844B6" w:rsidP="005A3880">
            <w:pPr>
              <w:pStyle w:val="IAPOQ4"/>
              <w:rPr>
                <w:szCs w:val="22"/>
              </w:rPr>
            </w:pPr>
            <w:r w:rsidRPr="00544292">
              <w:t>Other</w:t>
            </w:r>
            <w:r w:rsidRPr="00826F71">
              <w:t xml:space="preserve"> key non-monetised </w:t>
            </w:r>
            <w:r>
              <w:t>benefits</w:t>
            </w:r>
            <w:r w:rsidRPr="00544292">
              <w:t xml:space="preserve"> by ‘main affected groups’ </w:t>
            </w:r>
          </w:p>
          <w:p w14:paraId="0BF7CE59" w14:textId="7931EF4A" w:rsidR="001844B6" w:rsidRPr="009D64A3" w:rsidRDefault="296C50DF" w:rsidP="00C02780">
            <w:pPr>
              <w:pStyle w:val="IAPOA5"/>
            </w:pPr>
            <w:r w:rsidRPr="00C02780">
              <w:t>The changes ensure that the data requirements in GB BPR keep up with scientific and technical progress, reduce the need for animal testing in line with wider government goals, and reflect the latest internationally validated test methods.  The changes will provide legal certainty to businesses applying for biocidal product authorisations and active substance approvals in Great Britain.</w:t>
            </w:r>
          </w:p>
          <w:p w14:paraId="4DED5960" w14:textId="11178CD9" w:rsidR="001844B6" w:rsidRPr="00826F71" w:rsidRDefault="001844B6" w:rsidP="12A831B3">
            <w:pPr>
              <w:pStyle w:val="IAPOA4"/>
              <w:rPr>
                <w:noProof/>
                <w:szCs w:val="22"/>
              </w:rPr>
            </w:pPr>
          </w:p>
        </w:tc>
      </w:tr>
      <w:tr w:rsidR="001844B6" w:rsidRPr="00826F71" w14:paraId="6A1C8944" w14:textId="77777777" w:rsidTr="47B6537F">
        <w:trPr>
          <w:trHeight w:hRule="exact" w:val="346"/>
        </w:trPr>
        <w:tc>
          <w:tcPr>
            <w:tcW w:w="9502" w:type="dxa"/>
            <w:gridSpan w:val="5"/>
            <w:tcBorders>
              <w:top w:val="single" w:sz="12" w:space="0" w:color="auto"/>
              <w:bottom w:val="single" w:sz="12" w:space="0" w:color="auto"/>
              <w:right w:val="single" w:sz="12" w:space="0" w:color="auto"/>
            </w:tcBorders>
          </w:tcPr>
          <w:p w14:paraId="51639B60" w14:textId="77777777" w:rsidR="001844B6" w:rsidRDefault="001844B6" w:rsidP="007E190E">
            <w:pPr>
              <w:pStyle w:val="IATableLabel"/>
              <w:tabs>
                <w:tab w:val="left" w:pos="7655"/>
              </w:tabs>
            </w:pPr>
            <w:r w:rsidRPr="00F1653E">
              <w:rPr>
                <w:rStyle w:val="IAPOQ5Char"/>
                <w:b/>
              </w:rPr>
              <w:t>Key assumptions/sensitivities/risks</w:t>
            </w:r>
            <w:r>
              <w:tab/>
              <w:t>Discount rate (%)</w:t>
            </w:r>
          </w:p>
          <w:p w14:paraId="754C8737" w14:textId="77777777" w:rsidR="001844B6" w:rsidRPr="00455895" w:rsidRDefault="001844B6" w:rsidP="005A3880">
            <w:pPr>
              <w:pStyle w:val="IATableLabel"/>
            </w:pPr>
          </w:p>
        </w:tc>
        <w:tc>
          <w:tcPr>
            <w:tcW w:w="860" w:type="dxa"/>
            <w:tcBorders>
              <w:top w:val="single" w:sz="12" w:space="0" w:color="auto"/>
              <w:left w:val="single" w:sz="12" w:space="0" w:color="auto"/>
              <w:bottom w:val="single" w:sz="12" w:space="0" w:color="auto"/>
            </w:tcBorders>
          </w:tcPr>
          <w:p w14:paraId="13EC44EA" w14:textId="72C3A809" w:rsidR="001844B6" w:rsidRPr="007E6CF8" w:rsidRDefault="009B7EC0" w:rsidP="005A3880">
            <w:pPr>
              <w:pStyle w:val="IAPODisRate"/>
            </w:pPr>
            <w:r>
              <w:t>3.5%</w:t>
            </w:r>
          </w:p>
        </w:tc>
      </w:tr>
      <w:tr w:rsidR="001844B6" w:rsidRPr="007E190E" w14:paraId="794359BD" w14:textId="77777777" w:rsidTr="47B6537F">
        <w:trPr>
          <w:trHeight w:hRule="exact" w:val="1375"/>
        </w:trPr>
        <w:tc>
          <w:tcPr>
            <w:tcW w:w="10362" w:type="dxa"/>
            <w:gridSpan w:val="6"/>
            <w:tcBorders>
              <w:top w:val="nil"/>
              <w:bottom w:val="single" w:sz="12" w:space="0" w:color="auto"/>
            </w:tcBorders>
          </w:tcPr>
          <w:p w14:paraId="63CAE1BF" w14:textId="0A0C2834" w:rsidR="001844B6" w:rsidRPr="00544292" w:rsidRDefault="00753F86" w:rsidP="005A3880">
            <w:pPr>
              <w:pStyle w:val="IAPOA5"/>
            </w:pPr>
            <w:r>
              <w:t>We estimate that the majority of dossiers submitted to HSE will not be subject to additional costs due to baseline compliance with similar EU requirements.</w:t>
            </w:r>
            <w:r w:rsidR="00BA205E">
              <w:t xml:space="preserve"> Specifically, we estimate that </w:t>
            </w:r>
            <w:r w:rsidR="00B84C67">
              <w:t xml:space="preserve">only 1-3% of active substance and 3.8% of product dossiers will incur additional costs. </w:t>
            </w:r>
            <w:r w:rsidR="002E2AE4">
              <w:t xml:space="preserve">This is based on a comparative </w:t>
            </w:r>
            <w:r w:rsidR="008322D0">
              <w:t>analysis</w:t>
            </w:r>
            <w:r w:rsidR="002E2AE4">
              <w:t xml:space="preserve"> GB and EU </w:t>
            </w:r>
            <w:r w:rsidR="008322D0">
              <w:t>approval and authorisation lists</w:t>
            </w:r>
            <w:r w:rsidR="00B2103B">
              <w:t xml:space="preserve"> and whether companies are selling their actives and products into both markets. W</w:t>
            </w:r>
            <w:r w:rsidR="008322D0">
              <w:t xml:space="preserve">e will explore </w:t>
            </w:r>
            <w:r w:rsidR="00380E29">
              <w:t xml:space="preserve">methods to refine this </w:t>
            </w:r>
            <w:r w:rsidR="0029444F">
              <w:t xml:space="preserve">estimate during consultation. </w:t>
            </w:r>
          </w:p>
        </w:tc>
      </w:tr>
    </w:tbl>
    <w:p w14:paraId="27D6A372" w14:textId="77777777" w:rsidR="001844B6" w:rsidRDefault="001844B6" w:rsidP="005A3880">
      <w:pPr>
        <w:pStyle w:val="IASpacer"/>
      </w:pPr>
    </w:p>
    <w:p w14:paraId="2A963596" w14:textId="0C738676" w:rsidR="0005543F" w:rsidRDefault="0005543F" w:rsidP="005A3880">
      <w:pPr>
        <w:pStyle w:val="IAHeadLabel"/>
        <w:spacing w:before="50"/>
      </w:pPr>
    </w:p>
    <w:p w14:paraId="70490296" w14:textId="136F2975" w:rsidR="001844B6" w:rsidRDefault="00F63895" w:rsidP="005A3880">
      <w:pPr>
        <w:pStyle w:val="IAHeadLabel"/>
        <w:spacing w:before="50"/>
      </w:pPr>
      <w:r>
        <w:t xml:space="preserve">BUSINESS </w:t>
      </w:r>
      <w:r w:rsidR="001844B6">
        <w:t xml:space="preserve">ASSESSMENT (Option </w:t>
      </w:r>
      <w:r w:rsidR="001E69A2">
        <w:rPr>
          <w:noProof/>
        </w:rPr>
        <w:fldChar w:fldCharType="begin"/>
      </w:r>
      <w:r w:rsidR="001E69A2">
        <w:rPr>
          <w:noProof/>
        </w:rPr>
        <w:instrText xml:space="preserve"> SEQ BA </w:instrText>
      </w:r>
      <w:r w:rsidR="001E69A2">
        <w:rPr>
          <w:noProof/>
        </w:rPr>
        <w:fldChar w:fldCharType="separate"/>
      </w:r>
      <w:r w:rsidR="00044FE7">
        <w:rPr>
          <w:noProof/>
        </w:rPr>
        <w:t>1</w:t>
      </w:r>
      <w:r w:rsidR="001E69A2">
        <w:rPr>
          <w:noProof/>
        </w:rPr>
        <w:fldChar w:fldCharType="end"/>
      </w:r>
      <w:r w:rsidR="001844B6">
        <w:t>)</w:t>
      </w:r>
    </w:p>
    <w:tbl>
      <w:tblPr>
        <w:tblW w:w="5067" w:type="pct"/>
        <w:tblInd w:w="-1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77"/>
        <w:gridCol w:w="1836"/>
        <w:gridCol w:w="1694"/>
        <w:gridCol w:w="4804"/>
      </w:tblGrid>
      <w:tr w:rsidR="00CE4AA4" w:rsidRPr="000E02BE" w14:paraId="1F316219" w14:textId="77777777" w:rsidTr="00CE4AA4">
        <w:trPr>
          <w:trHeight w:hRule="exact" w:val="384"/>
        </w:trPr>
        <w:tc>
          <w:tcPr>
            <w:tcW w:w="5507" w:type="dxa"/>
            <w:gridSpan w:val="3"/>
            <w:tcBorders>
              <w:top w:val="single" w:sz="12" w:space="0" w:color="auto"/>
              <w:left w:val="single" w:sz="12" w:space="0" w:color="auto"/>
              <w:bottom w:val="nil"/>
              <w:right w:val="single" w:sz="12" w:space="0" w:color="auto"/>
            </w:tcBorders>
          </w:tcPr>
          <w:p w14:paraId="3BF51AD8" w14:textId="77777777" w:rsidR="00CE4AA4" w:rsidRPr="000E02BE" w:rsidRDefault="00CE4AA4" w:rsidP="005A3880">
            <w:pPr>
              <w:pStyle w:val="IATableLabel"/>
            </w:pPr>
            <w:r w:rsidRPr="000E02BE">
              <w:t xml:space="preserve">Direct impact on </w:t>
            </w:r>
            <w:r>
              <w:t>business (Equivalent Annual) £m</w:t>
            </w:r>
            <w:r w:rsidRPr="000E02BE">
              <w:t xml:space="preserve">: </w:t>
            </w:r>
          </w:p>
        </w:tc>
        <w:tc>
          <w:tcPr>
            <w:tcW w:w="4804" w:type="dxa"/>
            <w:vMerge w:val="restart"/>
            <w:tcBorders>
              <w:top w:val="single" w:sz="12" w:space="0" w:color="auto"/>
              <w:left w:val="single" w:sz="12" w:space="0" w:color="auto"/>
              <w:right w:val="single" w:sz="12" w:space="0" w:color="auto"/>
            </w:tcBorders>
          </w:tcPr>
          <w:p w14:paraId="3B785D04" w14:textId="77777777" w:rsidR="00CE4AA4" w:rsidRPr="000E02BE" w:rsidRDefault="00CE4AA4" w:rsidP="00C96388">
            <w:pPr>
              <w:pStyle w:val="IATableLabel"/>
            </w:pPr>
            <w:r>
              <w:t xml:space="preserve">Score for Business Impact Target (qualifying provisions only) £m: </w:t>
            </w:r>
            <w:r w:rsidRPr="00601A78">
              <w:rPr>
                <w:b w:val="0"/>
                <w:bCs/>
              </w:rPr>
              <w:t>Nil (de minimis)</w:t>
            </w:r>
          </w:p>
          <w:p w14:paraId="4513AF1A" w14:textId="1395400B" w:rsidR="00CE4AA4" w:rsidRPr="000E02BE" w:rsidRDefault="00CE4AA4" w:rsidP="005A3880">
            <w:pPr>
              <w:pStyle w:val="IAPODIMQ"/>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4AA4" w:rsidRPr="00E75380" w14:paraId="195CC3CB" w14:textId="77777777" w:rsidTr="00CE4AA4">
        <w:trPr>
          <w:trHeight w:val="650"/>
        </w:trPr>
        <w:tc>
          <w:tcPr>
            <w:tcW w:w="1977" w:type="dxa"/>
            <w:tcBorders>
              <w:top w:val="single" w:sz="12" w:space="0" w:color="auto"/>
              <w:left w:val="single" w:sz="12" w:space="0" w:color="auto"/>
              <w:bottom w:val="single" w:sz="12" w:space="0" w:color="auto"/>
              <w:right w:val="single" w:sz="12" w:space="0" w:color="auto"/>
            </w:tcBorders>
            <w:shd w:val="clear" w:color="auto" w:fill="FFFFFF"/>
          </w:tcPr>
          <w:p w14:paraId="448D10E7" w14:textId="2C40C5D2" w:rsidR="00CE4AA4" w:rsidRPr="00F63895" w:rsidRDefault="00CE4AA4" w:rsidP="005A3880">
            <w:pPr>
              <w:pStyle w:val="IATableLabel"/>
            </w:pPr>
            <w:r w:rsidRPr="00F63895">
              <w:t xml:space="preserve">Costs: </w:t>
            </w:r>
            <w:r w:rsidRPr="00601A78">
              <w:rPr>
                <w:b w:val="0"/>
                <w:bCs/>
              </w:rPr>
              <w:t>£</w:t>
            </w:r>
            <w:r w:rsidRPr="00601A78">
              <w:rPr>
                <w:rStyle w:val="IAPODICostChar"/>
                <w:sz w:val="20"/>
              </w:rPr>
              <w:t>0.4m</w:t>
            </w:r>
          </w:p>
        </w:tc>
        <w:tc>
          <w:tcPr>
            <w:tcW w:w="1836" w:type="dxa"/>
            <w:tcBorders>
              <w:top w:val="single" w:sz="12" w:space="0" w:color="auto"/>
              <w:left w:val="single" w:sz="12" w:space="0" w:color="auto"/>
              <w:bottom w:val="single" w:sz="12" w:space="0" w:color="auto"/>
              <w:right w:val="single" w:sz="12" w:space="0" w:color="auto"/>
            </w:tcBorders>
            <w:shd w:val="clear" w:color="auto" w:fill="FFFFFF"/>
          </w:tcPr>
          <w:p w14:paraId="72CE541E" w14:textId="0A763C19" w:rsidR="00CE4AA4" w:rsidRPr="00F63895" w:rsidRDefault="00CE4AA4" w:rsidP="005A3880">
            <w:pPr>
              <w:pStyle w:val="IATableLabel"/>
            </w:pPr>
            <w:r w:rsidRPr="00F63895">
              <w:t xml:space="preserve">Benefits: </w:t>
            </w:r>
            <w:r>
              <w:rPr>
                <w:rStyle w:val="IAPODIBenChar"/>
                <w:sz w:val="20"/>
              </w:rPr>
              <w:t>Nil</w:t>
            </w:r>
          </w:p>
        </w:tc>
        <w:tc>
          <w:tcPr>
            <w:tcW w:w="1694" w:type="dxa"/>
            <w:tcBorders>
              <w:top w:val="single" w:sz="12" w:space="0" w:color="auto"/>
              <w:left w:val="single" w:sz="12" w:space="0" w:color="auto"/>
              <w:bottom w:val="single" w:sz="12" w:space="0" w:color="auto"/>
              <w:right w:val="single" w:sz="12" w:space="0" w:color="auto"/>
            </w:tcBorders>
            <w:shd w:val="clear" w:color="auto" w:fill="FFFFFF"/>
          </w:tcPr>
          <w:p w14:paraId="707DF9CF" w14:textId="435032E2" w:rsidR="00CE4AA4" w:rsidRPr="00F63895" w:rsidRDefault="00CE4AA4" w:rsidP="005A3880">
            <w:pPr>
              <w:pStyle w:val="IATableLabel"/>
            </w:pPr>
            <w:r w:rsidRPr="00F63895">
              <w:t xml:space="preserve">Net: </w:t>
            </w:r>
            <w:r>
              <w:rPr>
                <w:rStyle w:val="IAPODINetChar"/>
                <w:sz w:val="20"/>
              </w:rPr>
              <w:t>£0.4m</w:t>
            </w:r>
          </w:p>
        </w:tc>
        <w:tc>
          <w:tcPr>
            <w:tcW w:w="4804" w:type="dxa"/>
            <w:vMerge/>
            <w:tcBorders>
              <w:left w:val="single" w:sz="12" w:space="0" w:color="auto"/>
              <w:bottom w:val="single" w:sz="12" w:space="0" w:color="auto"/>
              <w:right w:val="single" w:sz="12" w:space="0" w:color="auto"/>
            </w:tcBorders>
            <w:shd w:val="clear" w:color="auto" w:fill="FFFFFF"/>
          </w:tcPr>
          <w:p w14:paraId="2BE55E3B" w14:textId="33B9CE05" w:rsidR="00CE4AA4" w:rsidRPr="00F63895" w:rsidRDefault="00CE4AA4" w:rsidP="005A3880">
            <w:pPr>
              <w:pStyle w:val="IAPODIMQ"/>
            </w:pPr>
          </w:p>
        </w:tc>
      </w:tr>
    </w:tbl>
    <w:p w14:paraId="3317C5EC" w14:textId="77777777" w:rsidR="00854B58" w:rsidRDefault="00854B58" w:rsidP="005A3880">
      <w:pPr>
        <w:sectPr w:rsidR="00854B58" w:rsidSect="00F1328C">
          <w:footnotePr>
            <w:numRestart w:val="eachSect"/>
          </w:footnotePr>
          <w:pgSz w:w="11907" w:h="16840" w:code="9"/>
          <w:pgMar w:top="680" w:right="851" w:bottom="680" w:left="851" w:header="284" w:footer="284" w:gutter="0"/>
          <w:cols w:space="708"/>
          <w:docGrid w:linePitch="360"/>
        </w:sectPr>
      </w:pPr>
    </w:p>
    <w:p w14:paraId="6978B742" w14:textId="77777777" w:rsidR="00D64409" w:rsidRDefault="00D64409" w:rsidP="00D64409">
      <w:pPr>
        <w:pStyle w:val="Heading1"/>
      </w:pPr>
      <w:r w:rsidRPr="00C347F0">
        <w:lastRenderedPageBreak/>
        <w:t>Evidence Base</w:t>
      </w:r>
      <w:r>
        <w:t xml:space="preserve"> </w:t>
      </w:r>
    </w:p>
    <w:p w14:paraId="233A8962" w14:textId="18676356" w:rsidR="00D64409" w:rsidRPr="000318E3" w:rsidRDefault="00D64409" w:rsidP="00A549AF">
      <w:pPr>
        <w:pStyle w:val="Heading2"/>
        <w:rPr>
          <w:b w:val="0"/>
        </w:rPr>
      </w:pPr>
      <w:r>
        <w:rPr>
          <w:b w:val="0"/>
          <w:bCs w:val="0"/>
        </w:rPr>
        <w:t>Problem under consideration and rationale for intervention</w:t>
      </w:r>
    </w:p>
    <w:p w14:paraId="6104CC25" w14:textId="6E31F021" w:rsidR="0499A4AC" w:rsidRDefault="0499A4AC" w:rsidP="00C02780">
      <w:pPr>
        <w:pStyle w:val="IATableLines"/>
        <w:numPr>
          <w:ilvl w:val="0"/>
          <w:numId w:val="34"/>
        </w:numPr>
        <w:rPr>
          <w:szCs w:val="22"/>
        </w:rPr>
      </w:pPr>
      <w:r w:rsidRPr="29C9880E">
        <w:rPr>
          <w:szCs w:val="22"/>
        </w:rPr>
        <w:t xml:space="preserve">Annexes II and III </w:t>
      </w:r>
      <w:r w:rsidR="193D269B" w:rsidRPr="29C9880E">
        <w:rPr>
          <w:szCs w:val="22"/>
        </w:rPr>
        <w:t xml:space="preserve">of the Biocidal Products </w:t>
      </w:r>
      <w:r w:rsidR="4EC53FCB" w:rsidRPr="29C9880E">
        <w:rPr>
          <w:szCs w:val="22"/>
        </w:rPr>
        <w:t>Regulation</w:t>
      </w:r>
      <w:r w:rsidR="193D269B" w:rsidRPr="29C9880E">
        <w:rPr>
          <w:szCs w:val="22"/>
        </w:rPr>
        <w:t xml:space="preserve"> (</w:t>
      </w:r>
      <w:r w:rsidR="1BD7EA75" w:rsidRPr="29C9880E">
        <w:rPr>
          <w:szCs w:val="22"/>
        </w:rPr>
        <w:t xml:space="preserve">EU </w:t>
      </w:r>
      <w:r w:rsidR="22CFEBA4" w:rsidRPr="29C9880E">
        <w:rPr>
          <w:szCs w:val="22"/>
        </w:rPr>
        <w:t>Regulation 528/12)</w:t>
      </w:r>
      <w:r w:rsidR="7F6C289F" w:rsidRPr="29C9880E">
        <w:rPr>
          <w:szCs w:val="22"/>
        </w:rPr>
        <w:t xml:space="preserve"> (GB BPR)</w:t>
      </w:r>
      <w:r w:rsidR="22CFEBA4" w:rsidRPr="29C9880E">
        <w:rPr>
          <w:szCs w:val="22"/>
        </w:rPr>
        <w:t xml:space="preserve"> </w:t>
      </w:r>
      <w:r w:rsidR="4FBF6AF5" w:rsidRPr="29C9880E">
        <w:rPr>
          <w:szCs w:val="22"/>
        </w:rPr>
        <w:t>contain the</w:t>
      </w:r>
      <w:r w:rsidR="46A9A7B0" w:rsidRPr="29C9880E">
        <w:rPr>
          <w:szCs w:val="22"/>
        </w:rPr>
        <w:t xml:space="preserve"> information requirements for active substances </w:t>
      </w:r>
      <w:r w:rsidR="63F2020E" w:rsidRPr="29C9880E">
        <w:rPr>
          <w:szCs w:val="22"/>
        </w:rPr>
        <w:t xml:space="preserve">(Annex II) </w:t>
      </w:r>
      <w:r w:rsidR="46A9A7B0" w:rsidRPr="29C9880E">
        <w:rPr>
          <w:szCs w:val="22"/>
        </w:rPr>
        <w:t>and biocidal products</w:t>
      </w:r>
      <w:r w:rsidR="23307B34" w:rsidRPr="29C9880E">
        <w:rPr>
          <w:szCs w:val="22"/>
        </w:rPr>
        <w:t xml:space="preserve"> (Annex III).</w:t>
      </w:r>
    </w:p>
    <w:p w14:paraId="576BC819" w14:textId="10BA015B" w:rsidR="29C9880E" w:rsidRDefault="29C9880E" w:rsidP="29C9880E">
      <w:pPr>
        <w:pStyle w:val="IATableLines"/>
        <w:rPr>
          <w:szCs w:val="22"/>
        </w:rPr>
      </w:pPr>
    </w:p>
    <w:p w14:paraId="1BDB86D8" w14:textId="18DEAC6C" w:rsidR="46A9A7B0" w:rsidRDefault="46A9A7B0" w:rsidP="00C02780">
      <w:pPr>
        <w:pStyle w:val="IATableLines"/>
        <w:numPr>
          <w:ilvl w:val="0"/>
          <w:numId w:val="34"/>
        </w:numPr>
        <w:rPr>
          <w:szCs w:val="22"/>
        </w:rPr>
      </w:pPr>
      <w:r w:rsidRPr="29C9880E">
        <w:rPr>
          <w:szCs w:val="22"/>
        </w:rPr>
        <w:t>On 26 March 2021 EU Regulation 2021/525 was published in the Official Journal with amendments to Annexes II and III of the EU Biocidal Products Regulation (EU BPR) for EU-27 countries and Northern Ireland with effect from 15 April 2022.</w:t>
      </w:r>
    </w:p>
    <w:p w14:paraId="26950970" w14:textId="57BF9FCC" w:rsidR="29C9880E" w:rsidRDefault="29C9880E" w:rsidP="29C9880E">
      <w:pPr>
        <w:pStyle w:val="IATableLines"/>
        <w:rPr>
          <w:szCs w:val="22"/>
        </w:rPr>
      </w:pPr>
    </w:p>
    <w:p w14:paraId="09E3EF95" w14:textId="6E0CF0F3" w:rsidR="46A9A7B0" w:rsidRPr="00C02780" w:rsidRDefault="46A9A7B0" w:rsidP="00C02780">
      <w:pPr>
        <w:pStyle w:val="ListParagraph"/>
        <w:numPr>
          <w:ilvl w:val="0"/>
          <w:numId w:val="34"/>
        </w:numPr>
        <w:ind w:right="115"/>
        <w:rPr>
          <w:sz w:val="22"/>
          <w:szCs w:val="22"/>
        </w:rPr>
      </w:pPr>
      <w:r w:rsidRPr="00C02780">
        <w:rPr>
          <w:sz w:val="22"/>
          <w:szCs w:val="22"/>
        </w:rPr>
        <w:t>This EU Regulation does not apply to Great Britain (GB), where a separate retained Biocidal Products Regulation (GB BPR) applies. HSE specialists were involved in developing the updated data requirements while the UK was still in the EU. Having considered the amendments from a GB perspective, operational and specialist colleagues now believe that GB BPR should be modified to adopt changes which meet the needs of GB.</w:t>
      </w:r>
    </w:p>
    <w:p w14:paraId="26FA8FA0" w14:textId="13D28F12" w:rsidR="29C9880E" w:rsidRDefault="29C9880E" w:rsidP="29C9880E">
      <w:pPr>
        <w:pStyle w:val="IATableLines"/>
        <w:rPr>
          <w:szCs w:val="22"/>
        </w:rPr>
      </w:pPr>
    </w:p>
    <w:p w14:paraId="26381033" w14:textId="72E68457" w:rsidR="6516F882" w:rsidRDefault="6516F882" w:rsidP="00C02780">
      <w:pPr>
        <w:pStyle w:val="IATableLines"/>
        <w:numPr>
          <w:ilvl w:val="0"/>
          <w:numId w:val="34"/>
        </w:numPr>
        <w:rPr>
          <w:rFonts w:eastAsia="Arial" w:cs="Arial"/>
          <w:szCs w:val="22"/>
        </w:rPr>
      </w:pPr>
      <w:r w:rsidRPr="29C9880E">
        <w:rPr>
          <w:rFonts w:eastAsia="Arial" w:cs="Arial"/>
          <w:szCs w:val="22"/>
        </w:rPr>
        <w:t xml:space="preserve">These amendments </w:t>
      </w:r>
      <w:r w:rsidR="0499A4AC" w:rsidRPr="29C9880E">
        <w:rPr>
          <w:rFonts w:eastAsia="Arial" w:cs="Arial"/>
          <w:szCs w:val="22"/>
        </w:rPr>
        <w:t>includ</w:t>
      </w:r>
      <w:r w:rsidR="0FBF6037" w:rsidRPr="29C9880E">
        <w:rPr>
          <w:rFonts w:eastAsia="Arial" w:cs="Arial"/>
          <w:szCs w:val="22"/>
        </w:rPr>
        <w:t>e</w:t>
      </w:r>
      <w:r w:rsidR="0499A4AC" w:rsidRPr="29C9880E">
        <w:rPr>
          <w:rFonts w:eastAsia="Arial" w:cs="Arial"/>
          <w:szCs w:val="22"/>
        </w:rPr>
        <w:t xml:space="preserve"> adopting new testing methods and encouraging the use of in vitro studies rather than in vivo animal studies</w:t>
      </w:r>
      <w:r w:rsidR="028A1E2B" w:rsidRPr="29C9880E">
        <w:rPr>
          <w:rFonts w:eastAsia="Arial" w:cs="Arial"/>
          <w:szCs w:val="22"/>
        </w:rPr>
        <w:t>, in order to keep pace with scientific and technical progress.</w:t>
      </w:r>
      <w:r w:rsidR="00AE1C8C">
        <w:rPr>
          <w:rFonts w:eastAsia="Arial" w:cs="Arial"/>
          <w:szCs w:val="22"/>
        </w:rPr>
        <w:t xml:space="preserve"> In vi</w:t>
      </w:r>
      <w:r w:rsidR="00D001B4">
        <w:rPr>
          <w:rFonts w:eastAsia="Arial" w:cs="Arial"/>
          <w:szCs w:val="22"/>
        </w:rPr>
        <w:t>v</w:t>
      </w:r>
      <w:r w:rsidR="00AE1C8C">
        <w:rPr>
          <w:rFonts w:eastAsia="Arial" w:cs="Arial"/>
          <w:szCs w:val="22"/>
        </w:rPr>
        <w:t xml:space="preserve">o </w:t>
      </w:r>
      <w:r w:rsidR="00ED4D0F">
        <w:rPr>
          <w:rFonts w:eastAsia="Arial" w:cs="Arial"/>
          <w:szCs w:val="22"/>
        </w:rPr>
        <w:t xml:space="preserve">(‘in the body’) </w:t>
      </w:r>
      <w:r w:rsidR="00AE1C8C">
        <w:rPr>
          <w:rFonts w:eastAsia="Arial" w:cs="Arial"/>
          <w:szCs w:val="22"/>
        </w:rPr>
        <w:t>testing</w:t>
      </w:r>
      <w:r w:rsidR="00ED4D0F">
        <w:rPr>
          <w:rFonts w:eastAsia="Arial" w:cs="Arial"/>
          <w:szCs w:val="22"/>
        </w:rPr>
        <w:t xml:space="preserve"> is performed using live animals, whereas in vitro </w:t>
      </w:r>
      <w:r w:rsidR="00231584">
        <w:rPr>
          <w:rFonts w:eastAsia="Arial" w:cs="Arial"/>
          <w:szCs w:val="22"/>
        </w:rPr>
        <w:t xml:space="preserve">(‘in glass’) testing is performed using </w:t>
      </w:r>
      <w:r w:rsidR="002E47B2">
        <w:rPr>
          <w:rFonts w:eastAsia="Arial" w:cs="Arial"/>
          <w:szCs w:val="22"/>
        </w:rPr>
        <w:t xml:space="preserve">cell samples </w:t>
      </w:r>
      <w:r w:rsidR="00754300">
        <w:rPr>
          <w:rFonts w:eastAsia="Arial" w:cs="Arial"/>
          <w:szCs w:val="22"/>
        </w:rPr>
        <w:t xml:space="preserve">or </w:t>
      </w:r>
      <w:r w:rsidR="008F5263">
        <w:rPr>
          <w:rFonts w:eastAsia="Arial" w:cs="Arial"/>
          <w:szCs w:val="22"/>
        </w:rPr>
        <w:t xml:space="preserve">other techniques that do not involve live animal testing. </w:t>
      </w:r>
      <w:r w:rsidR="00CB2BA2">
        <w:rPr>
          <w:rFonts w:eastAsia="Arial" w:cs="Arial"/>
          <w:szCs w:val="22"/>
        </w:rPr>
        <w:t xml:space="preserve"> In most cases the new tests replace old ones, but there is one </w:t>
      </w:r>
      <w:r w:rsidR="00D71E09">
        <w:rPr>
          <w:rFonts w:eastAsia="Arial" w:cs="Arial"/>
          <w:szCs w:val="22"/>
        </w:rPr>
        <w:t xml:space="preserve">new test </w:t>
      </w:r>
      <w:r w:rsidR="00CB2BA2">
        <w:rPr>
          <w:rFonts w:eastAsia="Arial" w:cs="Arial"/>
          <w:szCs w:val="22"/>
        </w:rPr>
        <w:t>(</w:t>
      </w:r>
      <w:r w:rsidR="00D71E09">
        <w:rPr>
          <w:rFonts w:eastAsia="Arial" w:cs="Arial"/>
          <w:szCs w:val="22"/>
        </w:rPr>
        <w:t xml:space="preserve">the </w:t>
      </w:r>
      <w:r w:rsidR="00CB2BA2">
        <w:rPr>
          <w:rFonts w:eastAsia="Arial" w:cs="Arial"/>
          <w:szCs w:val="22"/>
        </w:rPr>
        <w:t xml:space="preserve">Developmental Neurotoxicity Test) which </w:t>
      </w:r>
      <w:r w:rsidR="00D71E09">
        <w:rPr>
          <w:rFonts w:eastAsia="Arial" w:cs="Arial"/>
          <w:szCs w:val="22"/>
        </w:rPr>
        <w:t xml:space="preserve">was </w:t>
      </w:r>
      <w:r w:rsidR="00CB2BA2">
        <w:rPr>
          <w:rFonts w:eastAsia="Arial" w:cs="Arial"/>
          <w:szCs w:val="22"/>
        </w:rPr>
        <w:t>not previously required.</w:t>
      </w:r>
    </w:p>
    <w:p w14:paraId="4C838D6E" w14:textId="4D6DFA23" w:rsidR="29C9880E" w:rsidRDefault="29C9880E" w:rsidP="29C9880E">
      <w:pPr>
        <w:rPr>
          <w:i/>
          <w:iCs/>
          <w:lang w:eastAsia="en-GB"/>
        </w:rPr>
      </w:pPr>
    </w:p>
    <w:p w14:paraId="6BA01A82" w14:textId="74961EAB" w:rsidR="00D64409" w:rsidRPr="008C6C40" w:rsidRDefault="00D64409" w:rsidP="001A26EC">
      <w:pPr>
        <w:pStyle w:val="Heading2"/>
      </w:pPr>
      <w:r w:rsidRPr="008C6C40">
        <w:t>Rationale and evidence to justify the level of analysis used in the IA (proportionality approach)</w:t>
      </w:r>
    </w:p>
    <w:p w14:paraId="78000E3F" w14:textId="5042424E" w:rsidR="47B6537F" w:rsidRDefault="47B6537F" w:rsidP="47B6537F">
      <w:pPr>
        <w:rPr>
          <w:rFonts w:eastAsia="Arial" w:cs="Arial"/>
          <w:i/>
          <w:iCs/>
          <w:sz w:val="22"/>
          <w:szCs w:val="22"/>
          <w:lang w:eastAsia="en-GB"/>
        </w:rPr>
      </w:pPr>
    </w:p>
    <w:p w14:paraId="2DB3C0BC" w14:textId="31A0A0B1" w:rsidR="002D2688" w:rsidRPr="00F008FD" w:rsidRDefault="00CE7024" w:rsidP="00F148A4">
      <w:pPr>
        <w:pStyle w:val="ListParagraph"/>
        <w:numPr>
          <w:ilvl w:val="0"/>
          <w:numId w:val="34"/>
        </w:numPr>
        <w:rPr>
          <w:rFonts w:eastAsia="Calibri" w:cs="Arial"/>
          <w:sz w:val="22"/>
          <w:szCs w:val="22"/>
        </w:rPr>
      </w:pPr>
      <w:r w:rsidRPr="00F008FD">
        <w:rPr>
          <w:rFonts w:eastAsia="Calibri" w:cs="Arial"/>
          <w:sz w:val="22"/>
          <w:szCs w:val="22"/>
        </w:rPr>
        <w:t>The evidence used in th</w:t>
      </w:r>
      <w:r w:rsidR="001205AE">
        <w:rPr>
          <w:rFonts w:eastAsia="Calibri" w:cs="Arial"/>
          <w:sz w:val="22"/>
          <w:szCs w:val="22"/>
        </w:rPr>
        <w:t>is consultation stage</w:t>
      </w:r>
      <w:r w:rsidRPr="00F008FD">
        <w:rPr>
          <w:rFonts w:eastAsia="Calibri" w:cs="Arial"/>
          <w:sz w:val="22"/>
          <w:szCs w:val="22"/>
        </w:rPr>
        <w:t xml:space="preserve"> Impact Assessment </w:t>
      </w:r>
      <w:r w:rsidR="00CA026A" w:rsidRPr="00F008FD">
        <w:rPr>
          <w:rFonts w:eastAsia="Calibri" w:cs="Arial"/>
          <w:sz w:val="22"/>
          <w:szCs w:val="22"/>
        </w:rPr>
        <w:t xml:space="preserve">is </w:t>
      </w:r>
      <w:r w:rsidR="000723CF">
        <w:rPr>
          <w:rFonts w:eastAsia="Calibri" w:cs="Arial"/>
          <w:sz w:val="22"/>
          <w:szCs w:val="22"/>
        </w:rPr>
        <w:t xml:space="preserve">from </w:t>
      </w:r>
      <w:r w:rsidR="00CA026A" w:rsidRPr="00F008FD">
        <w:rPr>
          <w:rFonts w:eastAsia="Calibri" w:cs="Arial"/>
          <w:sz w:val="22"/>
          <w:szCs w:val="22"/>
        </w:rPr>
        <w:t xml:space="preserve">a combination of </w:t>
      </w:r>
      <w:r w:rsidR="000723CF">
        <w:rPr>
          <w:rFonts w:eastAsia="Calibri" w:cs="Arial"/>
          <w:sz w:val="22"/>
          <w:szCs w:val="22"/>
        </w:rPr>
        <w:t xml:space="preserve">sources.  It includes </w:t>
      </w:r>
      <w:r w:rsidR="00CA026A" w:rsidRPr="00F008FD">
        <w:rPr>
          <w:rFonts w:eastAsia="Calibri" w:cs="Arial"/>
          <w:sz w:val="22"/>
          <w:szCs w:val="22"/>
        </w:rPr>
        <w:t xml:space="preserve">internal estimates of </w:t>
      </w:r>
      <w:r w:rsidR="000C5F20" w:rsidRPr="00F008FD">
        <w:rPr>
          <w:rFonts w:eastAsia="Calibri" w:cs="Arial"/>
          <w:sz w:val="22"/>
          <w:szCs w:val="22"/>
        </w:rPr>
        <w:t>numbers of biocidal products and active substances that are likely to be affected, estimates by HSE experts on the likely costs of testing requirements and internal data</w:t>
      </w:r>
      <w:r w:rsidR="00190A8D">
        <w:rPr>
          <w:rFonts w:eastAsia="Calibri" w:cs="Arial"/>
          <w:sz w:val="22"/>
          <w:szCs w:val="22"/>
        </w:rPr>
        <w:t>.  E</w:t>
      </w:r>
      <w:r w:rsidR="000C5F20" w:rsidRPr="00F008FD">
        <w:rPr>
          <w:rFonts w:eastAsia="Calibri" w:cs="Arial"/>
          <w:sz w:val="22"/>
          <w:szCs w:val="22"/>
        </w:rPr>
        <w:t>stimates of numbers of businesses affected</w:t>
      </w:r>
      <w:r w:rsidR="00661461">
        <w:rPr>
          <w:rFonts w:eastAsia="Calibri" w:cs="Arial"/>
          <w:sz w:val="22"/>
          <w:szCs w:val="22"/>
        </w:rPr>
        <w:t xml:space="preserve">, </w:t>
      </w:r>
      <w:r w:rsidR="00123669" w:rsidRPr="00F008FD">
        <w:rPr>
          <w:rFonts w:eastAsia="Calibri" w:cs="Arial"/>
          <w:sz w:val="22"/>
          <w:szCs w:val="22"/>
        </w:rPr>
        <w:t xml:space="preserve">and likely numbers of businesses who </w:t>
      </w:r>
      <w:r w:rsidR="002D2688" w:rsidRPr="00F008FD">
        <w:rPr>
          <w:rFonts w:eastAsia="Calibri" w:cs="Arial"/>
          <w:sz w:val="22"/>
          <w:szCs w:val="22"/>
        </w:rPr>
        <w:t>will need to comply with EU requirements as well as those in GB</w:t>
      </w:r>
      <w:r w:rsidR="00661461">
        <w:rPr>
          <w:rFonts w:eastAsia="Calibri" w:cs="Arial"/>
          <w:sz w:val="22"/>
          <w:szCs w:val="22"/>
        </w:rPr>
        <w:t xml:space="preserve">, </w:t>
      </w:r>
      <w:r w:rsidR="00190A8D">
        <w:rPr>
          <w:rFonts w:eastAsia="Calibri" w:cs="Arial"/>
          <w:sz w:val="22"/>
          <w:szCs w:val="22"/>
        </w:rPr>
        <w:t xml:space="preserve">have been triangulated from information from </w:t>
      </w:r>
      <w:r w:rsidR="00661461" w:rsidRPr="00F008FD">
        <w:rPr>
          <w:rFonts w:eastAsia="Arial" w:cs="Arial"/>
          <w:sz w:val="22"/>
          <w:szCs w:val="22"/>
        </w:rPr>
        <w:t>chemicals regulation experts; synthesised intelligence from published industry, government and market intelligence sources; and compared published lists of active substances and products that are approved and authorised in GB and the EU</w:t>
      </w:r>
      <w:r w:rsidR="00661461">
        <w:rPr>
          <w:rFonts w:eastAsia="Arial" w:cs="Arial"/>
          <w:sz w:val="22"/>
          <w:szCs w:val="22"/>
        </w:rPr>
        <w:t xml:space="preserve"> (see paragraph </w:t>
      </w:r>
      <w:r w:rsidR="009E6391">
        <w:rPr>
          <w:rFonts w:eastAsia="Arial" w:cs="Arial"/>
          <w:sz w:val="22"/>
          <w:szCs w:val="22"/>
        </w:rPr>
        <w:fldChar w:fldCharType="begin"/>
      </w:r>
      <w:r w:rsidR="009E6391">
        <w:rPr>
          <w:rFonts w:eastAsia="Arial" w:cs="Arial"/>
          <w:sz w:val="22"/>
          <w:szCs w:val="22"/>
        </w:rPr>
        <w:instrText xml:space="preserve"> REF _Ref114557003 \r \h </w:instrText>
      </w:r>
      <w:r w:rsidR="009E6391">
        <w:rPr>
          <w:rFonts w:eastAsia="Arial" w:cs="Arial"/>
          <w:sz w:val="22"/>
          <w:szCs w:val="22"/>
        </w:rPr>
      </w:r>
      <w:r w:rsidR="009E6391">
        <w:rPr>
          <w:rFonts w:eastAsia="Arial" w:cs="Arial"/>
          <w:sz w:val="22"/>
          <w:szCs w:val="22"/>
        </w:rPr>
        <w:fldChar w:fldCharType="separate"/>
      </w:r>
      <w:r w:rsidR="009E6391">
        <w:rPr>
          <w:rFonts w:eastAsia="Arial" w:cs="Arial"/>
          <w:sz w:val="22"/>
          <w:szCs w:val="22"/>
        </w:rPr>
        <w:t>25</w:t>
      </w:r>
      <w:r w:rsidR="009E6391">
        <w:rPr>
          <w:rFonts w:eastAsia="Arial" w:cs="Arial"/>
          <w:sz w:val="22"/>
          <w:szCs w:val="22"/>
        </w:rPr>
        <w:fldChar w:fldCharType="end"/>
      </w:r>
      <w:r w:rsidR="00661461">
        <w:rPr>
          <w:rFonts w:eastAsia="Arial" w:cs="Arial"/>
          <w:sz w:val="22"/>
          <w:szCs w:val="22"/>
        </w:rPr>
        <w:t>)</w:t>
      </w:r>
      <w:r w:rsidR="000C5F20" w:rsidRPr="00F008FD">
        <w:rPr>
          <w:rFonts w:eastAsia="Calibri" w:cs="Arial"/>
          <w:sz w:val="22"/>
          <w:szCs w:val="22"/>
        </w:rPr>
        <w:t>.</w:t>
      </w:r>
    </w:p>
    <w:p w14:paraId="64E79398" w14:textId="77777777" w:rsidR="002D2688" w:rsidRPr="00F008FD" w:rsidRDefault="002D2688" w:rsidP="00C02780">
      <w:pPr>
        <w:pStyle w:val="ListParagraph"/>
        <w:ind w:left="473"/>
        <w:rPr>
          <w:rFonts w:eastAsia="Calibri" w:cs="Arial"/>
          <w:sz w:val="22"/>
          <w:szCs w:val="22"/>
        </w:rPr>
      </w:pPr>
    </w:p>
    <w:p w14:paraId="0DC212B4" w14:textId="3FC0E2F8" w:rsidR="47B6537F" w:rsidRPr="00F008FD" w:rsidRDefault="00532D38" w:rsidP="00F148A4">
      <w:pPr>
        <w:pStyle w:val="ListParagraph"/>
        <w:numPr>
          <w:ilvl w:val="0"/>
          <w:numId w:val="34"/>
        </w:numPr>
        <w:rPr>
          <w:rFonts w:eastAsia="Calibri" w:cs="Arial"/>
          <w:sz w:val="22"/>
          <w:szCs w:val="22"/>
        </w:rPr>
      </w:pPr>
      <w:r w:rsidRPr="00F008FD">
        <w:rPr>
          <w:rFonts w:eastAsia="Calibri" w:cs="Arial"/>
          <w:sz w:val="22"/>
          <w:szCs w:val="22"/>
        </w:rPr>
        <w:t xml:space="preserve">We have not sought to </w:t>
      </w:r>
      <w:r w:rsidR="00EF564B" w:rsidRPr="00F008FD">
        <w:rPr>
          <w:rFonts w:eastAsia="Calibri" w:cs="Arial"/>
          <w:sz w:val="22"/>
          <w:szCs w:val="22"/>
        </w:rPr>
        <w:t xml:space="preserve">gather additional data </w:t>
      </w:r>
      <w:r w:rsidR="00626581" w:rsidRPr="00F008FD">
        <w:rPr>
          <w:rFonts w:eastAsia="Calibri" w:cs="Arial"/>
          <w:sz w:val="22"/>
          <w:szCs w:val="22"/>
        </w:rPr>
        <w:t xml:space="preserve">during the development of </w:t>
      </w:r>
      <w:r w:rsidR="001205AE">
        <w:rPr>
          <w:rFonts w:eastAsia="Calibri" w:cs="Arial"/>
          <w:sz w:val="22"/>
          <w:szCs w:val="22"/>
        </w:rPr>
        <w:t xml:space="preserve">this consultation stage </w:t>
      </w:r>
      <w:r w:rsidR="00E01689" w:rsidRPr="00F008FD">
        <w:rPr>
          <w:rFonts w:eastAsia="Calibri" w:cs="Arial"/>
          <w:sz w:val="22"/>
          <w:szCs w:val="22"/>
        </w:rPr>
        <w:t>Impact Assessment</w:t>
      </w:r>
      <w:r w:rsidR="002D2688" w:rsidRPr="00F008FD">
        <w:rPr>
          <w:rFonts w:eastAsia="Calibri" w:cs="Arial"/>
          <w:sz w:val="22"/>
          <w:szCs w:val="22"/>
        </w:rPr>
        <w:t xml:space="preserve">. </w:t>
      </w:r>
      <w:r w:rsidR="00632318" w:rsidRPr="00F008FD">
        <w:rPr>
          <w:rFonts w:eastAsia="Calibri" w:cs="Arial"/>
          <w:sz w:val="22"/>
          <w:szCs w:val="22"/>
        </w:rPr>
        <w:t xml:space="preserve"> This is mainly because </w:t>
      </w:r>
      <w:r w:rsidR="00865740" w:rsidRPr="00F008FD">
        <w:rPr>
          <w:rFonts w:eastAsia="Calibri" w:cs="Arial"/>
          <w:sz w:val="22"/>
          <w:szCs w:val="22"/>
        </w:rPr>
        <w:t xml:space="preserve">in areas where there is less certainty (for example </w:t>
      </w:r>
      <w:r w:rsidR="001C1CAA" w:rsidRPr="00F008FD">
        <w:rPr>
          <w:rFonts w:eastAsia="Calibri" w:cs="Arial"/>
          <w:sz w:val="22"/>
          <w:szCs w:val="22"/>
        </w:rPr>
        <w:t xml:space="preserve">estimating the proportion of businesses which will apply to the EU as well as GB) it is unlikely we could improve on the accuracy </w:t>
      </w:r>
      <w:r w:rsidR="00B00A2C" w:rsidRPr="00F008FD">
        <w:rPr>
          <w:rFonts w:eastAsia="Calibri" w:cs="Arial"/>
          <w:sz w:val="22"/>
          <w:szCs w:val="22"/>
        </w:rPr>
        <w:t xml:space="preserve">of the estimates </w:t>
      </w:r>
      <w:r w:rsidR="001C1CAA" w:rsidRPr="00F008FD">
        <w:rPr>
          <w:rFonts w:eastAsia="Calibri" w:cs="Arial"/>
          <w:sz w:val="22"/>
          <w:szCs w:val="22"/>
        </w:rPr>
        <w:t xml:space="preserve">without </w:t>
      </w:r>
      <w:r w:rsidR="008E4DFE" w:rsidRPr="00F008FD">
        <w:rPr>
          <w:rFonts w:eastAsia="Calibri" w:cs="Arial"/>
          <w:sz w:val="22"/>
          <w:szCs w:val="22"/>
        </w:rPr>
        <w:t xml:space="preserve">incurring </w:t>
      </w:r>
      <w:r w:rsidR="00B02CD8" w:rsidRPr="00F008FD">
        <w:rPr>
          <w:rFonts w:eastAsia="Calibri" w:cs="Arial"/>
          <w:sz w:val="22"/>
          <w:szCs w:val="22"/>
        </w:rPr>
        <w:t xml:space="preserve">substantial costs </w:t>
      </w:r>
      <w:r w:rsidR="00B00A2C" w:rsidRPr="00F008FD">
        <w:rPr>
          <w:rFonts w:eastAsia="Calibri" w:cs="Arial"/>
          <w:sz w:val="22"/>
          <w:szCs w:val="22"/>
        </w:rPr>
        <w:t xml:space="preserve">which are disproportionate to the </w:t>
      </w:r>
      <w:r w:rsidR="006027D3" w:rsidRPr="00F008FD">
        <w:rPr>
          <w:rFonts w:eastAsia="Calibri" w:cs="Arial"/>
          <w:sz w:val="22"/>
          <w:szCs w:val="22"/>
        </w:rPr>
        <w:t xml:space="preserve">costs associated with the </w:t>
      </w:r>
      <w:r w:rsidR="002B237D" w:rsidRPr="00F008FD">
        <w:rPr>
          <w:rFonts w:eastAsia="Calibri" w:cs="Arial"/>
          <w:sz w:val="22"/>
          <w:szCs w:val="22"/>
        </w:rPr>
        <w:t>changes</w:t>
      </w:r>
      <w:r w:rsidR="006D2E8C" w:rsidRPr="00F008FD">
        <w:rPr>
          <w:rFonts w:eastAsia="Calibri" w:cs="Arial"/>
          <w:sz w:val="22"/>
          <w:szCs w:val="22"/>
        </w:rPr>
        <w:t>, which are anticipated to be relatively small</w:t>
      </w:r>
      <w:r w:rsidR="002B237D" w:rsidRPr="00F008FD">
        <w:rPr>
          <w:rFonts w:eastAsia="Calibri" w:cs="Arial"/>
          <w:sz w:val="22"/>
          <w:szCs w:val="22"/>
        </w:rPr>
        <w:t>.</w:t>
      </w:r>
    </w:p>
    <w:p w14:paraId="238359C6" w14:textId="77777777" w:rsidR="00632318" w:rsidRPr="00F008FD" w:rsidRDefault="00632318" w:rsidP="00C02780">
      <w:pPr>
        <w:pStyle w:val="ListParagraph"/>
        <w:rPr>
          <w:rFonts w:eastAsia="Calibri" w:cs="Arial"/>
          <w:sz w:val="22"/>
          <w:szCs w:val="22"/>
        </w:rPr>
      </w:pPr>
    </w:p>
    <w:p w14:paraId="4CDBB388" w14:textId="005FE9E0" w:rsidR="00632318" w:rsidRPr="00F008FD" w:rsidRDefault="00632318" w:rsidP="00C02780">
      <w:pPr>
        <w:pStyle w:val="ListParagraph"/>
        <w:numPr>
          <w:ilvl w:val="0"/>
          <w:numId w:val="34"/>
        </w:numPr>
        <w:rPr>
          <w:rFonts w:eastAsia="Calibri" w:cs="Arial"/>
          <w:sz w:val="22"/>
          <w:szCs w:val="22"/>
        </w:rPr>
      </w:pPr>
      <w:r w:rsidRPr="00F008FD">
        <w:rPr>
          <w:rFonts w:eastAsia="Calibri" w:cs="Arial"/>
          <w:sz w:val="22"/>
          <w:szCs w:val="22"/>
        </w:rPr>
        <w:t xml:space="preserve">The </w:t>
      </w:r>
      <w:r w:rsidR="00865740" w:rsidRPr="00F008FD">
        <w:rPr>
          <w:rFonts w:eastAsia="Calibri" w:cs="Arial"/>
          <w:sz w:val="22"/>
          <w:szCs w:val="22"/>
        </w:rPr>
        <w:t>assumptions will be tested through consultation</w:t>
      </w:r>
      <w:r w:rsidR="00F65B84">
        <w:rPr>
          <w:rFonts w:eastAsia="Calibri" w:cs="Arial"/>
          <w:sz w:val="22"/>
          <w:szCs w:val="22"/>
        </w:rPr>
        <w:t>;</w:t>
      </w:r>
      <w:r w:rsidR="00865740" w:rsidRPr="00F008FD">
        <w:rPr>
          <w:rFonts w:eastAsia="Calibri" w:cs="Arial"/>
          <w:sz w:val="22"/>
          <w:szCs w:val="22"/>
        </w:rPr>
        <w:t xml:space="preserve"> </w:t>
      </w:r>
      <w:r w:rsidR="005C472F" w:rsidRPr="00F008FD">
        <w:rPr>
          <w:rFonts w:eastAsia="Calibri" w:cs="Arial"/>
          <w:sz w:val="22"/>
          <w:szCs w:val="22"/>
        </w:rPr>
        <w:t xml:space="preserve">and we are also commissioning market research on the biocides sector, though this </w:t>
      </w:r>
      <w:r w:rsidR="00F65B84">
        <w:rPr>
          <w:rFonts w:eastAsia="Calibri" w:cs="Arial"/>
          <w:sz w:val="22"/>
          <w:szCs w:val="22"/>
        </w:rPr>
        <w:t xml:space="preserve">latter research </w:t>
      </w:r>
      <w:r w:rsidR="005C472F" w:rsidRPr="00F008FD">
        <w:rPr>
          <w:rFonts w:eastAsia="Calibri" w:cs="Arial"/>
          <w:sz w:val="22"/>
          <w:szCs w:val="22"/>
        </w:rPr>
        <w:t>m</w:t>
      </w:r>
      <w:r w:rsidR="00F65B84">
        <w:rPr>
          <w:rFonts w:eastAsia="Calibri" w:cs="Arial"/>
          <w:sz w:val="22"/>
          <w:szCs w:val="22"/>
        </w:rPr>
        <w:t>ight</w:t>
      </w:r>
      <w:r w:rsidR="005C472F" w:rsidRPr="00F008FD">
        <w:rPr>
          <w:rFonts w:eastAsia="Calibri" w:cs="Arial"/>
          <w:sz w:val="22"/>
          <w:szCs w:val="22"/>
        </w:rPr>
        <w:t xml:space="preserve"> not be complete in time </w:t>
      </w:r>
      <w:r w:rsidR="00CE61C4" w:rsidRPr="00F008FD">
        <w:rPr>
          <w:rFonts w:eastAsia="Calibri" w:cs="Arial"/>
          <w:sz w:val="22"/>
          <w:szCs w:val="22"/>
        </w:rPr>
        <w:t>to inform the development of the final Impact Assessment.</w:t>
      </w:r>
    </w:p>
    <w:p w14:paraId="7BD7B5F6" w14:textId="59F3C3BA" w:rsidR="47B6537F" w:rsidRDefault="47B6537F" w:rsidP="47B6537F">
      <w:pPr>
        <w:rPr>
          <w:i/>
          <w:iCs/>
          <w:lang w:eastAsia="en-GB"/>
        </w:rPr>
      </w:pPr>
    </w:p>
    <w:p w14:paraId="0F175FD0" w14:textId="77777777" w:rsidR="00D64409" w:rsidRPr="008C6C40" w:rsidRDefault="00D64409" w:rsidP="001A26EC">
      <w:pPr>
        <w:pStyle w:val="Heading2"/>
      </w:pPr>
      <w:r w:rsidRPr="008C6C40">
        <w:t>Description of options considered</w:t>
      </w:r>
    </w:p>
    <w:p w14:paraId="27AC84E7" w14:textId="7EC254C0" w:rsidR="2829955D" w:rsidRPr="00F008FD" w:rsidRDefault="2829955D" w:rsidP="00CE4AA4">
      <w:pPr>
        <w:pStyle w:val="Heading3"/>
      </w:pPr>
      <w:r w:rsidRPr="00F008FD">
        <w:t xml:space="preserve">Option </w:t>
      </w:r>
      <w:r w:rsidR="0090030C" w:rsidRPr="00F008FD">
        <w:t>0</w:t>
      </w:r>
      <w:r w:rsidRPr="00F008FD">
        <w:t xml:space="preserve"> – </w:t>
      </w:r>
      <w:r w:rsidR="00382DC5">
        <w:t>business as usual</w:t>
      </w:r>
    </w:p>
    <w:p w14:paraId="2F94AB73" w14:textId="003A4E14" w:rsidR="2829955D" w:rsidRPr="00C02780" w:rsidRDefault="2829955D" w:rsidP="00C02780">
      <w:pPr>
        <w:pStyle w:val="ListParagraph"/>
        <w:numPr>
          <w:ilvl w:val="0"/>
          <w:numId w:val="34"/>
        </w:numPr>
        <w:spacing w:after="120"/>
        <w:rPr>
          <w:rFonts w:eastAsia="Arial" w:cs="Arial"/>
          <w:sz w:val="22"/>
          <w:szCs w:val="22"/>
        </w:rPr>
      </w:pPr>
      <w:r w:rsidRPr="00C02780">
        <w:rPr>
          <w:rFonts w:eastAsia="Arial" w:cs="Arial"/>
          <w:sz w:val="22"/>
          <w:szCs w:val="22"/>
        </w:rPr>
        <w:t xml:space="preserve">The default option in any comparison is </w:t>
      </w:r>
      <w:r w:rsidR="00320B86">
        <w:rPr>
          <w:rFonts w:eastAsia="Arial" w:cs="Arial"/>
          <w:sz w:val="22"/>
          <w:szCs w:val="22"/>
        </w:rPr>
        <w:t>‘business as usual’</w:t>
      </w:r>
      <w:r w:rsidRPr="00C02780">
        <w:rPr>
          <w:rFonts w:eastAsia="Arial" w:cs="Arial"/>
          <w:sz w:val="22"/>
          <w:szCs w:val="22"/>
        </w:rPr>
        <w:t>. EU Regulation 2021/525 would then only apply to Northern Ireland.</w:t>
      </w:r>
    </w:p>
    <w:p w14:paraId="421749E6" w14:textId="731C20BC" w:rsidR="0090030C" w:rsidRPr="00F008FD" w:rsidRDefault="0090030C" w:rsidP="00F008FD">
      <w:pPr>
        <w:pStyle w:val="Heading3"/>
      </w:pPr>
      <w:r w:rsidRPr="00F008FD">
        <w:lastRenderedPageBreak/>
        <w:t>Option 1 – GB SI with tailored changes (where we agree) to GB Annexes II and III</w:t>
      </w:r>
    </w:p>
    <w:p w14:paraId="127AD606" w14:textId="29830069" w:rsidR="0090030C" w:rsidRDefault="0090030C" w:rsidP="00C02780">
      <w:pPr>
        <w:pStyle w:val="ListParagraph"/>
        <w:numPr>
          <w:ilvl w:val="0"/>
          <w:numId w:val="34"/>
        </w:numPr>
        <w:spacing w:after="120"/>
        <w:rPr>
          <w:rFonts w:eastAsia="Arial" w:cs="Arial"/>
          <w:sz w:val="22"/>
          <w:szCs w:val="22"/>
        </w:rPr>
      </w:pPr>
      <w:r w:rsidRPr="00C02780">
        <w:rPr>
          <w:rFonts w:eastAsia="Arial" w:cs="Arial"/>
          <w:sz w:val="22"/>
          <w:szCs w:val="22"/>
        </w:rPr>
        <w:t>Prepare a GB SI making most of the changes to Annexes II and III that the EU made but omitting those aspects with which GB does not agree. HSE disagrees with the need to change the requirements to include obligatory developmental neurotoxicity studies and the need for data to demonstrate the efficacy of treated articles.</w:t>
      </w:r>
    </w:p>
    <w:p w14:paraId="3DA53120" w14:textId="77777777" w:rsidR="00B32840" w:rsidRPr="00C02780" w:rsidRDefault="00B32840" w:rsidP="00F008FD">
      <w:pPr>
        <w:pStyle w:val="ListParagraph"/>
        <w:spacing w:after="120"/>
        <w:ind w:left="473"/>
        <w:rPr>
          <w:rFonts w:eastAsia="Arial" w:cs="Arial"/>
          <w:sz w:val="22"/>
          <w:szCs w:val="22"/>
        </w:rPr>
      </w:pPr>
    </w:p>
    <w:p w14:paraId="02F31272" w14:textId="3291193B" w:rsidR="0090030C" w:rsidRPr="00C02780" w:rsidRDefault="005E7C48" w:rsidP="00C02780">
      <w:pPr>
        <w:pStyle w:val="ListParagraph"/>
        <w:numPr>
          <w:ilvl w:val="0"/>
          <w:numId w:val="34"/>
        </w:numPr>
        <w:spacing w:after="120"/>
        <w:rPr>
          <w:rFonts w:eastAsia="Arial" w:cs="Arial"/>
          <w:sz w:val="22"/>
          <w:szCs w:val="22"/>
        </w:rPr>
      </w:pPr>
      <w:r w:rsidRPr="00C02780">
        <w:rPr>
          <w:rFonts w:eastAsia="Arial" w:cs="Arial"/>
          <w:sz w:val="22"/>
          <w:szCs w:val="22"/>
        </w:rPr>
        <w:t>O</w:t>
      </w:r>
      <w:r w:rsidR="0090030C" w:rsidRPr="00C02780">
        <w:rPr>
          <w:rFonts w:eastAsia="Arial" w:cs="Arial"/>
          <w:sz w:val="22"/>
          <w:szCs w:val="22"/>
        </w:rPr>
        <w:t>ther options were considered at the policy development stage but have been rejected and are not assessed further in this IA.  They include:</w:t>
      </w:r>
    </w:p>
    <w:p w14:paraId="29E92CC0" w14:textId="164EC2C6" w:rsidR="00643DD2" w:rsidRDefault="00643DD2" w:rsidP="00C64E09">
      <w:pPr>
        <w:pStyle w:val="Heading3"/>
      </w:pPr>
      <w:r>
        <w:t>Options considered at policy development stage, but not taken further</w:t>
      </w:r>
    </w:p>
    <w:p w14:paraId="64035322" w14:textId="5352C4D1" w:rsidR="00764034" w:rsidRPr="00C02780" w:rsidRDefault="00764034" w:rsidP="00F008FD">
      <w:pPr>
        <w:pStyle w:val="ListParagraph"/>
        <w:numPr>
          <w:ilvl w:val="0"/>
          <w:numId w:val="34"/>
        </w:numPr>
        <w:spacing w:after="120"/>
        <w:rPr>
          <w:rFonts w:eastAsia="Arial" w:cs="Arial"/>
          <w:sz w:val="22"/>
          <w:szCs w:val="22"/>
        </w:rPr>
      </w:pPr>
      <w:r w:rsidRPr="00C02780">
        <w:rPr>
          <w:rFonts w:eastAsia="Arial" w:cs="Arial"/>
          <w:sz w:val="22"/>
          <w:szCs w:val="22"/>
        </w:rPr>
        <w:t>Other options were considered at the policy development stage but have been rejected and are not assessed further in this IA. They include:</w:t>
      </w:r>
    </w:p>
    <w:p w14:paraId="324E1323" w14:textId="119B23DD" w:rsidR="2829955D" w:rsidRPr="00841B56" w:rsidRDefault="2829955D" w:rsidP="00F008FD">
      <w:pPr>
        <w:pStyle w:val="Heading4"/>
        <w:numPr>
          <w:ilvl w:val="0"/>
          <w:numId w:val="37"/>
        </w:numPr>
        <w:rPr>
          <w:rFonts w:eastAsia="Arial"/>
        </w:rPr>
      </w:pPr>
      <w:r w:rsidRPr="00F008FD">
        <w:t>GB SI mirroring EU changes</w:t>
      </w:r>
      <w:r w:rsidR="001C3E7F">
        <w:t xml:space="preserve">: </w:t>
      </w:r>
      <w:r w:rsidRPr="00F008FD">
        <w:rPr>
          <w:rFonts w:eastAsia="Arial"/>
          <w:b w:val="0"/>
        </w:rPr>
        <w:t>Prepare a GB SI making exactly the same changes to Annexes II and III as were made in the EU. The only exception to this would be if something was inoperable, e.g. a reference to an EU database to which GB does not have access or an inappropriate cross-reference in the context of GB BPR.</w:t>
      </w:r>
      <w:r w:rsidR="00B2698F" w:rsidRPr="00F008FD">
        <w:rPr>
          <w:rFonts w:eastAsia="Arial"/>
          <w:b w:val="0"/>
        </w:rPr>
        <w:t xml:space="preserve">  This </w:t>
      </w:r>
      <w:r w:rsidR="00913FE1" w:rsidRPr="00F008FD">
        <w:rPr>
          <w:rFonts w:eastAsia="Arial"/>
          <w:b w:val="0"/>
        </w:rPr>
        <w:t xml:space="preserve">option has not been </w:t>
      </w:r>
      <w:r w:rsidR="00B94CF1" w:rsidRPr="00F008FD">
        <w:rPr>
          <w:rFonts w:eastAsia="Arial"/>
          <w:b w:val="0"/>
        </w:rPr>
        <w:t xml:space="preserve">pursued </w:t>
      </w:r>
      <w:r w:rsidR="00913FE1" w:rsidRPr="00F008FD">
        <w:rPr>
          <w:rFonts w:eastAsia="Arial"/>
          <w:b w:val="0"/>
        </w:rPr>
        <w:t xml:space="preserve">as </w:t>
      </w:r>
      <w:r w:rsidR="00ED2526" w:rsidRPr="00F008FD">
        <w:rPr>
          <w:rFonts w:eastAsia="Arial"/>
          <w:b w:val="0"/>
        </w:rPr>
        <w:t xml:space="preserve">there are </w:t>
      </w:r>
      <w:r w:rsidR="009A7C34" w:rsidRPr="00F008FD">
        <w:rPr>
          <w:rFonts w:eastAsia="Arial"/>
          <w:b w:val="0"/>
        </w:rPr>
        <w:t xml:space="preserve">a small number of </w:t>
      </w:r>
      <w:r w:rsidR="00ED2526" w:rsidRPr="00F008FD">
        <w:rPr>
          <w:rFonts w:eastAsia="Arial"/>
          <w:b w:val="0"/>
        </w:rPr>
        <w:t xml:space="preserve">areas </w:t>
      </w:r>
      <w:r w:rsidR="009A7C34" w:rsidRPr="00F008FD">
        <w:rPr>
          <w:rFonts w:eastAsia="Arial"/>
          <w:b w:val="0"/>
        </w:rPr>
        <w:t>where HSE does not agree with the EU’s changes</w:t>
      </w:r>
      <w:r w:rsidR="00D83583">
        <w:rPr>
          <w:rFonts w:eastAsia="Arial"/>
          <w:b w:val="0"/>
        </w:rPr>
        <w:t xml:space="preserve">.  This is </w:t>
      </w:r>
      <w:r w:rsidR="00DF3C2F">
        <w:rPr>
          <w:rFonts w:eastAsia="Arial"/>
          <w:b w:val="0"/>
        </w:rPr>
        <w:t xml:space="preserve">either </w:t>
      </w:r>
      <w:r w:rsidR="00D83583">
        <w:rPr>
          <w:rFonts w:eastAsia="Arial"/>
          <w:b w:val="0"/>
        </w:rPr>
        <w:t xml:space="preserve">because </w:t>
      </w:r>
      <w:r w:rsidR="00ED6BC4">
        <w:rPr>
          <w:rFonts w:eastAsia="Arial"/>
          <w:b w:val="0"/>
        </w:rPr>
        <w:t xml:space="preserve">HSE experts consider </w:t>
      </w:r>
      <w:r w:rsidR="003334C0">
        <w:rPr>
          <w:rFonts w:eastAsia="Arial"/>
          <w:b w:val="0"/>
        </w:rPr>
        <w:t xml:space="preserve">the data </w:t>
      </w:r>
      <w:r w:rsidR="00A30E0A">
        <w:rPr>
          <w:rFonts w:eastAsia="Arial"/>
          <w:b w:val="0"/>
        </w:rPr>
        <w:t xml:space="preserve">required </w:t>
      </w:r>
      <w:r w:rsidR="00D83583">
        <w:rPr>
          <w:rFonts w:eastAsia="Arial"/>
          <w:b w:val="0"/>
        </w:rPr>
        <w:t xml:space="preserve">by the EU </w:t>
      </w:r>
      <w:r w:rsidR="003334C0">
        <w:rPr>
          <w:rFonts w:eastAsia="Arial"/>
          <w:b w:val="0"/>
        </w:rPr>
        <w:t xml:space="preserve">is not needed </w:t>
      </w:r>
      <w:r w:rsidR="00A30E0A">
        <w:rPr>
          <w:rFonts w:eastAsia="Arial"/>
          <w:b w:val="0"/>
        </w:rPr>
        <w:t>to effectively conduct the evaluation</w:t>
      </w:r>
      <w:r w:rsidR="008644E5">
        <w:rPr>
          <w:rFonts w:eastAsia="Arial"/>
          <w:b w:val="0"/>
        </w:rPr>
        <w:t xml:space="preserve">, or that the test requirements can be </w:t>
      </w:r>
      <w:r w:rsidR="00DF3C2F">
        <w:rPr>
          <w:rFonts w:eastAsia="Arial"/>
          <w:b w:val="0"/>
        </w:rPr>
        <w:t xml:space="preserve">made more targeted </w:t>
      </w:r>
      <w:r w:rsidR="000E4DC3">
        <w:rPr>
          <w:rFonts w:eastAsia="Arial"/>
          <w:b w:val="0"/>
        </w:rPr>
        <w:t>to reduce testing on animals</w:t>
      </w:r>
      <w:r w:rsidR="00DF3C2F">
        <w:rPr>
          <w:rFonts w:eastAsia="Arial"/>
          <w:b w:val="0"/>
        </w:rPr>
        <w:t xml:space="preserve">, or </w:t>
      </w:r>
      <w:r w:rsidR="008644E5">
        <w:rPr>
          <w:rFonts w:eastAsia="Arial"/>
          <w:b w:val="0"/>
        </w:rPr>
        <w:t xml:space="preserve">in one case </w:t>
      </w:r>
      <w:r w:rsidR="000E4DC3">
        <w:rPr>
          <w:rFonts w:eastAsia="Arial"/>
          <w:b w:val="0"/>
        </w:rPr>
        <w:t>that some additional information is needed to inform evaluations</w:t>
      </w:r>
      <w:r w:rsidR="006B0B8B">
        <w:rPr>
          <w:rFonts w:eastAsia="Arial"/>
          <w:b w:val="0"/>
        </w:rPr>
        <w:t>.</w:t>
      </w:r>
      <w:r w:rsidR="003641DB">
        <w:rPr>
          <w:rFonts w:eastAsia="Arial"/>
          <w:b w:val="0"/>
        </w:rPr>
        <w:t xml:space="preserve"> </w:t>
      </w:r>
      <w:r w:rsidR="007716CB" w:rsidRPr="00F008FD">
        <w:rPr>
          <w:rFonts w:eastAsia="Arial"/>
          <w:b w:val="0"/>
        </w:rPr>
        <w:t>T</w:t>
      </w:r>
      <w:r w:rsidR="00B94CF1" w:rsidRPr="00F008FD">
        <w:rPr>
          <w:rFonts w:eastAsia="Arial"/>
          <w:b w:val="0"/>
        </w:rPr>
        <w:t xml:space="preserve">he opportunity would be missed to </w:t>
      </w:r>
      <w:r w:rsidR="00751046" w:rsidRPr="00F008FD">
        <w:rPr>
          <w:rFonts w:eastAsia="Arial"/>
          <w:b w:val="0"/>
        </w:rPr>
        <w:t xml:space="preserve">adopt changes </w:t>
      </w:r>
      <w:r w:rsidR="009C19B3" w:rsidRPr="00F008FD">
        <w:rPr>
          <w:rFonts w:eastAsia="Arial"/>
          <w:b w:val="0"/>
        </w:rPr>
        <w:t>that fully meet the needs of GB.</w:t>
      </w:r>
      <w:r w:rsidR="000E4DC3">
        <w:rPr>
          <w:rFonts w:eastAsia="Arial"/>
          <w:b w:val="0"/>
        </w:rPr>
        <w:t xml:space="preserve">  Full details are </w:t>
      </w:r>
      <w:r w:rsidR="00165247">
        <w:rPr>
          <w:rFonts w:eastAsia="Arial"/>
          <w:b w:val="0"/>
        </w:rPr>
        <w:t>in Consultation Document CD</w:t>
      </w:r>
      <w:r w:rsidR="00290C0D">
        <w:rPr>
          <w:rFonts w:eastAsia="Arial"/>
          <w:b w:val="0"/>
        </w:rPr>
        <w:t>XXX.</w:t>
      </w:r>
    </w:p>
    <w:p w14:paraId="6BE4BCC6" w14:textId="2F7B31DC" w:rsidR="2829955D" w:rsidRPr="00F008FD" w:rsidRDefault="2829955D" w:rsidP="00F008FD">
      <w:pPr>
        <w:pStyle w:val="Heading4"/>
        <w:numPr>
          <w:ilvl w:val="0"/>
          <w:numId w:val="37"/>
        </w:numPr>
      </w:pPr>
      <w:r w:rsidRPr="00F008FD">
        <w:t xml:space="preserve">Leave GB BPR as is but ask applicants for further information based on guidance only (no </w:t>
      </w:r>
      <w:r w:rsidR="0060523D">
        <w:t>statutory instrument</w:t>
      </w:r>
      <w:r w:rsidRPr="00F008FD">
        <w:t>)</w:t>
      </w:r>
      <w:r w:rsidR="0060523D">
        <w:t xml:space="preserve">: </w:t>
      </w:r>
      <w:r w:rsidRPr="00F008FD">
        <w:rPr>
          <w:b w:val="0"/>
        </w:rPr>
        <w:t>Leave GB BPR unamended and HSE would instead simply rely on publicising any extra information requirements that it agrees with via guidance, probably in the form of content on HSE’s website. Probably we could only encourage submission of the amended data rather than indicate it is strictly required, as it would not be a legal requirement.</w:t>
      </w:r>
      <w:r w:rsidR="004D5F06" w:rsidRPr="00F008FD">
        <w:rPr>
          <w:b w:val="0"/>
        </w:rPr>
        <w:t xml:space="preserve">  This has not been pursued </w:t>
      </w:r>
      <w:r w:rsidR="00BF7885" w:rsidRPr="00F008FD">
        <w:rPr>
          <w:b w:val="0"/>
        </w:rPr>
        <w:t xml:space="preserve">as HSE could not </w:t>
      </w:r>
      <w:r w:rsidR="0020673E">
        <w:rPr>
          <w:b w:val="0"/>
        </w:rPr>
        <w:t xml:space="preserve">legally </w:t>
      </w:r>
      <w:r w:rsidR="00BF7885" w:rsidRPr="00F008FD">
        <w:rPr>
          <w:b w:val="0"/>
        </w:rPr>
        <w:t xml:space="preserve">require submission of data </w:t>
      </w:r>
      <w:r w:rsidR="008D3B16" w:rsidRPr="00F008FD">
        <w:rPr>
          <w:b w:val="0"/>
        </w:rPr>
        <w:t xml:space="preserve">according to the updated requirements, </w:t>
      </w:r>
      <w:r w:rsidR="00157F4A" w:rsidRPr="00F008FD">
        <w:rPr>
          <w:b w:val="0"/>
        </w:rPr>
        <w:t>which could lead to practical problems</w:t>
      </w:r>
      <w:r w:rsidR="006C53CE" w:rsidRPr="00F008FD">
        <w:rPr>
          <w:b w:val="0"/>
        </w:rPr>
        <w:t xml:space="preserve"> if businesses choose not to comply.  I</w:t>
      </w:r>
      <w:r w:rsidR="001223D5" w:rsidRPr="00F008FD">
        <w:rPr>
          <w:b w:val="0"/>
        </w:rPr>
        <w:t xml:space="preserve">t would </w:t>
      </w:r>
      <w:r w:rsidR="00906376" w:rsidRPr="00F008FD">
        <w:rPr>
          <w:b w:val="0"/>
        </w:rPr>
        <w:t xml:space="preserve">also </w:t>
      </w:r>
      <w:r w:rsidR="001223D5" w:rsidRPr="00F008FD">
        <w:rPr>
          <w:b w:val="0"/>
        </w:rPr>
        <w:t xml:space="preserve">mean that </w:t>
      </w:r>
      <w:r w:rsidR="00FB0173" w:rsidRPr="00F008FD">
        <w:rPr>
          <w:b w:val="0"/>
        </w:rPr>
        <w:t xml:space="preserve">changes to </w:t>
      </w:r>
      <w:r w:rsidR="001223D5" w:rsidRPr="00F008FD">
        <w:rPr>
          <w:b w:val="0"/>
        </w:rPr>
        <w:t>reduce animal testing would not be fully implemented in law</w:t>
      </w:r>
      <w:r w:rsidR="00E12687" w:rsidRPr="00F008FD">
        <w:rPr>
          <w:b w:val="0"/>
        </w:rPr>
        <w:t>.</w:t>
      </w:r>
    </w:p>
    <w:p w14:paraId="7E7A3A68" w14:textId="4683F948" w:rsidR="2829955D" w:rsidRDefault="2829955D" w:rsidP="47B6537F">
      <w:pPr>
        <w:spacing w:after="120"/>
        <w:rPr>
          <w:rFonts w:eastAsia="Arial" w:cs="Arial"/>
          <w:sz w:val="22"/>
          <w:szCs w:val="22"/>
        </w:rPr>
      </w:pPr>
    </w:p>
    <w:p w14:paraId="0F3ED6EE" w14:textId="7E8096AD" w:rsidR="00D64409" w:rsidRPr="008C6C40" w:rsidRDefault="00D64409" w:rsidP="001A26EC">
      <w:pPr>
        <w:pStyle w:val="Heading2"/>
      </w:pPr>
      <w:r>
        <w:t>Policy objective</w:t>
      </w:r>
    </w:p>
    <w:p w14:paraId="76ABC3CA" w14:textId="5101253D" w:rsidR="005423C4" w:rsidRDefault="005423C4" w:rsidP="00856AC4">
      <w:pPr>
        <w:spacing w:after="120"/>
      </w:pPr>
    </w:p>
    <w:p w14:paraId="4FA0590C" w14:textId="33FE6F26" w:rsidR="00F1E96C" w:rsidRDefault="00F1E96C" w:rsidP="00856AC4">
      <w:pPr>
        <w:pStyle w:val="IATableLines"/>
        <w:numPr>
          <w:ilvl w:val="0"/>
          <w:numId w:val="34"/>
        </w:numPr>
        <w:spacing w:line="259" w:lineRule="auto"/>
        <w:rPr>
          <w:rFonts w:eastAsia="Arial" w:cs="Arial"/>
          <w:szCs w:val="22"/>
        </w:rPr>
      </w:pPr>
      <w:r>
        <w:t>Current data requirements which must be met by businesses making GB active substance approval and biocidal product authorisation applications are set out in the above-mentioned Annexes. They will be updated to</w:t>
      </w:r>
      <w:r w:rsidRPr="63D0B838">
        <w:rPr>
          <w:rFonts w:eastAsia="Arial" w:cs="Arial"/>
        </w:rPr>
        <w:t xml:space="preserve"> make HSE’s current published data requirement guidance a GB regulatory requirement. This is to enable the GB authority to:</w:t>
      </w:r>
    </w:p>
    <w:p w14:paraId="2F657566" w14:textId="24A99940" w:rsidR="63D0B838" w:rsidRDefault="63D0B838" w:rsidP="63D0B838">
      <w:pPr>
        <w:pStyle w:val="IATableLines"/>
        <w:spacing w:line="259" w:lineRule="auto"/>
        <w:ind w:left="0"/>
      </w:pPr>
    </w:p>
    <w:p w14:paraId="3DA284A7" w14:textId="0FBAC43F" w:rsidR="00F1E96C" w:rsidRDefault="00F1E96C" w:rsidP="00856AC4">
      <w:pPr>
        <w:pStyle w:val="IATableLines"/>
        <w:numPr>
          <w:ilvl w:val="0"/>
          <w:numId w:val="52"/>
        </w:numPr>
        <w:spacing w:line="259" w:lineRule="auto"/>
        <w:rPr>
          <w:szCs w:val="22"/>
        </w:rPr>
      </w:pPr>
      <w:r>
        <w:t>Keep</w:t>
      </w:r>
      <w:r w:rsidRPr="63D0B838">
        <w:rPr>
          <w:rFonts w:eastAsia="Arial" w:cs="Arial"/>
        </w:rPr>
        <w:t xml:space="preserve"> up with technical and scientific progress, ensuring </w:t>
      </w:r>
      <w:r>
        <w:t>the GB regulatory authority has access to the most scientifically up to date information to be able to assess the risks associated with the use of biocidal products and their active subst</w:t>
      </w:r>
      <w:r w:rsidRPr="00E2648C">
        <w:rPr>
          <w:rFonts w:cs="Arial"/>
        </w:rPr>
        <w:t xml:space="preserve">ances so it can effectively </w:t>
      </w:r>
      <w:r w:rsidRPr="00856AC4">
        <w:rPr>
          <w:rFonts w:eastAsia="Calibri" w:cs="Arial"/>
          <w:szCs w:val="22"/>
        </w:rPr>
        <w:t>identify and control human, animal and environmental hazards before products reach the GB market</w:t>
      </w:r>
    </w:p>
    <w:p w14:paraId="06E14B99" w14:textId="20E8D2D5" w:rsidR="00F1E96C" w:rsidRDefault="00F1E96C" w:rsidP="00856AC4">
      <w:pPr>
        <w:pStyle w:val="IATableLines"/>
        <w:numPr>
          <w:ilvl w:val="0"/>
          <w:numId w:val="52"/>
        </w:numPr>
        <w:spacing w:line="259" w:lineRule="auto"/>
        <w:rPr>
          <w:szCs w:val="22"/>
        </w:rPr>
      </w:pPr>
      <w:r w:rsidRPr="63D0B838">
        <w:t xml:space="preserve">Improve </w:t>
      </w:r>
      <w:r w:rsidR="00713158">
        <w:t xml:space="preserve">biocidal </w:t>
      </w:r>
      <w:r w:rsidRPr="63D0B838">
        <w:t xml:space="preserve">product safety and the ability for HSE to maintain world leading safety standards </w:t>
      </w:r>
    </w:p>
    <w:p w14:paraId="30E25E50" w14:textId="7FF6F910" w:rsidR="00F1E96C" w:rsidRDefault="00F1E96C" w:rsidP="00856AC4">
      <w:pPr>
        <w:pStyle w:val="IATableLines"/>
        <w:numPr>
          <w:ilvl w:val="0"/>
          <w:numId w:val="52"/>
        </w:numPr>
        <w:spacing w:line="259" w:lineRule="auto"/>
        <w:rPr>
          <w:szCs w:val="22"/>
        </w:rPr>
      </w:pPr>
      <w:r>
        <w:t xml:space="preserve">Articulate </w:t>
      </w:r>
      <w:r w:rsidRPr="63D0B838">
        <w:rPr>
          <w:rFonts w:eastAsia="Arial" w:cs="Arial"/>
        </w:rPr>
        <w:t xml:space="preserve">unequivocal GB regulatory data requirements, which are clear to </w:t>
      </w:r>
      <w:r>
        <w:t xml:space="preserve">businesses making GB active substance approval and biocidal product authorisation applications, and reduce the likelihood of application refusals and challenges relating to test requirements </w:t>
      </w:r>
    </w:p>
    <w:p w14:paraId="6B7FEA78" w14:textId="16705F06" w:rsidR="00E22CDD" w:rsidRDefault="00B13654" w:rsidP="00E22CDD">
      <w:pPr>
        <w:pStyle w:val="IATableLines"/>
        <w:numPr>
          <w:ilvl w:val="0"/>
          <w:numId w:val="52"/>
        </w:numPr>
        <w:spacing w:line="259" w:lineRule="auto"/>
        <w:rPr>
          <w:szCs w:val="22"/>
        </w:rPr>
      </w:pPr>
      <w:r>
        <w:rPr>
          <w:rFonts w:eastAsia="Arial" w:cs="Arial"/>
          <w:szCs w:val="22"/>
        </w:rPr>
        <w:t xml:space="preserve">Make </w:t>
      </w:r>
      <w:r w:rsidR="00BB7CD3">
        <w:rPr>
          <w:rFonts w:eastAsia="Arial" w:cs="Arial"/>
          <w:szCs w:val="22"/>
        </w:rPr>
        <w:t xml:space="preserve">requests </w:t>
      </w:r>
      <w:r w:rsidR="00E22CDD" w:rsidRPr="63D0B838">
        <w:rPr>
          <w:rFonts w:eastAsia="Arial" w:cs="Arial"/>
          <w:szCs w:val="22"/>
        </w:rPr>
        <w:t xml:space="preserve">for specific scientific test data </w:t>
      </w:r>
      <w:r w:rsidR="00144088">
        <w:rPr>
          <w:rFonts w:eastAsia="Arial" w:cs="Arial"/>
          <w:szCs w:val="22"/>
        </w:rPr>
        <w:t xml:space="preserve">to </w:t>
      </w:r>
      <w:r w:rsidR="00E22CDD" w:rsidRPr="63D0B838">
        <w:rPr>
          <w:rFonts w:eastAsia="Arial" w:cs="Arial"/>
          <w:szCs w:val="22"/>
        </w:rPr>
        <w:t>take advantage of scientific advances in endocrine testing and reduce animal testing</w:t>
      </w:r>
    </w:p>
    <w:p w14:paraId="24AF0866" w14:textId="74E8D3D7" w:rsidR="63D0B838" w:rsidRDefault="63D0B838" w:rsidP="63D0B838">
      <w:pPr>
        <w:pStyle w:val="IATableLines"/>
        <w:spacing w:line="259" w:lineRule="auto"/>
        <w:ind w:left="0"/>
        <w:rPr>
          <w:rFonts w:eastAsia="Arial" w:cs="Arial"/>
          <w:szCs w:val="22"/>
        </w:rPr>
      </w:pPr>
    </w:p>
    <w:p w14:paraId="2639B855" w14:textId="3F691DFB" w:rsidR="00F1E96C" w:rsidRPr="003E0A1C" w:rsidRDefault="00F1E96C" w:rsidP="003E0A1C">
      <w:pPr>
        <w:pStyle w:val="IATableLines"/>
        <w:numPr>
          <w:ilvl w:val="0"/>
          <w:numId w:val="34"/>
        </w:numPr>
        <w:spacing w:line="259" w:lineRule="auto"/>
      </w:pPr>
      <w:r w:rsidRPr="003E0A1C">
        <w:t>The changes will mean that applicant businesses:</w:t>
      </w:r>
    </w:p>
    <w:p w14:paraId="28A5207D" w14:textId="30DB73D1" w:rsidR="63D0B838" w:rsidRDefault="63D0B838" w:rsidP="63D0B838">
      <w:pPr>
        <w:pStyle w:val="IATableLines"/>
        <w:spacing w:line="259" w:lineRule="auto"/>
        <w:ind w:left="0"/>
        <w:rPr>
          <w:rFonts w:eastAsia="Arial" w:cs="Arial"/>
          <w:szCs w:val="22"/>
        </w:rPr>
      </w:pPr>
    </w:p>
    <w:p w14:paraId="5614AB9B" w14:textId="722CB35E" w:rsidR="00F1E96C" w:rsidRDefault="00F1E96C" w:rsidP="00856AC4">
      <w:pPr>
        <w:pStyle w:val="IATableLines"/>
        <w:numPr>
          <w:ilvl w:val="0"/>
          <w:numId w:val="51"/>
        </w:numPr>
        <w:spacing w:line="259" w:lineRule="auto"/>
        <w:rPr>
          <w:szCs w:val="22"/>
        </w:rPr>
      </w:pPr>
      <w:r w:rsidRPr="63D0B838">
        <w:rPr>
          <w:rFonts w:eastAsia="Arial" w:cs="Arial"/>
        </w:rPr>
        <w:t>Must ensure that they meet specific data requirements set out in Annexes II and III, including using in-vitro studies rather than in-vivo animal studies from the date that they come into force</w:t>
      </w:r>
    </w:p>
    <w:p w14:paraId="0DD94D0D" w14:textId="2314411B" w:rsidR="00AD3AAC" w:rsidRDefault="00AD3AAC" w:rsidP="00856AC4">
      <w:pPr>
        <w:spacing w:after="120"/>
        <w:rPr>
          <w:rFonts w:eastAsia="Arial"/>
        </w:rPr>
      </w:pPr>
    </w:p>
    <w:p w14:paraId="562DCE7D" w14:textId="6BFA991F" w:rsidR="00D64409" w:rsidRPr="0094662F" w:rsidRDefault="00D64409" w:rsidP="00A63AEB">
      <w:pPr>
        <w:pStyle w:val="Heading2"/>
      </w:pPr>
      <w:r w:rsidRPr="0094662F">
        <w:t>Summary and preferred option with description of implementation plan</w:t>
      </w:r>
    </w:p>
    <w:p w14:paraId="2B3D10F6" w14:textId="6C785D0F" w:rsidR="18F7AA55" w:rsidRDefault="18F7AA55" w:rsidP="18F7AA55">
      <w:pPr>
        <w:rPr>
          <w:rFonts w:eastAsia="Arial" w:cs="Arial"/>
          <w:b/>
          <w:bCs/>
          <w:u w:val="single"/>
        </w:rPr>
      </w:pPr>
    </w:p>
    <w:p w14:paraId="13B4CE0A" w14:textId="7A29E49C" w:rsidR="61F66EB5" w:rsidRPr="00F008FD" w:rsidRDefault="61F66EB5" w:rsidP="00F008FD">
      <w:pPr>
        <w:pStyle w:val="ListParagraph"/>
        <w:numPr>
          <w:ilvl w:val="0"/>
          <w:numId w:val="34"/>
        </w:numPr>
        <w:spacing w:after="120"/>
        <w:rPr>
          <w:rFonts w:eastAsia="Arial" w:cs="Arial"/>
          <w:sz w:val="22"/>
          <w:szCs w:val="22"/>
        </w:rPr>
      </w:pPr>
      <w:r w:rsidRPr="00F008FD">
        <w:rPr>
          <w:rFonts w:eastAsia="Arial" w:cs="Arial"/>
          <w:sz w:val="22"/>
          <w:szCs w:val="22"/>
        </w:rPr>
        <w:t>The p</w:t>
      </w:r>
      <w:r w:rsidR="10ADBCA3" w:rsidRPr="00F008FD">
        <w:rPr>
          <w:rFonts w:eastAsia="Arial" w:cs="Arial"/>
          <w:sz w:val="22"/>
          <w:szCs w:val="22"/>
        </w:rPr>
        <w:t>referred option</w:t>
      </w:r>
      <w:r w:rsidR="77CF56DE" w:rsidRPr="00F008FD">
        <w:rPr>
          <w:rFonts w:eastAsia="Arial" w:cs="Arial"/>
          <w:sz w:val="22"/>
          <w:szCs w:val="22"/>
        </w:rPr>
        <w:t xml:space="preserve"> (</w:t>
      </w:r>
      <w:r w:rsidR="00604B5F">
        <w:rPr>
          <w:rFonts w:eastAsia="Arial" w:cs="Arial"/>
          <w:sz w:val="22"/>
          <w:szCs w:val="22"/>
        </w:rPr>
        <w:t>O</w:t>
      </w:r>
      <w:r w:rsidR="77CF56DE" w:rsidRPr="00F008FD">
        <w:rPr>
          <w:rFonts w:eastAsia="Arial" w:cs="Arial"/>
          <w:sz w:val="22"/>
          <w:szCs w:val="22"/>
        </w:rPr>
        <w:t xml:space="preserve">ption </w:t>
      </w:r>
      <w:r w:rsidR="003A6BCB" w:rsidRPr="00F008FD">
        <w:rPr>
          <w:rFonts w:eastAsia="Arial" w:cs="Arial"/>
          <w:sz w:val="22"/>
          <w:szCs w:val="22"/>
        </w:rPr>
        <w:t>1</w:t>
      </w:r>
      <w:r w:rsidR="77CF56DE" w:rsidRPr="00F008FD">
        <w:rPr>
          <w:rFonts w:eastAsia="Arial" w:cs="Arial"/>
          <w:sz w:val="22"/>
          <w:szCs w:val="22"/>
        </w:rPr>
        <w:t xml:space="preserve"> above) is </w:t>
      </w:r>
      <w:r w:rsidR="10ADBCA3" w:rsidRPr="00F008FD">
        <w:rPr>
          <w:rFonts w:eastAsia="Arial" w:cs="Arial"/>
          <w:sz w:val="22"/>
          <w:szCs w:val="22"/>
        </w:rPr>
        <w:t>to prepare a GB SI</w:t>
      </w:r>
      <w:r w:rsidR="14525941" w:rsidRPr="00F008FD">
        <w:rPr>
          <w:rFonts w:eastAsia="Arial" w:cs="Arial"/>
          <w:sz w:val="22"/>
          <w:szCs w:val="22"/>
        </w:rPr>
        <w:t xml:space="preserve"> </w:t>
      </w:r>
      <w:r w:rsidR="10ADBCA3" w:rsidRPr="00F008FD">
        <w:rPr>
          <w:rFonts w:eastAsia="Arial" w:cs="Arial"/>
          <w:sz w:val="22"/>
          <w:szCs w:val="22"/>
        </w:rPr>
        <w:t xml:space="preserve">to make </w:t>
      </w:r>
      <w:r w:rsidR="00224CDB">
        <w:rPr>
          <w:rFonts w:eastAsia="Arial" w:cs="Arial"/>
          <w:sz w:val="22"/>
          <w:szCs w:val="22"/>
        </w:rPr>
        <w:t xml:space="preserve">tailored </w:t>
      </w:r>
      <w:r w:rsidR="10ADBCA3" w:rsidRPr="00F008FD">
        <w:rPr>
          <w:rFonts w:eastAsia="Arial" w:cs="Arial"/>
          <w:sz w:val="22"/>
          <w:szCs w:val="22"/>
        </w:rPr>
        <w:t>amendments to Annexes II and III.</w:t>
      </w:r>
    </w:p>
    <w:p w14:paraId="2D08D83A" w14:textId="5A707B5E" w:rsidR="18F7AA55" w:rsidRPr="00F008FD" w:rsidRDefault="18F7AA55" w:rsidP="00F008FD">
      <w:pPr>
        <w:pStyle w:val="ListParagraph"/>
        <w:spacing w:after="120"/>
        <w:ind w:left="473"/>
        <w:rPr>
          <w:rFonts w:eastAsia="Arial" w:cs="Arial"/>
          <w:sz w:val="22"/>
          <w:szCs w:val="22"/>
        </w:rPr>
      </w:pPr>
    </w:p>
    <w:p w14:paraId="6E6D5074" w14:textId="7BF0AB65" w:rsidR="10ADBCA3" w:rsidRPr="00F008FD" w:rsidRDefault="10ADBCA3"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Subject to consent from </w:t>
      </w:r>
      <w:r w:rsidR="00D235EB" w:rsidRPr="00F008FD">
        <w:rPr>
          <w:rFonts w:eastAsia="Arial" w:cs="Arial"/>
          <w:sz w:val="22"/>
          <w:szCs w:val="22"/>
        </w:rPr>
        <w:t>Ministers in Scotland and Wales</w:t>
      </w:r>
      <w:r w:rsidRPr="00F008FD">
        <w:rPr>
          <w:rFonts w:eastAsia="Arial" w:cs="Arial"/>
          <w:sz w:val="22"/>
          <w:szCs w:val="22"/>
        </w:rPr>
        <w:t xml:space="preserve">, </w:t>
      </w:r>
      <w:r w:rsidR="00D235EB" w:rsidRPr="00F008FD">
        <w:rPr>
          <w:rFonts w:eastAsia="Arial" w:cs="Arial"/>
          <w:sz w:val="22"/>
          <w:szCs w:val="22"/>
        </w:rPr>
        <w:t xml:space="preserve">the Secretary of State has </w:t>
      </w:r>
      <w:r w:rsidRPr="00F008FD">
        <w:rPr>
          <w:rFonts w:eastAsia="Arial" w:cs="Arial"/>
          <w:sz w:val="22"/>
          <w:szCs w:val="22"/>
        </w:rPr>
        <w:t>the power to make these changes using a negative-resolution statutory instrument under powers delegated in Article 85 of BPR (adaptation to scientific and technical progress).</w:t>
      </w:r>
    </w:p>
    <w:p w14:paraId="4A43794B" w14:textId="7E1DE726" w:rsidR="18F7AA55" w:rsidRPr="00F008FD" w:rsidRDefault="18F7AA55" w:rsidP="00F008FD">
      <w:pPr>
        <w:pStyle w:val="ListParagraph"/>
        <w:spacing w:after="120"/>
        <w:ind w:left="473"/>
        <w:rPr>
          <w:rFonts w:eastAsia="Arial" w:cs="Arial"/>
          <w:sz w:val="22"/>
          <w:szCs w:val="22"/>
        </w:rPr>
      </w:pPr>
    </w:p>
    <w:p w14:paraId="20E9BCB8" w14:textId="5F1ED2E7" w:rsidR="10ADBCA3" w:rsidRPr="00F008FD" w:rsidRDefault="10ADBCA3" w:rsidP="00F008FD">
      <w:pPr>
        <w:pStyle w:val="ListParagraph"/>
        <w:numPr>
          <w:ilvl w:val="0"/>
          <w:numId w:val="34"/>
        </w:numPr>
        <w:spacing w:after="120"/>
        <w:rPr>
          <w:rFonts w:eastAsia="Arial" w:cs="Arial"/>
          <w:sz w:val="22"/>
          <w:szCs w:val="22"/>
        </w:rPr>
      </w:pPr>
      <w:r w:rsidRPr="00F008FD">
        <w:rPr>
          <w:rFonts w:eastAsia="Arial" w:cs="Arial"/>
          <w:sz w:val="22"/>
          <w:szCs w:val="22"/>
        </w:rPr>
        <w:t>This option is low</w:t>
      </w:r>
      <w:r w:rsidR="004E0304">
        <w:rPr>
          <w:rFonts w:eastAsia="Arial" w:cs="Arial"/>
          <w:sz w:val="22"/>
          <w:szCs w:val="22"/>
        </w:rPr>
        <w:t>-</w:t>
      </w:r>
      <w:r w:rsidRPr="00F008FD">
        <w:rPr>
          <w:rFonts w:eastAsia="Arial" w:cs="Arial"/>
          <w:sz w:val="22"/>
          <w:szCs w:val="22"/>
        </w:rPr>
        <w:t xml:space="preserve">cost to GB businesses, </w:t>
      </w:r>
      <w:r w:rsidR="00F6516D" w:rsidRPr="00F008FD">
        <w:rPr>
          <w:rFonts w:eastAsia="Arial" w:cs="Arial"/>
          <w:sz w:val="22"/>
          <w:szCs w:val="22"/>
        </w:rPr>
        <w:t>in line with Government priorities around reduction in animal testing</w:t>
      </w:r>
      <w:r w:rsidRPr="00F008FD">
        <w:rPr>
          <w:rFonts w:eastAsia="Arial" w:cs="Arial"/>
          <w:sz w:val="22"/>
          <w:szCs w:val="22"/>
        </w:rPr>
        <w:t>, and it is proportionate to the needs of GB.</w:t>
      </w:r>
    </w:p>
    <w:p w14:paraId="197522DF" w14:textId="072B70F4" w:rsidR="18F7AA55" w:rsidRPr="00F008FD" w:rsidRDefault="18F7AA55" w:rsidP="00F008FD">
      <w:pPr>
        <w:pStyle w:val="ListParagraph"/>
        <w:spacing w:after="120"/>
        <w:ind w:left="473"/>
        <w:rPr>
          <w:rFonts w:eastAsia="Arial" w:cs="Arial"/>
          <w:sz w:val="22"/>
          <w:szCs w:val="22"/>
        </w:rPr>
      </w:pPr>
    </w:p>
    <w:p w14:paraId="027AFC6E" w14:textId="02295F47" w:rsidR="273F8117" w:rsidRPr="00F008FD" w:rsidRDefault="273F8117"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This would be accompanied by an interim measure of </w:t>
      </w:r>
      <w:r w:rsidR="10ADBCA3" w:rsidRPr="00F008FD">
        <w:rPr>
          <w:rFonts w:eastAsia="Arial" w:cs="Arial"/>
          <w:sz w:val="22"/>
          <w:szCs w:val="22"/>
        </w:rPr>
        <w:t>issu</w:t>
      </w:r>
      <w:r w:rsidR="4ECD0A2E" w:rsidRPr="00F008FD">
        <w:rPr>
          <w:rFonts w:eastAsia="Arial" w:cs="Arial"/>
          <w:sz w:val="22"/>
          <w:szCs w:val="22"/>
        </w:rPr>
        <w:t>ing</w:t>
      </w:r>
      <w:r w:rsidR="10ADBCA3" w:rsidRPr="00F008FD">
        <w:rPr>
          <w:rFonts w:eastAsia="Arial" w:cs="Arial"/>
          <w:sz w:val="22"/>
          <w:szCs w:val="22"/>
        </w:rPr>
        <w:t xml:space="preserve"> guidance to applicants requesting </w:t>
      </w:r>
      <w:r w:rsidR="00202CA1">
        <w:rPr>
          <w:rFonts w:eastAsia="Arial" w:cs="Arial"/>
          <w:sz w:val="22"/>
          <w:szCs w:val="22"/>
        </w:rPr>
        <w:t xml:space="preserve">that they provide </w:t>
      </w:r>
      <w:r w:rsidR="10ADBCA3" w:rsidRPr="00F008FD">
        <w:rPr>
          <w:rFonts w:eastAsia="Arial" w:cs="Arial"/>
          <w:sz w:val="22"/>
          <w:szCs w:val="22"/>
        </w:rPr>
        <w:t>the further information that will later be required once the SI is completed.</w:t>
      </w:r>
      <w:r w:rsidR="00C2670E">
        <w:rPr>
          <w:rFonts w:eastAsia="Arial" w:cs="Arial"/>
          <w:sz w:val="22"/>
          <w:szCs w:val="22"/>
        </w:rPr>
        <w:t xml:space="preserve">  Once the SI enters force the guidance will be updated to make clear the changed requirements are legal</w:t>
      </w:r>
      <w:r w:rsidR="00BA7BDC">
        <w:rPr>
          <w:rFonts w:eastAsia="Arial" w:cs="Arial"/>
          <w:sz w:val="22"/>
          <w:szCs w:val="22"/>
        </w:rPr>
        <w:t>ly required</w:t>
      </w:r>
      <w:r w:rsidR="004A3661">
        <w:rPr>
          <w:rFonts w:eastAsia="Arial" w:cs="Arial"/>
          <w:sz w:val="22"/>
          <w:szCs w:val="22"/>
        </w:rPr>
        <w:t xml:space="preserve"> for future applications.</w:t>
      </w:r>
    </w:p>
    <w:p w14:paraId="5BDF5CAC" w14:textId="07AD83EF" w:rsidR="18F7AA55" w:rsidRPr="00F008FD" w:rsidRDefault="18F7AA55" w:rsidP="00F008FD">
      <w:pPr>
        <w:pStyle w:val="ListParagraph"/>
        <w:spacing w:after="120"/>
        <w:ind w:left="473"/>
        <w:rPr>
          <w:rFonts w:eastAsia="Arial" w:cs="Arial"/>
          <w:sz w:val="22"/>
          <w:szCs w:val="22"/>
        </w:rPr>
      </w:pPr>
    </w:p>
    <w:p w14:paraId="613C6BAE" w14:textId="5F56039A" w:rsidR="10ADBCA3" w:rsidRDefault="10ADBCA3"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Some of the additional data (in particular relating to endocrine disrupting chemicals) is </w:t>
      </w:r>
      <w:r w:rsidR="1187C999" w:rsidRPr="00F008FD">
        <w:rPr>
          <w:rFonts w:eastAsia="Arial" w:cs="Arial"/>
          <w:sz w:val="22"/>
          <w:szCs w:val="22"/>
        </w:rPr>
        <w:t xml:space="preserve">already </w:t>
      </w:r>
      <w:r w:rsidR="00E33CF4">
        <w:rPr>
          <w:rFonts w:eastAsia="Arial" w:cs="Arial"/>
          <w:sz w:val="22"/>
          <w:szCs w:val="22"/>
        </w:rPr>
        <w:t xml:space="preserve">being requested </w:t>
      </w:r>
      <w:r w:rsidR="00DD7E6B">
        <w:rPr>
          <w:rFonts w:eastAsia="Arial" w:cs="Arial"/>
          <w:sz w:val="22"/>
          <w:szCs w:val="22"/>
        </w:rPr>
        <w:t xml:space="preserve">by HSE </w:t>
      </w:r>
      <w:r w:rsidR="00565F45">
        <w:rPr>
          <w:rFonts w:eastAsia="Arial" w:cs="Arial"/>
          <w:sz w:val="22"/>
          <w:szCs w:val="22"/>
        </w:rPr>
        <w:t xml:space="preserve">because it is required </w:t>
      </w:r>
      <w:r w:rsidRPr="00F008FD">
        <w:rPr>
          <w:rFonts w:eastAsia="Arial" w:cs="Arial"/>
          <w:sz w:val="22"/>
          <w:szCs w:val="22"/>
        </w:rPr>
        <w:t xml:space="preserve">to </w:t>
      </w:r>
      <w:r w:rsidR="00CA216C">
        <w:rPr>
          <w:rFonts w:eastAsia="Arial" w:cs="Arial"/>
          <w:sz w:val="22"/>
          <w:szCs w:val="22"/>
        </w:rPr>
        <w:t xml:space="preserve">evaluate </w:t>
      </w:r>
      <w:r w:rsidRPr="00F008FD">
        <w:rPr>
          <w:rFonts w:eastAsia="Arial" w:cs="Arial"/>
          <w:sz w:val="22"/>
          <w:szCs w:val="22"/>
        </w:rPr>
        <w:t>active substance and biocidal product applications</w:t>
      </w:r>
      <w:r w:rsidR="00DD7E6B">
        <w:rPr>
          <w:rFonts w:eastAsia="Arial" w:cs="Arial"/>
          <w:sz w:val="22"/>
          <w:szCs w:val="22"/>
        </w:rPr>
        <w:t>. Therefore,</w:t>
      </w:r>
      <w:r w:rsidR="002A31C4">
        <w:rPr>
          <w:rFonts w:eastAsia="Arial" w:cs="Arial"/>
          <w:sz w:val="22"/>
          <w:szCs w:val="22"/>
        </w:rPr>
        <w:t xml:space="preserve"> </w:t>
      </w:r>
      <w:r w:rsidR="009C0D73">
        <w:rPr>
          <w:rFonts w:eastAsia="Arial" w:cs="Arial"/>
          <w:sz w:val="22"/>
          <w:szCs w:val="22"/>
        </w:rPr>
        <w:t>applicants are already effectively complying with the requirements</w:t>
      </w:r>
      <w:r w:rsidR="00CA216C">
        <w:rPr>
          <w:rFonts w:eastAsia="Arial" w:cs="Arial"/>
          <w:sz w:val="22"/>
          <w:szCs w:val="22"/>
        </w:rPr>
        <w:t>, but the changes will include the data requirements in law</w:t>
      </w:r>
      <w:r w:rsidR="00973788">
        <w:rPr>
          <w:rFonts w:eastAsia="Arial" w:cs="Arial"/>
          <w:sz w:val="22"/>
          <w:szCs w:val="22"/>
        </w:rPr>
        <w:t xml:space="preserve">.  In other cases, </w:t>
      </w:r>
      <w:r w:rsidR="003F6906">
        <w:rPr>
          <w:rFonts w:eastAsia="Arial" w:cs="Arial"/>
          <w:sz w:val="22"/>
          <w:szCs w:val="22"/>
        </w:rPr>
        <w:t xml:space="preserve">there are new </w:t>
      </w:r>
      <w:r w:rsidRPr="00F008FD">
        <w:rPr>
          <w:rFonts w:eastAsia="Arial" w:cs="Arial"/>
          <w:sz w:val="22"/>
          <w:szCs w:val="22"/>
        </w:rPr>
        <w:t xml:space="preserve">fully validated alternative test methods </w:t>
      </w:r>
      <w:r w:rsidR="003F6906">
        <w:rPr>
          <w:rFonts w:eastAsia="Arial" w:cs="Arial"/>
          <w:sz w:val="22"/>
          <w:szCs w:val="22"/>
        </w:rPr>
        <w:t xml:space="preserve">that </w:t>
      </w:r>
      <w:r w:rsidRPr="00F008FD">
        <w:rPr>
          <w:rFonts w:eastAsia="Arial" w:cs="Arial"/>
          <w:sz w:val="22"/>
          <w:szCs w:val="22"/>
        </w:rPr>
        <w:t xml:space="preserve">are </w:t>
      </w:r>
      <w:r w:rsidR="00973788">
        <w:rPr>
          <w:rFonts w:eastAsia="Arial" w:cs="Arial"/>
          <w:sz w:val="22"/>
          <w:szCs w:val="22"/>
        </w:rPr>
        <w:t xml:space="preserve">already </w:t>
      </w:r>
      <w:r w:rsidRPr="00F008FD">
        <w:rPr>
          <w:rFonts w:eastAsia="Arial" w:cs="Arial"/>
          <w:sz w:val="22"/>
          <w:szCs w:val="22"/>
        </w:rPr>
        <w:t xml:space="preserve">available and required by other regimes </w:t>
      </w:r>
      <w:r w:rsidR="003F6906">
        <w:rPr>
          <w:rFonts w:eastAsia="Arial" w:cs="Arial"/>
          <w:sz w:val="22"/>
          <w:szCs w:val="22"/>
        </w:rPr>
        <w:t>(in particular of the EU)</w:t>
      </w:r>
      <w:r w:rsidRPr="00F008FD">
        <w:rPr>
          <w:rFonts w:eastAsia="Arial" w:cs="Arial"/>
          <w:sz w:val="22"/>
          <w:szCs w:val="22"/>
        </w:rPr>
        <w:t xml:space="preserve">. </w:t>
      </w:r>
      <w:r w:rsidR="009D53A4">
        <w:rPr>
          <w:rFonts w:eastAsia="Arial" w:cs="Arial"/>
          <w:sz w:val="22"/>
          <w:szCs w:val="22"/>
        </w:rPr>
        <w:t xml:space="preserve"> </w:t>
      </w:r>
      <w:r w:rsidR="00EF37C4">
        <w:rPr>
          <w:rFonts w:eastAsia="Arial" w:cs="Arial"/>
          <w:sz w:val="22"/>
          <w:szCs w:val="22"/>
        </w:rPr>
        <w:t xml:space="preserve">This </w:t>
      </w:r>
      <w:r w:rsidR="003727D3">
        <w:rPr>
          <w:rFonts w:eastAsia="Arial" w:cs="Arial"/>
          <w:sz w:val="22"/>
          <w:szCs w:val="22"/>
        </w:rPr>
        <w:t>suggests</w:t>
      </w:r>
      <w:r w:rsidR="00203251">
        <w:rPr>
          <w:rFonts w:eastAsia="Arial" w:cs="Arial"/>
          <w:sz w:val="22"/>
          <w:szCs w:val="22"/>
        </w:rPr>
        <w:t xml:space="preserve"> a </w:t>
      </w:r>
      <w:r w:rsidRPr="00F008FD">
        <w:rPr>
          <w:rFonts w:eastAsia="Arial" w:cs="Arial"/>
          <w:sz w:val="22"/>
          <w:szCs w:val="22"/>
        </w:rPr>
        <w:t>high likelihood of compliance</w:t>
      </w:r>
      <w:r w:rsidR="001C70B7">
        <w:rPr>
          <w:rFonts w:eastAsia="Arial" w:cs="Arial"/>
          <w:sz w:val="22"/>
          <w:szCs w:val="22"/>
        </w:rPr>
        <w:t xml:space="preserve"> as soon as the requirements enter force.</w:t>
      </w:r>
      <w:r w:rsidR="003635DC">
        <w:rPr>
          <w:rFonts w:eastAsia="Arial" w:cs="Arial"/>
          <w:sz w:val="22"/>
          <w:szCs w:val="22"/>
        </w:rPr>
        <w:t xml:space="preserve">  Therefore, other than updating guidance we do not consider further action is required to implement the new requirements.</w:t>
      </w:r>
    </w:p>
    <w:p w14:paraId="0F55D3DB" w14:textId="77777777" w:rsidR="00B764DB" w:rsidRPr="00D23782" w:rsidRDefault="00B764DB" w:rsidP="00D23782">
      <w:pPr>
        <w:pStyle w:val="ListParagraph"/>
        <w:rPr>
          <w:rFonts w:eastAsia="Arial" w:cs="Arial"/>
          <w:sz w:val="22"/>
          <w:szCs w:val="22"/>
        </w:rPr>
      </w:pPr>
    </w:p>
    <w:p w14:paraId="015EC6A0" w14:textId="34263573" w:rsidR="5AA96F21" w:rsidRPr="00B764DB" w:rsidRDefault="48C36907" w:rsidP="00D23782">
      <w:pPr>
        <w:pStyle w:val="ListParagraph"/>
        <w:numPr>
          <w:ilvl w:val="0"/>
          <w:numId w:val="34"/>
        </w:numPr>
        <w:spacing w:after="120"/>
        <w:rPr>
          <w:rFonts w:eastAsia="Arial" w:cs="Arial"/>
          <w:sz w:val="22"/>
          <w:szCs w:val="22"/>
        </w:rPr>
      </w:pPr>
      <w:r w:rsidRPr="00D23782">
        <w:rPr>
          <w:rFonts w:eastAsia="Arial" w:cs="Arial"/>
          <w:sz w:val="22"/>
          <w:szCs w:val="22"/>
        </w:rPr>
        <w:t xml:space="preserve">The details of when </w:t>
      </w:r>
      <w:r w:rsidR="23CBEC67" w:rsidRPr="00D23782">
        <w:rPr>
          <w:rFonts w:eastAsia="Arial" w:cs="Arial"/>
          <w:sz w:val="22"/>
          <w:szCs w:val="22"/>
        </w:rPr>
        <w:t>the</w:t>
      </w:r>
      <w:r w:rsidRPr="00D23782">
        <w:rPr>
          <w:rFonts w:eastAsia="Arial" w:cs="Arial"/>
          <w:sz w:val="22"/>
          <w:szCs w:val="22"/>
        </w:rPr>
        <w:t xml:space="preserve"> amended data requirements </w:t>
      </w:r>
      <w:r w:rsidR="5FB03D56" w:rsidRPr="00D23782">
        <w:rPr>
          <w:rFonts w:eastAsia="Arial" w:cs="Arial"/>
          <w:sz w:val="22"/>
          <w:szCs w:val="22"/>
        </w:rPr>
        <w:t>will be applied</w:t>
      </w:r>
      <w:r w:rsidRPr="00D23782">
        <w:rPr>
          <w:rFonts w:eastAsia="Arial" w:cs="Arial"/>
          <w:sz w:val="22"/>
          <w:szCs w:val="22"/>
        </w:rPr>
        <w:t xml:space="preserve"> are still under consideration, </w:t>
      </w:r>
      <w:r w:rsidR="0943E52C" w:rsidRPr="00D23782">
        <w:rPr>
          <w:rFonts w:eastAsia="Arial" w:cs="Arial"/>
          <w:sz w:val="22"/>
          <w:szCs w:val="22"/>
        </w:rPr>
        <w:t>to ensure that appropriate data are available to the regulator while avoiding unnecessary costs t</w:t>
      </w:r>
      <w:r w:rsidR="16065D38" w:rsidRPr="00D23782">
        <w:rPr>
          <w:rFonts w:eastAsia="Arial" w:cs="Arial"/>
          <w:sz w:val="22"/>
          <w:szCs w:val="22"/>
        </w:rPr>
        <w:t xml:space="preserve">o industry by requiring updated tests where </w:t>
      </w:r>
      <w:r w:rsidR="000D016E" w:rsidRPr="00D23782">
        <w:rPr>
          <w:rFonts w:eastAsia="Arial" w:cs="Arial"/>
          <w:sz w:val="22"/>
          <w:szCs w:val="22"/>
        </w:rPr>
        <w:t>existing data are adequate.</w:t>
      </w:r>
      <w:r w:rsidR="00150D89">
        <w:rPr>
          <w:rFonts w:eastAsia="Arial" w:cs="Arial"/>
          <w:sz w:val="22"/>
          <w:szCs w:val="22"/>
        </w:rPr>
        <w:t xml:space="preserve"> In this cost analysis, we have assumed that test costs and familiarisation will begin to be incurred </w:t>
      </w:r>
      <w:r w:rsidR="00402441">
        <w:rPr>
          <w:rFonts w:eastAsia="Arial" w:cs="Arial"/>
          <w:sz w:val="22"/>
          <w:szCs w:val="22"/>
        </w:rPr>
        <w:t>from 2023 (the time of the proposed legislative change) without allowing for a transition period</w:t>
      </w:r>
      <w:r w:rsidR="009F4D8A">
        <w:rPr>
          <w:rFonts w:eastAsia="Arial" w:cs="Arial"/>
          <w:sz w:val="22"/>
          <w:szCs w:val="22"/>
        </w:rPr>
        <w:t xml:space="preserve"> until HSE would require submissions to include the new data</w:t>
      </w:r>
      <w:r w:rsidR="00402441">
        <w:rPr>
          <w:rFonts w:eastAsia="Arial" w:cs="Arial"/>
          <w:sz w:val="22"/>
          <w:szCs w:val="22"/>
        </w:rPr>
        <w:t xml:space="preserve">. This is </w:t>
      </w:r>
      <w:r w:rsidR="009F4D8A">
        <w:rPr>
          <w:rFonts w:eastAsia="Arial" w:cs="Arial"/>
          <w:sz w:val="22"/>
          <w:szCs w:val="22"/>
        </w:rPr>
        <w:t xml:space="preserve">probably a reasonable </w:t>
      </w:r>
      <w:r w:rsidR="009B389A">
        <w:rPr>
          <w:rFonts w:eastAsia="Arial" w:cs="Arial"/>
          <w:sz w:val="22"/>
          <w:szCs w:val="22"/>
        </w:rPr>
        <w:t xml:space="preserve">model of actual costs as active substance and product </w:t>
      </w:r>
      <w:r w:rsidR="00F661F3">
        <w:rPr>
          <w:rFonts w:eastAsia="Arial" w:cs="Arial"/>
          <w:sz w:val="22"/>
          <w:szCs w:val="22"/>
        </w:rPr>
        <w:t xml:space="preserve">tests will be booked and paid for well in advance of the submissions of a dossier to HSE. </w:t>
      </w:r>
    </w:p>
    <w:p w14:paraId="48D4CD14" w14:textId="0C29F69E" w:rsidR="00D64409" w:rsidRPr="00082B07" w:rsidRDefault="00D64409" w:rsidP="00A63AEB">
      <w:pPr>
        <w:pStyle w:val="Heading2"/>
      </w:pPr>
      <w:r w:rsidRPr="00082B07">
        <w:t xml:space="preserve">Monetised and non-monetised costs and benefits of </w:t>
      </w:r>
      <w:r w:rsidR="000D7B2B">
        <w:t>Option 1</w:t>
      </w:r>
    </w:p>
    <w:p w14:paraId="55221545" w14:textId="2998C703" w:rsidR="001321CB" w:rsidRDefault="00056B5A" w:rsidP="00C6307C">
      <w:pPr>
        <w:pStyle w:val="Heading3"/>
      </w:pPr>
      <w:r>
        <w:t>Numbers of biocide</w:t>
      </w:r>
      <w:r w:rsidR="00C6307C">
        <w:t xml:space="preserve"> active substance and product submissions</w:t>
      </w:r>
    </w:p>
    <w:p w14:paraId="506C6DD6" w14:textId="27685CF2" w:rsidR="00C6307C" w:rsidRPr="00F008FD" w:rsidRDefault="00AA1EB8" w:rsidP="00F008FD">
      <w:pPr>
        <w:pStyle w:val="ListParagraph"/>
        <w:numPr>
          <w:ilvl w:val="0"/>
          <w:numId w:val="34"/>
        </w:numPr>
        <w:spacing w:after="120"/>
        <w:rPr>
          <w:rFonts w:eastAsia="Arial" w:cs="Arial"/>
          <w:sz w:val="22"/>
          <w:szCs w:val="22"/>
        </w:rPr>
      </w:pPr>
      <w:r w:rsidRPr="00F008FD">
        <w:rPr>
          <w:rFonts w:eastAsia="Arial" w:cs="Arial"/>
          <w:sz w:val="22"/>
          <w:szCs w:val="22"/>
        </w:rPr>
        <w:t>W</w:t>
      </w:r>
      <w:r w:rsidR="00513D10" w:rsidRPr="00F008FD">
        <w:rPr>
          <w:rFonts w:eastAsia="Arial" w:cs="Arial"/>
          <w:sz w:val="22"/>
          <w:szCs w:val="22"/>
        </w:rPr>
        <w:t xml:space="preserve">e have estimated </w:t>
      </w:r>
      <w:r w:rsidR="00674864" w:rsidRPr="00F008FD">
        <w:rPr>
          <w:rFonts w:eastAsia="Arial" w:cs="Arial"/>
          <w:sz w:val="22"/>
          <w:szCs w:val="22"/>
        </w:rPr>
        <w:t xml:space="preserve">future numbers of active substance and product submissions that could attract additional test costs. These estimates are based on </w:t>
      </w:r>
      <w:r w:rsidR="000F5C5B" w:rsidRPr="00F008FD">
        <w:rPr>
          <w:rFonts w:eastAsia="Arial" w:cs="Arial"/>
          <w:sz w:val="22"/>
          <w:szCs w:val="22"/>
        </w:rPr>
        <w:t>recently observed data on actual submissions projected into the future</w:t>
      </w:r>
      <w:r w:rsidR="00B930F5" w:rsidRPr="00F008FD">
        <w:rPr>
          <w:rFonts w:eastAsia="Arial" w:cs="Arial"/>
          <w:sz w:val="22"/>
          <w:szCs w:val="22"/>
        </w:rPr>
        <w:t xml:space="preserve">. The figures are expected to be broadly stable over the ten years of the </w:t>
      </w:r>
      <w:r w:rsidR="008336D4" w:rsidRPr="00F008FD">
        <w:rPr>
          <w:rFonts w:eastAsia="Arial" w:cs="Arial"/>
          <w:sz w:val="22"/>
          <w:szCs w:val="22"/>
        </w:rPr>
        <w:t>appraisal</w:t>
      </w:r>
      <w:r w:rsidR="00B930F5" w:rsidRPr="00F008FD">
        <w:rPr>
          <w:rFonts w:eastAsia="Arial" w:cs="Arial"/>
          <w:sz w:val="22"/>
          <w:szCs w:val="22"/>
        </w:rPr>
        <w:t xml:space="preserve"> period, although the ranges reflect the scope for expected variation. </w:t>
      </w:r>
      <w:r w:rsidR="008336D4" w:rsidRPr="00F008FD">
        <w:rPr>
          <w:rFonts w:eastAsia="Arial" w:cs="Arial"/>
          <w:sz w:val="22"/>
          <w:szCs w:val="22"/>
        </w:rPr>
        <w:t>Figures</w:t>
      </w:r>
      <w:r w:rsidR="00715DAB" w:rsidRPr="00F008FD">
        <w:rPr>
          <w:rFonts w:eastAsia="Arial" w:cs="Arial"/>
          <w:sz w:val="22"/>
          <w:szCs w:val="22"/>
        </w:rPr>
        <w:t xml:space="preserve"> are summarised in </w:t>
      </w:r>
      <w:r w:rsidR="00715DAB" w:rsidRPr="00F008FD">
        <w:rPr>
          <w:rFonts w:eastAsia="Arial" w:cs="Arial"/>
          <w:sz w:val="22"/>
          <w:szCs w:val="22"/>
        </w:rPr>
        <w:fldChar w:fldCharType="begin"/>
      </w:r>
      <w:r w:rsidR="00715DAB" w:rsidRPr="00F008FD">
        <w:rPr>
          <w:rFonts w:eastAsia="Arial" w:cs="Arial"/>
          <w:sz w:val="22"/>
          <w:szCs w:val="22"/>
        </w:rPr>
        <w:instrText xml:space="preserve"> REF _Ref111707521 \h </w:instrText>
      </w:r>
      <w:r w:rsidR="009B33E6">
        <w:rPr>
          <w:rFonts w:eastAsia="Arial" w:cs="Arial"/>
          <w:sz w:val="22"/>
          <w:szCs w:val="22"/>
        </w:rPr>
        <w:instrText xml:space="preserve"> \* MERGEFORMAT </w:instrText>
      </w:r>
      <w:r w:rsidR="00715DAB" w:rsidRPr="00F008FD">
        <w:rPr>
          <w:rFonts w:eastAsia="Arial" w:cs="Arial"/>
          <w:sz w:val="22"/>
          <w:szCs w:val="22"/>
        </w:rPr>
      </w:r>
      <w:r w:rsidR="00715DAB" w:rsidRPr="00F008FD">
        <w:rPr>
          <w:rFonts w:eastAsia="Arial" w:cs="Arial"/>
          <w:sz w:val="22"/>
          <w:szCs w:val="22"/>
        </w:rPr>
        <w:fldChar w:fldCharType="separate"/>
      </w:r>
      <w:r w:rsidR="00715DAB" w:rsidRPr="00F008FD">
        <w:rPr>
          <w:rFonts w:eastAsia="Arial" w:cs="Arial"/>
          <w:sz w:val="22"/>
          <w:szCs w:val="22"/>
        </w:rPr>
        <w:t>Table 1</w:t>
      </w:r>
      <w:r w:rsidR="00715DAB" w:rsidRPr="00F008FD">
        <w:rPr>
          <w:rFonts w:eastAsia="Arial" w:cs="Arial"/>
          <w:sz w:val="22"/>
          <w:szCs w:val="22"/>
        </w:rPr>
        <w:fldChar w:fldCharType="end"/>
      </w:r>
      <w:r w:rsidR="00715DAB" w:rsidRPr="00F008FD">
        <w:rPr>
          <w:rFonts w:eastAsia="Arial" w:cs="Arial"/>
          <w:sz w:val="22"/>
          <w:szCs w:val="22"/>
        </w:rPr>
        <w:t>.</w:t>
      </w:r>
    </w:p>
    <w:p w14:paraId="3972E66D" w14:textId="77777777" w:rsidR="0082560E" w:rsidRPr="00AE1C8C" w:rsidRDefault="0082560E" w:rsidP="00CF1BB5">
      <w:pPr>
        <w:pStyle w:val="ListParagraph"/>
        <w:ind w:left="357"/>
        <w:jc w:val="both"/>
      </w:pPr>
    </w:p>
    <w:p w14:paraId="68236AF8" w14:textId="1DD671B6" w:rsidR="00715DAB" w:rsidRDefault="00715DAB" w:rsidP="00CF1BB5">
      <w:pPr>
        <w:pStyle w:val="Caption"/>
        <w:keepNext/>
        <w:keepLines/>
      </w:pPr>
      <w:bookmarkStart w:id="30" w:name="_Ref111707521"/>
      <w:r>
        <w:lastRenderedPageBreak/>
        <w:t xml:space="preserve">Table </w:t>
      </w:r>
      <w:r>
        <w:fldChar w:fldCharType="begin"/>
      </w:r>
      <w:r>
        <w:instrText>SEQ Table \* ARABIC</w:instrText>
      </w:r>
      <w:r>
        <w:fldChar w:fldCharType="separate"/>
      </w:r>
      <w:r w:rsidR="00286F63">
        <w:rPr>
          <w:noProof/>
        </w:rPr>
        <w:t>1</w:t>
      </w:r>
      <w:r>
        <w:fldChar w:fldCharType="end"/>
      </w:r>
      <w:bookmarkEnd w:id="30"/>
      <w:r>
        <w:t>: Estimated number of submissions under BPR per annum over the next ten years</w:t>
      </w:r>
    </w:p>
    <w:tbl>
      <w:tblPr>
        <w:tblW w:w="0" w:type="auto"/>
        <w:tblLook w:val="04A0" w:firstRow="1" w:lastRow="0" w:firstColumn="1" w:lastColumn="0" w:noHBand="0" w:noVBand="1"/>
      </w:tblPr>
      <w:tblGrid>
        <w:gridCol w:w="1951"/>
        <w:gridCol w:w="642"/>
        <w:gridCol w:w="642"/>
        <w:gridCol w:w="669"/>
      </w:tblGrid>
      <w:tr w:rsidR="00715DAB" w:rsidRPr="00BF0BF8" w14:paraId="0448F8F3" w14:textId="77777777" w:rsidTr="00CF1BB5">
        <w:trPr>
          <w:trHeight w:val="30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1CB8F4D" w14:textId="77777777" w:rsidR="00715DAB" w:rsidRPr="00BF0BF8" w:rsidRDefault="00715DAB" w:rsidP="00BE0377">
            <w:pPr>
              <w:keepNext/>
              <w:keepLines/>
              <w:rPr>
                <w:rFonts w:ascii="Calibri" w:hAnsi="Calibri" w:cs="Calibri"/>
                <w:b/>
                <w:bCs/>
                <w:color w:val="000000"/>
                <w:lang w:eastAsia="en-GB"/>
              </w:rPr>
            </w:pPr>
            <w:r w:rsidRPr="00BF0BF8">
              <w:rPr>
                <w:rFonts w:ascii="Calibri" w:hAnsi="Calibri" w:cs="Calibri"/>
                <w:b/>
                <w:bCs/>
                <w:color w:val="000000"/>
                <w:lang w:eastAsia="en-GB"/>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69454354" w14:textId="77777777" w:rsidR="00715DAB" w:rsidRPr="00BF0BF8" w:rsidRDefault="00715DAB" w:rsidP="00BE0377">
            <w:pPr>
              <w:keepNext/>
              <w:keepLines/>
              <w:jc w:val="right"/>
              <w:rPr>
                <w:rFonts w:ascii="Calibri" w:hAnsi="Calibri" w:cs="Calibri"/>
                <w:b/>
                <w:bCs/>
                <w:color w:val="000000"/>
                <w:lang w:eastAsia="en-GB"/>
              </w:rPr>
            </w:pPr>
            <w:r w:rsidRPr="00BF0BF8">
              <w:rPr>
                <w:rFonts w:ascii="Calibri" w:hAnsi="Calibri" w:cs="Calibri"/>
                <w:b/>
                <w:bCs/>
                <w:color w:val="000000"/>
                <w:lang w:eastAsia="en-GB"/>
              </w:rPr>
              <w:t>Low</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2134DCDC" w14:textId="77777777" w:rsidR="00715DAB" w:rsidRPr="00BF0BF8" w:rsidRDefault="00715DAB" w:rsidP="00BE0377">
            <w:pPr>
              <w:keepNext/>
              <w:keepLines/>
              <w:jc w:val="right"/>
              <w:rPr>
                <w:rFonts w:ascii="Calibri" w:hAnsi="Calibri" w:cs="Calibri"/>
                <w:b/>
                <w:bCs/>
                <w:color w:val="000000"/>
                <w:lang w:eastAsia="en-GB"/>
              </w:rPr>
            </w:pPr>
            <w:r w:rsidRPr="00BF0BF8">
              <w:rPr>
                <w:rFonts w:ascii="Calibri" w:hAnsi="Calibri" w:cs="Calibri"/>
                <w:b/>
                <w:bCs/>
                <w:color w:val="000000"/>
                <w:lang w:eastAsia="en-GB"/>
              </w:rPr>
              <w:t>Mid</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0409BA9E" w14:textId="77777777" w:rsidR="00715DAB" w:rsidRPr="00BF0BF8" w:rsidRDefault="00715DAB" w:rsidP="00BE0377">
            <w:pPr>
              <w:keepNext/>
              <w:keepLines/>
              <w:jc w:val="right"/>
              <w:rPr>
                <w:rFonts w:ascii="Calibri" w:hAnsi="Calibri" w:cs="Calibri"/>
                <w:b/>
                <w:bCs/>
                <w:color w:val="000000"/>
                <w:lang w:eastAsia="en-GB"/>
              </w:rPr>
            </w:pPr>
            <w:r w:rsidRPr="00BF0BF8">
              <w:rPr>
                <w:rFonts w:ascii="Calibri" w:hAnsi="Calibri" w:cs="Calibri"/>
                <w:b/>
                <w:bCs/>
                <w:color w:val="000000"/>
                <w:lang w:eastAsia="en-GB"/>
              </w:rPr>
              <w:t>High</w:t>
            </w:r>
          </w:p>
        </w:tc>
      </w:tr>
      <w:tr w:rsidR="00715DAB" w:rsidRPr="00BF0BF8" w14:paraId="20694D96" w14:textId="77777777" w:rsidTr="00CF1BB5">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7E832291" w14:textId="77777777" w:rsidR="00715DAB" w:rsidRPr="00BF0BF8" w:rsidRDefault="00715DAB" w:rsidP="00BE0377">
            <w:pPr>
              <w:keepNext/>
              <w:keepLines/>
              <w:rPr>
                <w:rFonts w:ascii="Calibri" w:hAnsi="Calibri" w:cs="Calibri"/>
                <w:color w:val="000000"/>
                <w:lang w:eastAsia="en-GB"/>
              </w:rPr>
            </w:pPr>
            <w:r w:rsidRPr="00BF0BF8">
              <w:rPr>
                <w:rFonts w:ascii="Calibri" w:hAnsi="Calibri" w:cs="Calibri"/>
                <w:color w:val="000000"/>
                <w:lang w:eastAsia="en-GB"/>
              </w:rPr>
              <w:t>Active substances</w:t>
            </w:r>
          </w:p>
        </w:tc>
        <w:tc>
          <w:tcPr>
            <w:tcW w:w="0" w:type="auto"/>
            <w:tcBorders>
              <w:top w:val="nil"/>
              <w:left w:val="nil"/>
              <w:bottom w:val="single" w:sz="4" w:space="0" w:color="auto"/>
              <w:right w:val="single" w:sz="4" w:space="0" w:color="auto"/>
            </w:tcBorders>
            <w:shd w:val="clear" w:color="auto" w:fill="auto"/>
            <w:noWrap/>
            <w:vAlign w:val="bottom"/>
            <w:hideMark/>
          </w:tcPr>
          <w:p w14:paraId="07D21FE5" w14:textId="77777777" w:rsidR="00715DAB" w:rsidRPr="00BF0BF8" w:rsidRDefault="00715DAB" w:rsidP="00BE0377">
            <w:pPr>
              <w:keepNext/>
              <w:keepLines/>
              <w:rPr>
                <w:rFonts w:ascii="Calibri" w:hAnsi="Calibri" w:cs="Calibri"/>
                <w:color w:val="000000"/>
                <w:lang w:eastAsia="en-GB"/>
              </w:rPr>
            </w:pPr>
            <w:r w:rsidRPr="00BF0BF8">
              <w:rPr>
                <w:rFonts w:ascii="Calibri"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1E5A8D" w14:textId="22CEF4D5" w:rsidR="00715DAB" w:rsidRPr="00BF0BF8" w:rsidRDefault="00715DAB" w:rsidP="00BE0377">
            <w:pPr>
              <w:keepNext/>
              <w:keepLines/>
              <w:rPr>
                <w:rFonts w:ascii="Calibri" w:hAnsi="Calibri" w:cs="Calibri"/>
                <w:color w:val="000000"/>
                <w:lang w:eastAsia="en-GB"/>
              </w:rPr>
            </w:pPr>
            <w:r w:rsidRPr="00BF0BF8">
              <w:rPr>
                <w:rFonts w:ascii="Calibri" w:hAnsi="Calibri" w:cs="Calibri"/>
                <w:color w:val="000000"/>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5E849C34" w14:textId="77777777" w:rsidR="00715DAB" w:rsidRPr="00BF0BF8" w:rsidRDefault="00715DAB" w:rsidP="00BE0377">
            <w:pPr>
              <w:keepNext/>
              <w:keepLines/>
              <w:rPr>
                <w:rFonts w:ascii="Calibri" w:hAnsi="Calibri" w:cs="Calibri"/>
                <w:color w:val="000000"/>
                <w:lang w:eastAsia="en-GB"/>
              </w:rPr>
            </w:pPr>
            <w:r w:rsidRPr="00BF0BF8">
              <w:rPr>
                <w:rFonts w:ascii="Calibri" w:hAnsi="Calibri" w:cs="Calibri"/>
                <w:color w:val="000000"/>
                <w:lang w:eastAsia="en-GB"/>
              </w:rPr>
              <w:t> </w:t>
            </w:r>
          </w:p>
        </w:tc>
      </w:tr>
      <w:tr w:rsidR="00715DAB" w:rsidRPr="00BF0BF8" w14:paraId="32EA845B" w14:textId="77777777" w:rsidTr="00CF1BB5">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2D22D0B" w14:textId="77777777" w:rsidR="00715DAB" w:rsidRPr="00BF0BF8" w:rsidRDefault="00715DAB" w:rsidP="00BE0377">
            <w:pPr>
              <w:keepNext/>
              <w:keepLines/>
              <w:ind w:firstLineChars="100" w:firstLine="240"/>
              <w:rPr>
                <w:rFonts w:ascii="Calibri" w:hAnsi="Calibri" w:cs="Calibri"/>
                <w:color w:val="000000"/>
                <w:lang w:eastAsia="en-GB"/>
              </w:rPr>
            </w:pPr>
            <w:r w:rsidRPr="00BF0BF8">
              <w:rPr>
                <w:rFonts w:ascii="Calibri" w:hAnsi="Calibri" w:cs="Calibri"/>
                <w:color w:val="000000"/>
                <w:lang w:eastAsia="en-GB"/>
              </w:rPr>
              <w:t>New</w:t>
            </w:r>
          </w:p>
        </w:tc>
        <w:tc>
          <w:tcPr>
            <w:tcW w:w="0" w:type="auto"/>
            <w:tcBorders>
              <w:top w:val="nil"/>
              <w:left w:val="nil"/>
              <w:bottom w:val="single" w:sz="4" w:space="0" w:color="auto"/>
              <w:right w:val="single" w:sz="4" w:space="0" w:color="auto"/>
            </w:tcBorders>
            <w:shd w:val="clear" w:color="auto" w:fill="auto"/>
            <w:noWrap/>
            <w:vAlign w:val="bottom"/>
            <w:hideMark/>
          </w:tcPr>
          <w:p w14:paraId="54169F4A"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Nil</w:t>
            </w:r>
          </w:p>
        </w:tc>
        <w:tc>
          <w:tcPr>
            <w:tcW w:w="0" w:type="auto"/>
            <w:tcBorders>
              <w:top w:val="nil"/>
              <w:left w:val="nil"/>
              <w:bottom w:val="single" w:sz="4" w:space="0" w:color="auto"/>
              <w:right w:val="single" w:sz="4" w:space="0" w:color="auto"/>
            </w:tcBorders>
            <w:shd w:val="clear" w:color="auto" w:fill="auto"/>
            <w:noWrap/>
            <w:vAlign w:val="bottom"/>
            <w:hideMark/>
          </w:tcPr>
          <w:p w14:paraId="02E9BEBE"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0.5</w:t>
            </w:r>
          </w:p>
        </w:tc>
        <w:tc>
          <w:tcPr>
            <w:tcW w:w="0" w:type="auto"/>
            <w:tcBorders>
              <w:top w:val="nil"/>
              <w:left w:val="nil"/>
              <w:bottom w:val="single" w:sz="4" w:space="0" w:color="auto"/>
              <w:right w:val="single" w:sz="8" w:space="0" w:color="auto"/>
            </w:tcBorders>
            <w:shd w:val="clear" w:color="auto" w:fill="auto"/>
            <w:noWrap/>
            <w:vAlign w:val="bottom"/>
            <w:hideMark/>
          </w:tcPr>
          <w:p w14:paraId="5C4735DF"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1.0</w:t>
            </w:r>
          </w:p>
        </w:tc>
      </w:tr>
      <w:tr w:rsidR="00715DAB" w:rsidRPr="00BF0BF8" w14:paraId="59D9E3D9" w14:textId="77777777" w:rsidTr="00CF1BB5">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69E46774" w14:textId="77777777" w:rsidR="00715DAB" w:rsidRPr="00BF0BF8" w:rsidRDefault="00715DAB" w:rsidP="00BE0377">
            <w:pPr>
              <w:keepNext/>
              <w:keepLines/>
              <w:ind w:firstLineChars="100" w:firstLine="240"/>
              <w:rPr>
                <w:rFonts w:ascii="Calibri" w:hAnsi="Calibri" w:cs="Calibri"/>
                <w:color w:val="000000"/>
                <w:lang w:eastAsia="en-GB"/>
              </w:rPr>
            </w:pPr>
            <w:r w:rsidRPr="00BF0BF8">
              <w:rPr>
                <w:rFonts w:ascii="Calibri" w:hAnsi="Calibri" w:cs="Calibri"/>
                <w:color w:val="000000"/>
                <w:lang w:eastAsia="en-GB"/>
              </w:rPr>
              <w:t>Renewals</w:t>
            </w:r>
          </w:p>
        </w:tc>
        <w:tc>
          <w:tcPr>
            <w:tcW w:w="0" w:type="auto"/>
            <w:tcBorders>
              <w:top w:val="nil"/>
              <w:left w:val="nil"/>
              <w:bottom w:val="single" w:sz="4" w:space="0" w:color="auto"/>
              <w:right w:val="single" w:sz="4" w:space="0" w:color="auto"/>
            </w:tcBorders>
            <w:shd w:val="clear" w:color="auto" w:fill="auto"/>
            <w:noWrap/>
            <w:vAlign w:val="bottom"/>
            <w:hideMark/>
          </w:tcPr>
          <w:p w14:paraId="7A61C985"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10.0</w:t>
            </w:r>
          </w:p>
        </w:tc>
        <w:tc>
          <w:tcPr>
            <w:tcW w:w="0" w:type="auto"/>
            <w:tcBorders>
              <w:top w:val="nil"/>
              <w:left w:val="nil"/>
              <w:bottom w:val="single" w:sz="4" w:space="0" w:color="auto"/>
              <w:right w:val="single" w:sz="4" w:space="0" w:color="auto"/>
            </w:tcBorders>
            <w:shd w:val="clear" w:color="auto" w:fill="auto"/>
            <w:noWrap/>
            <w:vAlign w:val="bottom"/>
            <w:hideMark/>
          </w:tcPr>
          <w:p w14:paraId="147CE13D"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10.5</w:t>
            </w:r>
          </w:p>
        </w:tc>
        <w:tc>
          <w:tcPr>
            <w:tcW w:w="0" w:type="auto"/>
            <w:tcBorders>
              <w:top w:val="nil"/>
              <w:left w:val="nil"/>
              <w:bottom w:val="single" w:sz="4" w:space="0" w:color="auto"/>
              <w:right w:val="single" w:sz="8" w:space="0" w:color="auto"/>
            </w:tcBorders>
            <w:shd w:val="clear" w:color="auto" w:fill="auto"/>
            <w:noWrap/>
            <w:vAlign w:val="bottom"/>
            <w:hideMark/>
          </w:tcPr>
          <w:p w14:paraId="15D9A69F"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11.0</w:t>
            </w:r>
          </w:p>
        </w:tc>
      </w:tr>
      <w:tr w:rsidR="00715DAB" w:rsidRPr="00BF0BF8" w14:paraId="16FD011B" w14:textId="77777777" w:rsidTr="00CF1BB5">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706DD9E" w14:textId="77777777" w:rsidR="00715DAB" w:rsidRPr="00BF0BF8" w:rsidRDefault="00715DAB" w:rsidP="00BE0377">
            <w:pPr>
              <w:keepNext/>
              <w:keepLines/>
              <w:rPr>
                <w:rFonts w:ascii="Calibri" w:hAnsi="Calibri" w:cs="Calibri"/>
                <w:b/>
                <w:bCs/>
                <w:color w:val="000000"/>
                <w:lang w:eastAsia="en-GB"/>
              </w:rPr>
            </w:pPr>
            <w:r w:rsidRPr="00BF0BF8">
              <w:rPr>
                <w:rFonts w:ascii="Calibri" w:hAnsi="Calibri" w:cs="Calibri"/>
                <w:b/>
                <w:bCs/>
                <w:color w:val="000000"/>
                <w:lang w:eastAsia="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D70AB72" w14:textId="77777777" w:rsidR="00715DAB" w:rsidRPr="00BF0BF8" w:rsidRDefault="00715DAB" w:rsidP="00BE0377">
            <w:pPr>
              <w:keepNext/>
              <w:keepLines/>
              <w:jc w:val="right"/>
              <w:rPr>
                <w:rFonts w:ascii="Calibri" w:hAnsi="Calibri" w:cs="Calibri"/>
                <w:b/>
                <w:bCs/>
                <w:color w:val="000000"/>
                <w:lang w:eastAsia="en-GB"/>
              </w:rPr>
            </w:pPr>
            <w:r w:rsidRPr="00BF0BF8">
              <w:rPr>
                <w:rFonts w:ascii="Calibri" w:hAnsi="Calibri" w:cs="Calibri"/>
                <w:b/>
                <w:bCs/>
                <w:color w:val="000000"/>
                <w:lang w:eastAsia="en-GB"/>
              </w:rPr>
              <w:t>10</w:t>
            </w:r>
          </w:p>
        </w:tc>
        <w:tc>
          <w:tcPr>
            <w:tcW w:w="0" w:type="auto"/>
            <w:tcBorders>
              <w:top w:val="nil"/>
              <w:left w:val="nil"/>
              <w:bottom w:val="single" w:sz="4" w:space="0" w:color="auto"/>
              <w:right w:val="single" w:sz="4" w:space="0" w:color="auto"/>
            </w:tcBorders>
            <w:shd w:val="clear" w:color="auto" w:fill="auto"/>
            <w:noWrap/>
            <w:vAlign w:val="bottom"/>
            <w:hideMark/>
          </w:tcPr>
          <w:p w14:paraId="666E2554" w14:textId="77777777" w:rsidR="00715DAB" w:rsidRPr="00BF0BF8" w:rsidRDefault="00715DAB" w:rsidP="00BE0377">
            <w:pPr>
              <w:keepNext/>
              <w:keepLines/>
              <w:jc w:val="right"/>
              <w:rPr>
                <w:rFonts w:ascii="Calibri" w:hAnsi="Calibri" w:cs="Calibri"/>
                <w:b/>
                <w:bCs/>
                <w:color w:val="000000"/>
                <w:lang w:eastAsia="en-GB"/>
              </w:rPr>
            </w:pPr>
            <w:r w:rsidRPr="00BF0BF8">
              <w:rPr>
                <w:rFonts w:ascii="Calibri" w:hAnsi="Calibri" w:cs="Calibri"/>
                <w:b/>
                <w:bCs/>
                <w:color w:val="000000"/>
                <w:lang w:eastAsia="en-GB"/>
              </w:rPr>
              <w:t>11</w:t>
            </w:r>
          </w:p>
        </w:tc>
        <w:tc>
          <w:tcPr>
            <w:tcW w:w="0" w:type="auto"/>
            <w:tcBorders>
              <w:top w:val="nil"/>
              <w:left w:val="nil"/>
              <w:bottom w:val="single" w:sz="4" w:space="0" w:color="auto"/>
              <w:right w:val="single" w:sz="8" w:space="0" w:color="auto"/>
            </w:tcBorders>
            <w:shd w:val="clear" w:color="auto" w:fill="auto"/>
            <w:noWrap/>
            <w:vAlign w:val="bottom"/>
            <w:hideMark/>
          </w:tcPr>
          <w:p w14:paraId="2A9AFD88" w14:textId="77777777" w:rsidR="00715DAB" w:rsidRPr="00BF0BF8" w:rsidRDefault="00715DAB" w:rsidP="00BE0377">
            <w:pPr>
              <w:keepNext/>
              <w:keepLines/>
              <w:jc w:val="right"/>
              <w:rPr>
                <w:rFonts w:ascii="Calibri" w:hAnsi="Calibri" w:cs="Calibri"/>
                <w:b/>
                <w:bCs/>
                <w:color w:val="000000"/>
                <w:lang w:eastAsia="en-GB"/>
              </w:rPr>
            </w:pPr>
            <w:r w:rsidRPr="00BF0BF8">
              <w:rPr>
                <w:rFonts w:ascii="Calibri" w:hAnsi="Calibri" w:cs="Calibri"/>
                <w:b/>
                <w:bCs/>
                <w:color w:val="000000"/>
                <w:lang w:eastAsia="en-GB"/>
              </w:rPr>
              <w:t>12</w:t>
            </w:r>
          </w:p>
        </w:tc>
      </w:tr>
      <w:tr w:rsidR="00715DAB" w:rsidRPr="00BF0BF8" w14:paraId="0E40507F" w14:textId="77777777" w:rsidTr="00CF1BB5">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3203337" w14:textId="77777777" w:rsidR="00715DAB" w:rsidRPr="00BF0BF8" w:rsidRDefault="00715DAB" w:rsidP="00BE0377">
            <w:pPr>
              <w:keepNext/>
              <w:keepLines/>
              <w:rPr>
                <w:rFonts w:ascii="Calibri" w:hAnsi="Calibri" w:cs="Calibri"/>
                <w:color w:val="000000"/>
                <w:lang w:eastAsia="en-GB"/>
              </w:rPr>
            </w:pPr>
            <w:r w:rsidRPr="00BF0BF8">
              <w:rPr>
                <w:rFonts w:ascii="Calibri"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59869F"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8E39BC"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2949C611"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 </w:t>
            </w:r>
          </w:p>
        </w:tc>
      </w:tr>
      <w:tr w:rsidR="00715DAB" w:rsidRPr="00BF0BF8" w14:paraId="208E641B" w14:textId="77777777" w:rsidTr="00CF1BB5">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45CD534" w14:textId="77777777" w:rsidR="00715DAB" w:rsidRPr="00BF0BF8" w:rsidRDefault="00715DAB" w:rsidP="00BE0377">
            <w:pPr>
              <w:keepNext/>
              <w:keepLines/>
              <w:rPr>
                <w:rFonts w:ascii="Calibri" w:hAnsi="Calibri" w:cs="Calibri"/>
                <w:color w:val="000000"/>
                <w:lang w:eastAsia="en-GB"/>
              </w:rPr>
            </w:pPr>
            <w:r w:rsidRPr="00BF0BF8">
              <w:rPr>
                <w:rFonts w:ascii="Calibri" w:hAnsi="Calibri" w:cs="Calibri"/>
                <w:color w:val="000000"/>
                <w:lang w:eastAsia="en-GB"/>
              </w:rPr>
              <w:t>Products</w:t>
            </w:r>
          </w:p>
        </w:tc>
        <w:tc>
          <w:tcPr>
            <w:tcW w:w="0" w:type="auto"/>
            <w:tcBorders>
              <w:top w:val="nil"/>
              <w:left w:val="nil"/>
              <w:bottom w:val="single" w:sz="4" w:space="0" w:color="auto"/>
              <w:right w:val="single" w:sz="4" w:space="0" w:color="auto"/>
            </w:tcBorders>
            <w:shd w:val="clear" w:color="auto" w:fill="auto"/>
            <w:noWrap/>
            <w:vAlign w:val="bottom"/>
            <w:hideMark/>
          </w:tcPr>
          <w:p w14:paraId="086C0728"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5B4626"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4F9EF79F"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 </w:t>
            </w:r>
          </w:p>
        </w:tc>
      </w:tr>
      <w:tr w:rsidR="00715DAB" w:rsidRPr="00BF0BF8" w14:paraId="50B83530" w14:textId="77777777" w:rsidTr="00CF1BB5">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1A33561" w14:textId="77777777" w:rsidR="00715DAB" w:rsidRPr="00BF0BF8" w:rsidRDefault="00715DAB" w:rsidP="00BE0377">
            <w:pPr>
              <w:keepNext/>
              <w:keepLines/>
              <w:ind w:firstLineChars="100" w:firstLine="240"/>
              <w:rPr>
                <w:rFonts w:ascii="Calibri" w:hAnsi="Calibri" w:cs="Calibri"/>
                <w:color w:val="000000"/>
                <w:lang w:eastAsia="en-GB"/>
              </w:rPr>
            </w:pPr>
            <w:r w:rsidRPr="00BF0BF8">
              <w:rPr>
                <w:rFonts w:ascii="Calibri" w:hAnsi="Calibri" w:cs="Calibri"/>
                <w:color w:val="000000"/>
                <w:lang w:eastAsia="en-GB"/>
              </w:rPr>
              <w:t>New</w:t>
            </w:r>
          </w:p>
        </w:tc>
        <w:tc>
          <w:tcPr>
            <w:tcW w:w="0" w:type="auto"/>
            <w:tcBorders>
              <w:top w:val="nil"/>
              <w:left w:val="nil"/>
              <w:bottom w:val="single" w:sz="4" w:space="0" w:color="auto"/>
              <w:right w:val="single" w:sz="4" w:space="0" w:color="auto"/>
            </w:tcBorders>
            <w:shd w:val="clear" w:color="auto" w:fill="auto"/>
            <w:noWrap/>
            <w:vAlign w:val="bottom"/>
            <w:hideMark/>
          </w:tcPr>
          <w:p w14:paraId="3D438E59"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10</w:t>
            </w:r>
          </w:p>
        </w:tc>
        <w:tc>
          <w:tcPr>
            <w:tcW w:w="0" w:type="auto"/>
            <w:tcBorders>
              <w:top w:val="nil"/>
              <w:left w:val="nil"/>
              <w:bottom w:val="single" w:sz="4" w:space="0" w:color="auto"/>
              <w:right w:val="single" w:sz="4" w:space="0" w:color="auto"/>
            </w:tcBorders>
            <w:shd w:val="clear" w:color="auto" w:fill="auto"/>
            <w:noWrap/>
            <w:vAlign w:val="bottom"/>
            <w:hideMark/>
          </w:tcPr>
          <w:p w14:paraId="63B8CA71"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55</w:t>
            </w:r>
          </w:p>
        </w:tc>
        <w:tc>
          <w:tcPr>
            <w:tcW w:w="0" w:type="auto"/>
            <w:tcBorders>
              <w:top w:val="nil"/>
              <w:left w:val="nil"/>
              <w:bottom w:val="single" w:sz="4" w:space="0" w:color="auto"/>
              <w:right w:val="single" w:sz="8" w:space="0" w:color="auto"/>
            </w:tcBorders>
            <w:shd w:val="clear" w:color="auto" w:fill="auto"/>
            <w:noWrap/>
            <w:vAlign w:val="bottom"/>
            <w:hideMark/>
          </w:tcPr>
          <w:p w14:paraId="433B3049"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100</w:t>
            </w:r>
          </w:p>
        </w:tc>
      </w:tr>
      <w:tr w:rsidR="00715DAB" w:rsidRPr="00BF0BF8" w14:paraId="65BD83A1" w14:textId="77777777" w:rsidTr="00CF1BB5">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5DD5604" w14:textId="77777777" w:rsidR="00715DAB" w:rsidRPr="00BF0BF8" w:rsidRDefault="00715DAB" w:rsidP="00BE0377">
            <w:pPr>
              <w:keepNext/>
              <w:keepLines/>
              <w:ind w:firstLineChars="100" w:firstLine="240"/>
              <w:rPr>
                <w:rFonts w:ascii="Calibri" w:hAnsi="Calibri" w:cs="Calibri"/>
                <w:color w:val="000000"/>
                <w:lang w:eastAsia="en-GB"/>
              </w:rPr>
            </w:pPr>
            <w:r w:rsidRPr="00BF0BF8">
              <w:rPr>
                <w:rFonts w:ascii="Calibri" w:hAnsi="Calibri" w:cs="Calibri"/>
                <w:color w:val="000000"/>
                <w:lang w:eastAsia="en-GB"/>
              </w:rPr>
              <w:t>Renewals</w:t>
            </w:r>
          </w:p>
        </w:tc>
        <w:tc>
          <w:tcPr>
            <w:tcW w:w="0" w:type="auto"/>
            <w:tcBorders>
              <w:top w:val="nil"/>
              <w:left w:val="nil"/>
              <w:bottom w:val="single" w:sz="4" w:space="0" w:color="auto"/>
              <w:right w:val="single" w:sz="4" w:space="0" w:color="auto"/>
            </w:tcBorders>
            <w:shd w:val="clear" w:color="auto" w:fill="auto"/>
            <w:noWrap/>
            <w:vAlign w:val="bottom"/>
            <w:hideMark/>
          </w:tcPr>
          <w:p w14:paraId="5739C0A7"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50</w:t>
            </w:r>
          </w:p>
        </w:tc>
        <w:tc>
          <w:tcPr>
            <w:tcW w:w="0" w:type="auto"/>
            <w:tcBorders>
              <w:top w:val="nil"/>
              <w:left w:val="nil"/>
              <w:bottom w:val="single" w:sz="4" w:space="0" w:color="auto"/>
              <w:right w:val="single" w:sz="4" w:space="0" w:color="auto"/>
            </w:tcBorders>
            <w:shd w:val="clear" w:color="auto" w:fill="auto"/>
            <w:noWrap/>
            <w:vAlign w:val="bottom"/>
            <w:hideMark/>
          </w:tcPr>
          <w:p w14:paraId="5DA0A168"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175</w:t>
            </w:r>
          </w:p>
        </w:tc>
        <w:tc>
          <w:tcPr>
            <w:tcW w:w="0" w:type="auto"/>
            <w:tcBorders>
              <w:top w:val="nil"/>
              <w:left w:val="nil"/>
              <w:bottom w:val="single" w:sz="4" w:space="0" w:color="auto"/>
              <w:right w:val="single" w:sz="8" w:space="0" w:color="auto"/>
            </w:tcBorders>
            <w:shd w:val="clear" w:color="auto" w:fill="auto"/>
            <w:noWrap/>
            <w:vAlign w:val="bottom"/>
            <w:hideMark/>
          </w:tcPr>
          <w:p w14:paraId="765CEB58" w14:textId="77777777" w:rsidR="00715DAB" w:rsidRPr="00BF0BF8" w:rsidRDefault="00715DAB" w:rsidP="00BE0377">
            <w:pPr>
              <w:keepNext/>
              <w:keepLines/>
              <w:jc w:val="right"/>
              <w:rPr>
                <w:rFonts w:ascii="Calibri" w:hAnsi="Calibri" w:cs="Calibri"/>
                <w:color w:val="000000"/>
                <w:lang w:eastAsia="en-GB"/>
              </w:rPr>
            </w:pPr>
            <w:r w:rsidRPr="00BF0BF8">
              <w:rPr>
                <w:rFonts w:ascii="Calibri" w:hAnsi="Calibri" w:cs="Calibri"/>
                <w:color w:val="000000"/>
                <w:lang w:eastAsia="en-GB"/>
              </w:rPr>
              <w:t>300</w:t>
            </w:r>
          </w:p>
        </w:tc>
      </w:tr>
      <w:tr w:rsidR="00715DAB" w:rsidRPr="00BF0BF8" w14:paraId="38027F98" w14:textId="77777777" w:rsidTr="00CF1BB5">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26FB0A6" w14:textId="77777777" w:rsidR="00715DAB" w:rsidRPr="00BF0BF8" w:rsidRDefault="00715DAB" w:rsidP="00BE0377">
            <w:pPr>
              <w:keepNext/>
              <w:keepLines/>
              <w:rPr>
                <w:rFonts w:ascii="Calibri" w:hAnsi="Calibri" w:cs="Calibri"/>
                <w:b/>
                <w:bCs/>
                <w:color w:val="000000"/>
                <w:lang w:eastAsia="en-GB"/>
              </w:rPr>
            </w:pPr>
            <w:r w:rsidRPr="00BF0BF8">
              <w:rPr>
                <w:rFonts w:ascii="Calibri" w:hAnsi="Calibri" w:cs="Calibri"/>
                <w:b/>
                <w:bCs/>
                <w:color w:val="000000"/>
                <w:lang w:eastAsia="en-GB"/>
              </w:rPr>
              <w:t>Total</w:t>
            </w:r>
          </w:p>
        </w:tc>
        <w:tc>
          <w:tcPr>
            <w:tcW w:w="0" w:type="auto"/>
            <w:tcBorders>
              <w:top w:val="nil"/>
              <w:left w:val="nil"/>
              <w:bottom w:val="single" w:sz="8" w:space="0" w:color="auto"/>
              <w:right w:val="single" w:sz="4" w:space="0" w:color="auto"/>
            </w:tcBorders>
            <w:shd w:val="clear" w:color="auto" w:fill="auto"/>
            <w:noWrap/>
            <w:vAlign w:val="bottom"/>
            <w:hideMark/>
          </w:tcPr>
          <w:p w14:paraId="01D89F22" w14:textId="77777777" w:rsidR="00715DAB" w:rsidRPr="00BF0BF8" w:rsidRDefault="00715DAB" w:rsidP="00BE0377">
            <w:pPr>
              <w:keepNext/>
              <w:keepLines/>
              <w:jc w:val="right"/>
              <w:rPr>
                <w:rFonts w:ascii="Calibri" w:hAnsi="Calibri" w:cs="Calibri"/>
                <w:b/>
                <w:bCs/>
                <w:color w:val="000000"/>
                <w:lang w:eastAsia="en-GB"/>
              </w:rPr>
            </w:pPr>
            <w:r w:rsidRPr="00BF0BF8">
              <w:rPr>
                <w:rFonts w:ascii="Calibri" w:hAnsi="Calibri" w:cs="Calibri"/>
                <w:b/>
                <w:bCs/>
                <w:color w:val="000000"/>
                <w:lang w:eastAsia="en-GB"/>
              </w:rPr>
              <w:t>60</w:t>
            </w:r>
          </w:p>
        </w:tc>
        <w:tc>
          <w:tcPr>
            <w:tcW w:w="0" w:type="auto"/>
            <w:tcBorders>
              <w:top w:val="nil"/>
              <w:left w:val="nil"/>
              <w:bottom w:val="single" w:sz="8" w:space="0" w:color="auto"/>
              <w:right w:val="single" w:sz="4" w:space="0" w:color="auto"/>
            </w:tcBorders>
            <w:shd w:val="clear" w:color="auto" w:fill="auto"/>
            <w:noWrap/>
            <w:vAlign w:val="bottom"/>
            <w:hideMark/>
          </w:tcPr>
          <w:p w14:paraId="6E5D921F" w14:textId="77777777" w:rsidR="00715DAB" w:rsidRPr="00BF0BF8" w:rsidRDefault="00715DAB" w:rsidP="00BE0377">
            <w:pPr>
              <w:keepNext/>
              <w:keepLines/>
              <w:jc w:val="right"/>
              <w:rPr>
                <w:rFonts w:ascii="Calibri" w:hAnsi="Calibri" w:cs="Calibri"/>
                <w:b/>
                <w:bCs/>
                <w:color w:val="000000"/>
                <w:lang w:eastAsia="en-GB"/>
              </w:rPr>
            </w:pPr>
            <w:r w:rsidRPr="00BF0BF8">
              <w:rPr>
                <w:rFonts w:ascii="Calibri" w:hAnsi="Calibri" w:cs="Calibri"/>
                <w:b/>
                <w:bCs/>
                <w:color w:val="000000"/>
                <w:lang w:eastAsia="en-GB"/>
              </w:rPr>
              <w:t>230</w:t>
            </w:r>
          </w:p>
        </w:tc>
        <w:tc>
          <w:tcPr>
            <w:tcW w:w="0" w:type="auto"/>
            <w:tcBorders>
              <w:top w:val="nil"/>
              <w:left w:val="nil"/>
              <w:bottom w:val="single" w:sz="8" w:space="0" w:color="auto"/>
              <w:right w:val="single" w:sz="8" w:space="0" w:color="auto"/>
            </w:tcBorders>
            <w:shd w:val="clear" w:color="auto" w:fill="auto"/>
            <w:noWrap/>
            <w:vAlign w:val="bottom"/>
            <w:hideMark/>
          </w:tcPr>
          <w:p w14:paraId="16BBA701" w14:textId="77777777" w:rsidR="00715DAB" w:rsidRPr="00BF0BF8" w:rsidRDefault="00715DAB" w:rsidP="00BE0377">
            <w:pPr>
              <w:keepNext/>
              <w:keepLines/>
              <w:jc w:val="right"/>
              <w:rPr>
                <w:rFonts w:ascii="Calibri" w:hAnsi="Calibri" w:cs="Calibri"/>
                <w:b/>
                <w:bCs/>
                <w:color w:val="000000"/>
                <w:lang w:eastAsia="en-GB"/>
              </w:rPr>
            </w:pPr>
            <w:r w:rsidRPr="00BF0BF8">
              <w:rPr>
                <w:rFonts w:ascii="Calibri" w:hAnsi="Calibri" w:cs="Calibri"/>
                <w:b/>
                <w:bCs/>
                <w:color w:val="000000"/>
                <w:lang w:eastAsia="en-GB"/>
              </w:rPr>
              <w:t>400</w:t>
            </w:r>
          </w:p>
        </w:tc>
      </w:tr>
    </w:tbl>
    <w:p w14:paraId="720B58B2" w14:textId="77777777" w:rsidR="00715DAB" w:rsidRDefault="00715DAB" w:rsidP="00715DAB">
      <w:pPr>
        <w:pStyle w:val="ListParagraph"/>
        <w:ind w:left="357"/>
        <w:jc w:val="both"/>
        <w:rPr>
          <w:bCs/>
          <w:iCs/>
          <w:lang w:eastAsia="en-GB"/>
        </w:rPr>
      </w:pPr>
    </w:p>
    <w:p w14:paraId="6032E43F" w14:textId="23D308F5" w:rsidR="002664F1" w:rsidRPr="00F008FD" w:rsidRDefault="0082560E" w:rsidP="00F008FD">
      <w:pPr>
        <w:pStyle w:val="ListParagraph"/>
        <w:numPr>
          <w:ilvl w:val="0"/>
          <w:numId w:val="34"/>
        </w:numPr>
        <w:spacing w:after="120"/>
        <w:rPr>
          <w:rFonts w:eastAsia="Arial" w:cs="Arial"/>
          <w:sz w:val="22"/>
          <w:szCs w:val="22"/>
        </w:rPr>
      </w:pPr>
      <w:bookmarkStart w:id="31" w:name="_Ref111715535"/>
      <w:r w:rsidRPr="00F008FD">
        <w:rPr>
          <w:rFonts w:eastAsia="Arial" w:cs="Arial"/>
          <w:sz w:val="22"/>
          <w:szCs w:val="22"/>
        </w:rPr>
        <w:t>N</w:t>
      </w:r>
      <w:r w:rsidR="00686115" w:rsidRPr="00F008FD">
        <w:rPr>
          <w:rFonts w:eastAsia="Arial" w:cs="Arial"/>
          <w:sz w:val="22"/>
          <w:szCs w:val="22"/>
        </w:rPr>
        <w:t xml:space="preserve">ot all of these submissions will be in scope of additional testing costs under these proposals. </w:t>
      </w:r>
      <w:r w:rsidR="001551E3" w:rsidRPr="00F008FD">
        <w:rPr>
          <w:rFonts w:eastAsia="Arial" w:cs="Arial"/>
          <w:sz w:val="22"/>
          <w:szCs w:val="22"/>
        </w:rPr>
        <w:t xml:space="preserve">For example, as the EU has already </w:t>
      </w:r>
      <w:r w:rsidR="00BC5524" w:rsidRPr="00F008FD">
        <w:rPr>
          <w:rFonts w:eastAsia="Arial" w:cs="Arial"/>
          <w:sz w:val="22"/>
          <w:szCs w:val="22"/>
        </w:rPr>
        <w:t xml:space="preserve">implemented these additional testing </w:t>
      </w:r>
      <w:r w:rsidR="001551E3" w:rsidRPr="00F008FD">
        <w:rPr>
          <w:rFonts w:eastAsia="Arial" w:cs="Arial"/>
          <w:sz w:val="22"/>
          <w:szCs w:val="22"/>
        </w:rPr>
        <w:t xml:space="preserve">requirements </w:t>
      </w:r>
      <w:r w:rsidR="00BC5524" w:rsidRPr="00F008FD">
        <w:rPr>
          <w:rFonts w:eastAsia="Arial" w:cs="Arial"/>
          <w:sz w:val="22"/>
          <w:szCs w:val="22"/>
        </w:rPr>
        <w:t xml:space="preserve">(and more), any </w:t>
      </w:r>
      <w:r w:rsidR="005E18E0" w:rsidRPr="00F008FD">
        <w:rPr>
          <w:rFonts w:eastAsia="Arial" w:cs="Arial"/>
          <w:sz w:val="22"/>
          <w:szCs w:val="22"/>
        </w:rPr>
        <w:t xml:space="preserve">active or </w:t>
      </w:r>
      <w:r w:rsidR="00BC5524" w:rsidRPr="00F008FD">
        <w:rPr>
          <w:rFonts w:eastAsia="Arial" w:cs="Arial"/>
          <w:sz w:val="22"/>
          <w:szCs w:val="22"/>
        </w:rPr>
        <w:t xml:space="preserve">product </w:t>
      </w:r>
      <w:r w:rsidR="005E18E0" w:rsidRPr="00F008FD">
        <w:rPr>
          <w:rFonts w:eastAsia="Arial" w:cs="Arial"/>
          <w:sz w:val="22"/>
          <w:szCs w:val="22"/>
        </w:rPr>
        <w:t>for which approval or authorisation is already being sought in the EU will bear no additional costs</w:t>
      </w:r>
      <w:r w:rsidR="00712BAB" w:rsidRPr="00F008FD">
        <w:rPr>
          <w:rFonts w:eastAsia="Arial" w:cs="Arial"/>
          <w:sz w:val="22"/>
          <w:szCs w:val="22"/>
        </w:rPr>
        <w:t xml:space="preserve">, as they will undertake the tests </w:t>
      </w:r>
      <w:r w:rsidR="00862F1D" w:rsidRPr="00F008FD">
        <w:rPr>
          <w:rFonts w:eastAsia="Arial" w:cs="Arial"/>
          <w:sz w:val="22"/>
          <w:szCs w:val="22"/>
        </w:rPr>
        <w:t>under the baseline.</w:t>
      </w:r>
      <w:bookmarkEnd w:id="31"/>
      <w:r w:rsidR="00862F1D" w:rsidRPr="00F008FD">
        <w:rPr>
          <w:rFonts w:eastAsia="Arial" w:cs="Arial"/>
          <w:sz w:val="22"/>
          <w:szCs w:val="22"/>
        </w:rPr>
        <w:t xml:space="preserve"> </w:t>
      </w:r>
    </w:p>
    <w:p w14:paraId="1B6B41B9" w14:textId="77777777" w:rsidR="002664F1" w:rsidRPr="00F008FD" w:rsidRDefault="002664F1" w:rsidP="00F008FD">
      <w:pPr>
        <w:pStyle w:val="ListParagraph"/>
        <w:spacing w:after="120"/>
        <w:ind w:left="473"/>
        <w:rPr>
          <w:rFonts w:eastAsia="Arial" w:cs="Arial"/>
          <w:sz w:val="22"/>
          <w:szCs w:val="22"/>
        </w:rPr>
      </w:pPr>
    </w:p>
    <w:p w14:paraId="5CCE835E" w14:textId="1AAD0A85" w:rsidR="00574982" w:rsidRPr="00F008FD" w:rsidRDefault="00862F1D" w:rsidP="00F008FD">
      <w:pPr>
        <w:pStyle w:val="ListParagraph"/>
        <w:numPr>
          <w:ilvl w:val="0"/>
          <w:numId w:val="34"/>
        </w:numPr>
        <w:spacing w:after="120"/>
        <w:rPr>
          <w:rFonts w:eastAsia="Arial" w:cs="Arial"/>
          <w:sz w:val="22"/>
          <w:szCs w:val="22"/>
        </w:rPr>
      </w:pPr>
      <w:r w:rsidRPr="00F008FD">
        <w:rPr>
          <w:rFonts w:eastAsia="Arial" w:cs="Arial"/>
          <w:sz w:val="22"/>
          <w:szCs w:val="22"/>
        </w:rPr>
        <w:t>In addition</w:t>
      </w:r>
      <w:r w:rsidR="00706554" w:rsidRPr="00F008FD">
        <w:rPr>
          <w:rFonts w:eastAsia="Arial" w:cs="Arial"/>
          <w:sz w:val="22"/>
          <w:szCs w:val="22"/>
        </w:rPr>
        <w:t xml:space="preserve">, products can be assessed through a process called ‘CLP calculation’, whereby the hazard of the product ingredients is </w:t>
      </w:r>
      <w:r w:rsidR="00893D3C" w:rsidRPr="00F008FD">
        <w:rPr>
          <w:rFonts w:eastAsia="Arial" w:cs="Arial"/>
          <w:sz w:val="22"/>
          <w:szCs w:val="22"/>
        </w:rPr>
        <w:t xml:space="preserve">assessed via their classification under the </w:t>
      </w:r>
      <w:r w:rsidR="00CF2765">
        <w:rPr>
          <w:rFonts w:eastAsia="Arial" w:cs="Arial"/>
          <w:sz w:val="22"/>
          <w:szCs w:val="22"/>
        </w:rPr>
        <w:t>‘</w:t>
      </w:r>
      <w:r w:rsidR="00893D3C" w:rsidRPr="00F008FD">
        <w:rPr>
          <w:rFonts w:eastAsia="Arial" w:cs="Arial"/>
          <w:sz w:val="22"/>
          <w:szCs w:val="22"/>
        </w:rPr>
        <w:t>Classification, Labelling and Packaging Regulations</w:t>
      </w:r>
      <w:r w:rsidR="00CF2765">
        <w:rPr>
          <w:rFonts w:eastAsia="Arial" w:cs="Arial"/>
          <w:sz w:val="22"/>
          <w:szCs w:val="22"/>
        </w:rPr>
        <w:t>’</w:t>
      </w:r>
      <w:r w:rsidR="00893D3C" w:rsidRPr="00F008FD">
        <w:rPr>
          <w:rFonts w:eastAsia="Arial" w:cs="Arial"/>
          <w:sz w:val="22"/>
          <w:szCs w:val="22"/>
        </w:rPr>
        <w:t xml:space="preserve"> (CLP)</w:t>
      </w:r>
      <w:r w:rsidR="007941A5" w:rsidRPr="00F008FD">
        <w:rPr>
          <w:rFonts w:eastAsia="Arial" w:cs="Arial"/>
          <w:sz w:val="22"/>
          <w:szCs w:val="22"/>
        </w:rPr>
        <w:t xml:space="preserve">; and the proportion of product made of the hazardous ingredient </w:t>
      </w:r>
      <w:r w:rsidR="00444E34" w:rsidRPr="00F008FD">
        <w:rPr>
          <w:rFonts w:eastAsia="Arial" w:cs="Arial"/>
          <w:sz w:val="22"/>
          <w:szCs w:val="22"/>
        </w:rPr>
        <w:t xml:space="preserve">assessed to consider and potentially rule out any adverse effects. For example, if a product contains a substance that is classified as an eye irritant under CLP, but the </w:t>
      </w:r>
      <w:r w:rsidR="00F7521E" w:rsidRPr="00F008FD">
        <w:rPr>
          <w:rFonts w:eastAsia="Arial" w:cs="Arial"/>
          <w:sz w:val="22"/>
          <w:szCs w:val="22"/>
        </w:rPr>
        <w:t xml:space="preserve">proportion of the product that this substance makes up is very low, then CLP calculation might lead HSE to conclude that </w:t>
      </w:r>
      <w:r w:rsidR="002664F1" w:rsidRPr="00F008FD">
        <w:rPr>
          <w:rFonts w:eastAsia="Arial" w:cs="Arial"/>
          <w:sz w:val="22"/>
          <w:szCs w:val="22"/>
        </w:rPr>
        <w:t xml:space="preserve">further tests for the eye irritation of the whole product were disproportionate. </w:t>
      </w:r>
    </w:p>
    <w:p w14:paraId="1445CCBA" w14:textId="77777777" w:rsidR="00E505C0" w:rsidRPr="00F008FD" w:rsidRDefault="00E505C0" w:rsidP="00F008FD">
      <w:pPr>
        <w:pStyle w:val="ListParagraph"/>
        <w:spacing w:after="120"/>
        <w:ind w:left="473"/>
        <w:rPr>
          <w:rFonts w:eastAsia="Arial" w:cs="Arial"/>
          <w:sz w:val="22"/>
          <w:szCs w:val="22"/>
        </w:rPr>
      </w:pPr>
    </w:p>
    <w:p w14:paraId="07A65CE1" w14:textId="742B599B" w:rsidR="00E505C0" w:rsidRPr="00F008FD" w:rsidRDefault="00E505C0" w:rsidP="00F008FD">
      <w:pPr>
        <w:pStyle w:val="ListParagraph"/>
        <w:numPr>
          <w:ilvl w:val="0"/>
          <w:numId w:val="34"/>
        </w:numPr>
        <w:spacing w:after="120"/>
        <w:rPr>
          <w:rFonts w:eastAsia="Arial" w:cs="Arial"/>
          <w:sz w:val="22"/>
          <w:szCs w:val="22"/>
        </w:rPr>
      </w:pPr>
      <w:r w:rsidRPr="00F008FD">
        <w:rPr>
          <w:rFonts w:eastAsia="Arial" w:cs="Arial"/>
          <w:sz w:val="22"/>
          <w:szCs w:val="22"/>
        </w:rPr>
        <w:t>These two effects (baseline EU compliance and CLP calculation) will serve to reduce the number of BPR submissions to HSE for actives and products that will incur additional test costs.</w:t>
      </w:r>
    </w:p>
    <w:p w14:paraId="105BF539" w14:textId="77777777" w:rsidR="004E5B03" w:rsidRPr="004E5B03" w:rsidRDefault="004E5B03" w:rsidP="004E5B03">
      <w:pPr>
        <w:pStyle w:val="ListParagraph"/>
        <w:rPr>
          <w:bCs/>
          <w:iCs/>
          <w:lang w:eastAsia="en-GB"/>
        </w:rPr>
      </w:pPr>
    </w:p>
    <w:p w14:paraId="555DD370" w14:textId="62C3EC26" w:rsidR="004E5B03" w:rsidRPr="00F008FD" w:rsidRDefault="004E5B03" w:rsidP="63D0B838">
      <w:pPr>
        <w:pStyle w:val="ListParagraph"/>
        <w:numPr>
          <w:ilvl w:val="0"/>
          <w:numId w:val="34"/>
        </w:numPr>
        <w:spacing w:after="120"/>
        <w:rPr>
          <w:rFonts w:eastAsia="Arial" w:cs="Arial"/>
          <w:sz w:val="22"/>
          <w:szCs w:val="22"/>
        </w:rPr>
      </w:pPr>
      <w:bookmarkStart w:id="32" w:name="_Ref111727066"/>
      <w:r w:rsidRPr="00F008FD">
        <w:rPr>
          <w:rFonts w:eastAsia="Arial" w:cs="Arial"/>
          <w:sz w:val="22"/>
          <w:szCs w:val="22"/>
        </w:rPr>
        <w:t xml:space="preserve">HSE </w:t>
      </w:r>
      <w:r w:rsidR="789568BA" w:rsidRPr="00F008FD">
        <w:rPr>
          <w:rFonts w:eastAsia="Arial" w:cs="Arial"/>
          <w:sz w:val="22"/>
          <w:szCs w:val="22"/>
        </w:rPr>
        <w:t>economic</w:t>
      </w:r>
      <w:r w:rsidR="0A59856E" w:rsidRPr="00F008FD">
        <w:rPr>
          <w:rFonts w:eastAsia="Arial" w:cs="Arial"/>
          <w:sz w:val="22"/>
          <w:szCs w:val="22"/>
        </w:rPr>
        <w:t xml:space="preserve"> and </w:t>
      </w:r>
      <w:r w:rsidRPr="00F008FD">
        <w:rPr>
          <w:rFonts w:eastAsia="Arial" w:cs="Arial"/>
          <w:sz w:val="22"/>
          <w:szCs w:val="22"/>
        </w:rPr>
        <w:t>social research</w:t>
      </w:r>
      <w:r w:rsidR="2EE8043E" w:rsidRPr="00F008FD">
        <w:rPr>
          <w:rFonts w:eastAsia="Arial" w:cs="Arial"/>
          <w:sz w:val="22"/>
          <w:szCs w:val="22"/>
        </w:rPr>
        <w:t xml:space="preserve"> analys</w:t>
      </w:r>
      <w:r w:rsidR="1C5453B4" w:rsidRPr="00F008FD">
        <w:rPr>
          <w:rFonts w:eastAsia="Arial" w:cs="Arial"/>
          <w:sz w:val="22"/>
          <w:szCs w:val="22"/>
        </w:rPr>
        <w:t>ts</w:t>
      </w:r>
      <w:r w:rsidR="2EE8043E" w:rsidRPr="00F008FD">
        <w:rPr>
          <w:rFonts w:eastAsia="Arial" w:cs="Arial"/>
          <w:sz w:val="22"/>
          <w:szCs w:val="22"/>
        </w:rPr>
        <w:t xml:space="preserve"> </w:t>
      </w:r>
      <w:r w:rsidR="31F0CBEE" w:rsidRPr="00F008FD">
        <w:rPr>
          <w:rFonts w:eastAsia="Arial" w:cs="Arial"/>
          <w:sz w:val="22"/>
          <w:szCs w:val="22"/>
        </w:rPr>
        <w:t xml:space="preserve">conducted a </w:t>
      </w:r>
      <w:r w:rsidR="22867F01" w:rsidRPr="00F008FD">
        <w:rPr>
          <w:rFonts w:eastAsia="Arial" w:cs="Arial"/>
          <w:sz w:val="22"/>
          <w:szCs w:val="22"/>
        </w:rPr>
        <w:t>three-stage</w:t>
      </w:r>
      <w:r w:rsidR="31F0CBEE" w:rsidRPr="00F008FD">
        <w:rPr>
          <w:rFonts w:eastAsia="Arial" w:cs="Arial"/>
          <w:sz w:val="22"/>
          <w:szCs w:val="22"/>
        </w:rPr>
        <w:t xml:space="preserve"> analysis to </w:t>
      </w:r>
      <w:r w:rsidR="67053292" w:rsidRPr="00F008FD">
        <w:rPr>
          <w:rFonts w:eastAsia="Arial" w:cs="Arial"/>
          <w:sz w:val="22"/>
          <w:szCs w:val="22"/>
        </w:rPr>
        <w:t>arrive at</w:t>
      </w:r>
      <w:r w:rsidR="31F0CBEE" w:rsidRPr="00F008FD">
        <w:rPr>
          <w:rFonts w:eastAsia="Arial" w:cs="Arial"/>
          <w:sz w:val="22"/>
          <w:szCs w:val="22"/>
        </w:rPr>
        <w:t xml:space="preserve"> estimate</w:t>
      </w:r>
      <w:r w:rsidR="42F03128" w:rsidRPr="00F008FD">
        <w:rPr>
          <w:rFonts w:eastAsia="Arial" w:cs="Arial"/>
          <w:sz w:val="22"/>
          <w:szCs w:val="22"/>
        </w:rPr>
        <w:t>s of the</w:t>
      </w:r>
      <w:r w:rsidR="31F0CBEE" w:rsidRPr="00F008FD">
        <w:rPr>
          <w:rFonts w:eastAsia="Arial" w:cs="Arial"/>
          <w:sz w:val="22"/>
          <w:szCs w:val="22"/>
        </w:rPr>
        <w:t xml:space="preserve"> proportions </w:t>
      </w:r>
      <w:r w:rsidR="38AF5C00" w:rsidRPr="00F008FD">
        <w:rPr>
          <w:rFonts w:eastAsia="Arial" w:cs="Arial"/>
          <w:sz w:val="22"/>
          <w:szCs w:val="22"/>
        </w:rPr>
        <w:t xml:space="preserve">of </w:t>
      </w:r>
      <w:r w:rsidR="2B83E624" w:rsidRPr="00F008FD">
        <w:rPr>
          <w:rFonts w:eastAsia="Arial" w:cs="Arial"/>
          <w:sz w:val="22"/>
          <w:szCs w:val="22"/>
        </w:rPr>
        <w:t>unique applicant/</w:t>
      </w:r>
      <w:r w:rsidR="00E06789">
        <w:rPr>
          <w:rFonts w:eastAsia="Arial" w:cs="Arial"/>
          <w:sz w:val="22"/>
          <w:szCs w:val="22"/>
        </w:rPr>
        <w:t xml:space="preserve"> </w:t>
      </w:r>
      <w:r w:rsidR="2B83E624" w:rsidRPr="00F008FD">
        <w:rPr>
          <w:rFonts w:eastAsia="Arial" w:cs="Arial"/>
          <w:sz w:val="22"/>
          <w:szCs w:val="22"/>
        </w:rPr>
        <w:t xml:space="preserve">authorisation holder </w:t>
      </w:r>
      <w:r w:rsidR="38AF5C00" w:rsidRPr="00F008FD">
        <w:rPr>
          <w:rFonts w:eastAsia="Arial" w:cs="Arial"/>
          <w:sz w:val="22"/>
          <w:szCs w:val="22"/>
        </w:rPr>
        <w:t>businesses which were</w:t>
      </w:r>
      <w:r w:rsidR="78A04518" w:rsidRPr="00F008FD">
        <w:rPr>
          <w:rFonts w:eastAsia="Arial" w:cs="Arial"/>
          <w:sz w:val="22"/>
          <w:szCs w:val="22"/>
        </w:rPr>
        <w:t>:</w:t>
      </w:r>
    </w:p>
    <w:p w14:paraId="32004845" w14:textId="5520462B" w:rsidR="004E5B03" w:rsidRPr="00F008FD" w:rsidRDefault="38AF5C00" w:rsidP="00856AC4">
      <w:pPr>
        <w:pStyle w:val="ListParagraph"/>
        <w:numPr>
          <w:ilvl w:val="0"/>
          <w:numId w:val="48"/>
        </w:numPr>
        <w:spacing w:after="120"/>
        <w:rPr>
          <w:rFonts w:eastAsia="Arial" w:cs="Arial"/>
        </w:rPr>
      </w:pPr>
      <w:r w:rsidRPr="00F008FD">
        <w:rPr>
          <w:rFonts w:eastAsia="Arial" w:cs="Arial"/>
          <w:sz w:val="22"/>
          <w:szCs w:val="22"/>
        </w:rPr>
        <w:t>active in both GB and the EU, which has alrea</w:t>
      </w:r>
      <w:r w:rsidR="4B66737F" w:rsidRPr="00F008FD">
        <w:rPr>
          <w:rFonts w:eastAsia="Arial" w:cs="Arial"/>
          <w:sz w:val="22"/>
          <w:szCs w:val="22"/>
        </w:rPr>
        <w:t>dy implemented the new test requirements</w:t>
      </w:r>
      <w:r w:rsidR="63D360B5" w:rsidRPr="00F008FD">
        <w:rPr>
          <w:rFonts w:eastAsia="Arial" w:cs="Arial"/>
          <w:sz w:val="22"/>
          <w:szCs w:val="22"/>
        </w:rPr>
        <w:t>;</w:t>
      </w:r>
      <w:r w:rsidR="4B66737F" w:rsidRPr="00F008FD">
        <w:rPr>
          <w:rFonts w:eastAsia="Arial" w:cs="Arial"/>
          <w:sz w:val="22"/>
          <w:szCs w:val="22"/>
        </w:rPr>
        <w:t xml:space="preserve"> </w:t>
      </w:r>
      <w:r w:rsidR="2253CF85" w:rsidRPr="00F008FD">
        <w:rPr>
          <w:rFonts w:eastAsia="Arial" w:cs="Arial"/>
          <w:sz w:val="22"/>
          <w:szCs w:val="22"/>
        </w:rPr>
        <w:t>or</w:t>
      </w:r>
      <w:r w:rsidR="3E9D6417" w:rsidRPr="00F008FD">
        <w:rPr>
          <w:rFonts w:eastAsia="Arial" w:cs="Arial"/>
          <w:sz w:val="22"/>
          <w:szCs w:val="22"/>
        </w:rPr>
        <w:t xml:space="preserve">, </w:t>
      </w:r>
    </w:p>
    <w:p w14:paraId="5DD7FD2E" w14:textId="215A367F" w:rsidR="004E5B03" w:rsidRPr="00E16E8F" w:rsidRDefault="4B66737F" w:rsidP="00856AC4">
      <w:pPr>
        <w:pStyle w:val="ListParagraph"/>
        <w:numPr>
          <w:ilvl w:val="0"/>
          <w:numId w:val="48"/>
        </w:numPr>
        <w:spacing w:after="120"/>
        <w:rPr>
          <w:rFonts w:eastAsia="Arial" w:cs="Arial"/>
        </w:rPr>
      </w:pPr>
      <w:r w:rsidRPr="00F008FD">
        <w:rPr>
          <w:rFonts w:eastAsia="Arial" w:cs="Arial"/>
          <w:sz w:val="22"/>
          <w:szCs w:val="22"/>
        </w:rPr>
        <w:t>a</w:t>
      </w:r>
      <w:r w:rsidR="128E3301" w:rsidRPr="00F008FD">
        <w:rPr>
          <w:rFonts w:eastAsia="Arial" w:cs="Arial"/>
          <w:sz w:val="22"/>
          <w:szCs w:val="22"/>
        </w:rPr>
        <w:t xml:space="preserve">ctive in GB only and therefore may be less likely to be meeting the new GB-BPR test requirements. </w:t>
      </w:r>
    </w:p>
    <w:p w14:paraId="63835FA0" w14:textId="77777777" w:rsidR="00BD6C20" w:rsidRPr="00F008FD" w:rsidRDefault="00BD6C20" w:rsidP="00E16E8F">
      <w:pPr>
        <w:pStyle w:val="ListParagraph"/>
        <w:spacing w:after="120"/>
        <w:rPr>
          <w:rFonts w:eastAsia="Arial" w:cs="Arial"/>
        </w:rPr>
      </w:pPr>
    </w:p>
    <w:p w14:paraId="4C793A67" w14:textId="17787802" w:rsidR="009520BC" w:rsidRPr="009520BC" w:rsidRDefault="2DD2D98C" w:rsidP="00856AC4">
      <w:pPr>
        <w:pStyle w:val="ListParagraph"/>
        <w:numPr>
          <w:ilvl w:val="0"/>
          <w:numId w:val="34"/>
        </w:numPr>
        <w:rPr>
          <w:bCs/>
          <w:iCs/>
          <w:lang w:eastAsia="en-GB"/>
        </w:rPr>
      </w:pPr>
      <w:bookmarkStart w:id="33" w:name="_Ref114557003"/>
      <w:r w:rsidRPr="00F008FD">
        <w:rPr>
          <w:rFonts w:eastAsia="Arial" w:cs="Arial"/>
          <w:sz w:val="22"/>
          <w:szCs w:val="22"/>
        </w:rPr>
        <w:t>The analysis gathered knowledge and estimates from HSE</w:t>
      </w:r>
      <w:r w:rsidR="42C324E4" w:rsidRPr="00F008FD">
        <w:rPr>
          <w:rFonts w:eastAsia="Arial" w:cs="Arial"/>
          <w:sz w:val="22"/>
          <w:szCs w:val="22"/>
        </w:rPr>
        <w:t xml:space="preserve"> chemicals regulation experts</w:t>
      </w:r>
      <w:r w:rsidR="4732C18E" w:rsidRPr="00F008FD">
        <w:rPr>
          <w:rFonts w:eastAsia="Arial" w:cs="Arial"/>
          <w:sz w:val="22"/>
          <w:szCs w:val="22"/>
        </w:rPr>
        <w:t>; synthesised intelligence from published industry, government and market intelligence sources; and</w:t>
      </w:r>
      <w:r w:rsidR="004E5B03" w:rsidRPr="00F008FD">
        <w:rPr>
          <w:rFonts w:eastAsia="Arial" w:cs="Arial"/>
          <w:sz w:val="22"/>
          <w:szCs w:val="22"/>
        </w:rPr>
        <w:t xml:space="preserve"> </w:t>
      </w:r>
      <w:r w:rsidR="00532E30" w:rsidRPr="00F008FD">
        <w:rPr>
          <w:rFonts w:eastAsia="Arial" w:cs="Arial"/>
          <w:sz w:val="22"/>
          <w:szCs w:val="22"/>
        </w:rPr>
        <w:t>compared</w:t>
      </w:r>
      <w:r w:rsidR="004E5B03" w:rsidRPr="00F008FD">
        <w:rPr>
          <w:rFonts w:eastAsia="Arial" w:cs="Arial"/>
          <w:sz w:val="22"/>
          <w:szCs w:val="22"/>
        </w:rPr>
        <w:t xml:space="preserve"> </w:t>
      </w:r>
      <w:r w:rsidR="00CC7EE9" w:rsidRPr="00F008FD">
        <w:rPr>
          <w:rFonts w:eastAsia="Arial" w:cs="Arial"/>
          <w:sz w:val="22"/>
          <w:szCs w:val="22"/>
        </w:rPr>
        <w:t>published lists of active substances and products that are approved and authorised in GB and the EU</w:t>
      </w:r>
      <w:r w:rsidR="008360D4" w:rsidRPr="00F008FD">
        <w:rPr>
          <w:rFonts w:eastAsia="Arial" w:cs="Arial"/>
          <w:sz w:val="22"/>
          <w:szCs w:val="22"/>
        </w:rPr>
        <w:t xml:space="preserve">. This allowed us to estimate the proportion of actives and products </w:t>
      </w:r>
      <w:r w:rsidR="006C1705" w:rsidRPr="00F008FD">
        <w:rPr>
          <w:rFonts w:eastAsia="Arial" w:cs="Arial"/>
          <w:sz w:val="22"/>
          <w:szCs w:val="22"/>
        </w:rPr>
        <w:t xml:space="preserve">approved and authorised in GB have also been processed through the EU system. There is some level of uncertainty in this analysis, as it </w:t>
      </w:r>
      <w:r w:rsidR="00AB23AE" w:rsidRPr="00F008FD">
        <w:rPr>
          <w:rFonts w:eastAsia="Arial" w:cs="Arial"/>
          <w:sz w:val="22"/>
          <w:szCs w:val="22"/>
        </w:rPr>
        <w:t xml:space="preserve">required some interpretation of substances and companies with similar names and some additional research into </w:t>
      </w:r>
      <w:r w:rsidR="00BD420F" w:rsidRPr="00F008FD">
        <w:rPr>
          <w:rFonts w:eastAsia="Arial" w:cs="Arial"/>
          <w:sz w:val="22"/>
          <w:szCs w:val="22"/>
        </w:rPr>
        <w:t>whether they were in fact the same on both lists.</w:t>
      </w:r>
      <w:r w:rsidR="00FA5139" w:rsidRPr="5AA96F21">
        <w:rPr>
          <w:rStyle w:val="FootnoteReference"/>
          <w:rFonts w:eastAsia="Arial"/>
        </w:rPr>
        <w:footnoteReference w:id="2"/>
      </w:r>
      <w:r w:rsidR="009520BC" w:rsidRPr="00F008FD">
        <w:rPr>
          <w:rFonts w:eastAsia="Arial" w:cs="Arial"/>
          <w:sz w:val="22"/>
          <w:szCs w:val="22"/>
        </w:rPr>
        <w:t xml:space="preserve"> This analysis has led us to conclude that</w:t>
      </w:r>
      <w:r w:rsidR="005C1979">
        <w:rPr>
          <w:rFonts w:eastAsia="Arial" w:cs="Arial"/>
          <w:sz w:val="22"/>
          <w:szCs w:val="22"/>
        </w:rPr>
        <w:t>:</w:t>
      </w:r>
      <w:bookmarkEnd w:id="32"/>
      <w:bookmarkEnd w:id="33"/>
    </w:p>
    <w:p w14:paraId="25762E6F" w14:textId="3C42BCCF" w:rsidR="009520BC" w:rsidRPr="00F008FD" w:rsidRDefault="009520BC" w:rsidP="00764034">
      <w:pPr>
        <w:pStyle w:val="ListParagraph"/>
        <w:numPr>
          <w:ilvl w:val="1"/>
          <w:numId w:val="35"/>
        </w:numPr>
        <w:rPr>
          <w:sz w:val="22"/>
          <w:szCs w:val="22"/>
          <w:lang w:eastAsia="en-GB"/>
        </w:rPr>
      </w:pPr>
      <w:r w:rsidRPr="00F008FD">
        <w:rPr>
          <w:sz w:val="22"/>
          <w:szCs w:val="22"/>
          <w:lang w:eastAsia="en-GB"/>
        </w:rPr>
        <w:t xml:space="preserve">For active substances, </w:t>
      </w:r>
      <w:r w:rsidR="006E065A" w:rsidRPr="00F008FD">
        <w:rPr>
          <w:sz w:val="22"/>
          <w:szCs w:val="22"/>
          <w:lang w:eastAsia="en-GB"/>
        </w:rPr>
        <w:t xml:space="preserve">between 1% and 3% might be expected to </w:t>
      </w:r>
      <w:r w:rsidR="003F3199" w:rsidRPr="00F008FD">
        <w:rPr>
          <w:sz w:val="22"/>
          <w:szCs w:val="22"/>
          <w:lang w:eastAsia="en-GB"/>
        </w:rPr>
        <w:t>seek GB approval without also seeking EU approval</w:t>
      </w:r>
    </w:p>
    <w:p w14:paraId="57582426" w14:textId="4E996799" w:rsidR="003F3199" w:rsidRPr="00F008FD" w:rsidRDefault="003F3199" w:rsidP="00764034">
      <w:pPr>
        <w:pStyle w:val="ListParagraph"/>
        <w:numPr>
          <w:ilvl w:val="1"/>
          <w:numId w:val="35"/>
        </w:numPr>
        <w:rPr>
          <w:sz w:val="22"/>
          <w:szCs w:val="22"/>
          <w:lang w:eastAsia="en-GB"/>
        </w:rPr>
      </w:pPr>
      <w:r w:rsidRPr="00F008FD">
        <w:rPr>
          <w:sz w:val="22"/>
          <w:szCs w:val="22"/>
          <w:lang w:eastAsia="en-GB"/>
        </w:rPr>
        <w:t xml:space="preserve">For products, </w:t>
      </w:r>
      <w:r w:rsidR="003D2116">
        <w:rPr>
          <w:sz w:val="22"/>
          <w:szCs w:val="22"/>
          <w:lang w:eastAsia="en-GB"/>
        </w:rPr>
        <w:t>no more than</w:t>
      </w:r>
      <w:r w:rsidR="003D2116" w:rsidRPr="00F008FD">
        <w:rPr>
          <w:sz w:val="22"/>
          <w:szCs w:val="22"/>
          <w:lang w:eastAsia="en-GB"/>
        </w:rPr>
        <w:t xml:space="preserve"> </w:t>
      </w:r>
      <w:r w:rsidRPr="00F008FD">
        <w:rPr>
          <w:sz w:val="22"/>
          <w:szCs w:val="22"/>
          <w:lang w:eastAsia="en-GB"/>
        </w:rPr>
        <w:t>38% might be expected to see</w:t>
      </w:r>
      <w:r w:rsidR="00FC0E93">
        <w:rPr>
          <w:sz w:val="22"/>
          <w:szCs w:val="22"/>
          <w:lang w:eastAsia="en-GB"/>
        </w:rPr>
        <w:t>k</w:t>
      </w:r>
      <w:r w:rsidRPr="00F008FD">
        <w:rPr>
          <w:sz w:val="22"/>
          <w:szCs w:val="22"/>
          <w:lang w:eastAsia="en-GB"/>
        </w:rPr>
        <w:t xml:space="preserve"> GB authorisation without also seeking </w:t>
      </w:r>
      <w:r w:rsidR="004B14CC" w:rsidRPr="00F008FD">
        <w:rPr>
          <w:sz w:val="22"/>
          <w:szCs w:val="22"/>
          <w:lang w:eastAsia="en-GB"/>
        </w:rPr>
        <w:t>EU Member State authorisation</w:t>
      </w:r>
    </w:p>
    <w:p w14:paraId="201B7464" w14:textId="77777777" w:rsidR="004B14CC" w:rsidRDefault="004B14CC" w:rsidP="004B14CC">
      <w:pPr>
        <w:rPr>
          <w:bCs/>
          <w:iCs/>
          <w:lang w:eastAsia="en-GB"/>
        </w:rPr>
      </w:pPr>
    </w:p>
    <w:p w14:paraId="2099BE63" w14:textId="67D3E183" w:rsidR="004B14CC" w:rsidRPr="00F008FD" w:rsidRDefault="004B14CC" w:rsidP="00F008FD">
      <w:pPr>
        <w:pStyle w:val="ListParagraph"/>
        <w:numPr>
          <w:ilvl w:val="0"/>
          <w:numId w:val="34"/>
        </w:numPr>
        <w:spacing w:after="120"/>
        <w:rPr>
          <w:rFonts w:eastAsia="Arial" w:cs="Arial"/>
          <w:sz w:val="22"/>
          <w:szCs w:val="22"/>
        </w:rPr>
      </w:pPr>
      <w:bookmarkStart w:id="34" w:name="_Ref111715561"/>
      <w:r w:rsidRPr="00F008FD">
        <w:rPr>
          <w:rFonts w:eastAsia="Arial" w:cs="Arial"/>
          <w:sz w:val="22"/>
          <w:szCs w:val="22"/>
        </w:rPr>
        <w:t>In addition, HSE toxicologists estimate</w:t>
      </w:r>
      <w:r w:rsidR="001377B3" w:rsidRPr="00F008FD">
        <w:rPr>
          <w:rFonts w:eastAsia="Arial" w:cs="Arial"/>
          <w:sz w:val="22"/>
          <w:szCs w:val="22"/>
        </w:rPr>
        <w:t xml:space="preserve"> based on their own experience assessing products</w:t>
      </w:r>
      <w:r w:rsidRPr="00F008FD">
        <w:rPr>
          <w:rFonts w:eastAsia="Arial" w:cs="Arial"/>
          <w:sz w:val="22"/>
          <w:szCs w:val="22"/>
        </w:rPr>
        <w:t xml:space="preserve"> that </w:t>
      </w:r>
      <w:r w:rsidR="001377B3" w:rsidRPr="00F008FD">
        <w:rPr>
          <w:rFonts w:eastAsia="Arial" w:cs="Arial"/>
          <w:sz w:val="22"/>
          <w:szCs w:val="22"/>
        </w:rPr>
        <w:t>around 90% of products in GB are assessed using the CLP calculation method</w:t>
      </w:r>
      <w:r w:rsidR="00DE0171" w:rsidRPr="00F008FD">
        <w:rPr>
          <w:rFonts w:eastAsia="Arial" w:cs="Arial"/>
          <w:sz w:val="22"/>
          <w:szCs w:val="22"/>
        </w:rPr>
        <w:t xml:space="preserve"> (and so, only 10% will incur additional test costs). </w:t>
      </w:r>
      <w:r w:rsidR="00042A38" w:rsidRPr="00F008FD">
        <w:rPr>
          <w:rFonts w:eastAsia="Arial" w:cs="Arial"/>
          <w:sz w:val="22"/>
          <w:szCs w:val="22"/>
        </w:rPr>
        <w:t>Combining this with the estimate of 38% of products also seeking EU Member State authorisation, we therefore estimate that</w:t>
      </w:r>
      <w:r w:rsidR="002401CB" w:rsidRPr="00F008FD">
        <w:rPr>
          <w:rFonts w:eastAsia="Arial" w:cs="Arial"/>
          <w:sz w:val="22"/>
          <w:szCs w:val="22"/>
        </w:rPr>
        <w:t>:</w:t>
      </w:r>
      <w:bookmarkEnd w:id="34"/>
    </w:p>
    <w:p w14:paraId="1E47E73A" w14:textId="77777777" w:rsidR="002401CB" w:rsidRDefault="002401CB" w:rsidP="002401CB">
      <w:pPr>
        <w:ind w:left="357"/>
        <w:jc w:val="both"/>
        <w:rPr>
          <w:bCs/>
          <w:iCs/>
          <w:lang w:eastAsia="en-GB"/>
        </w:rPr>
      </w:pPr>
    </w:p>
    <w:p w14:paraId="5D932B80" w14:textId="0BF48CFB" w:rsidR="002401CB" w:rsidRPr="00F008FD" w:rsidRDefault="002401CB" w:rsidP="00F008FD">
      <w:pPr>
        <w:pStyle w:val="ListParagraph"/>
        <w:numPr>
          <w:ilvl w:val="0"/>
          <w:numId w:val="39"/>
        </w:numPr>
        <w:rPr>
          <w:sz w:val="22"/>
          <w:szCs w:val="22"/>
          <w:lang w:eastAsia="en-GB"/>
        </w:rPr>
      </w:pPr>
      <w:r w:rsidRPr="00F008FD">
        <w:rPr>
          <w:sz w:val="22"/>
          <w:szCs w:val="22"/>
          <w:lang w:eastAsia="en-GB"/>
        </w:rPr>
        <w:lastRenderedPageBreak/>
        <w:t>For active substances, between 1% and 3% will incur additional test costs, with a mid-estimate of 2%</w:t>
      </w:r>
    </w:p>
    <w:p w14:paraId="56E77E59" w14:textId="11D13798" w:rsidR="002401CB" w:rsidRPr="002401CB" w:rsidRDefault="002401CB" w:rsidP="00F008FD">
      <w:pPr>
        <w:pStyle w:val="ListParagraph"/>
        <w:numPr>
          <w:ilvl w:val="0"/>
          <w:numId w:val="39"/>
        </w:numPr>
        <w:rPr>
          <w:bCs/>
          <w:iCs/>
          <w:lang w:eastAsia="en-GB"/>
        </w:rPr>
      </w:pPr>
      <w:r w:rsidRPr="00F008FD">
        <w:rPr>
          <w:sz w:val="22"/>
          <w:szCs w:val="22"/>
          <w:lang w:eastAsia="en-GB"/>
        </w:rPr>
        <w:t>For products, around 3.8% will incur additional test costs</w:t>
      </w:r>
    </w:p>
    <w:p w14:paraId="1FD5A6B1" w14:textId="77777777" w:rsidR="00B83DE6" w:rsidRDefault="00B83DE6" w:rsidP="00B83DE6">
      <w:pPr>
        <w:jc w:val="both"/>
        <w:rPr>
          <w:bCs/>
          <w:iCs/>
          <w:lang w:eastAsia="en-GB"/>
        </w:rPr>
      </w:pPr>
    </w:p>
    <w:p w14:paraId="2178E642" w14:textId="2C0A83F2" w:rsidR="00BF0BF8" w:rsidRPr="00F008FD" w:rsidRDefault="008336D4" w:rsidP="00F008FD">
      <w:pPr>
        <w:pStyle w:val="ListParagraph"/>
        <w:numPr>
          <w:ilvl w:val="0"/>
          <w:numId w:val="34"/>
        </w:numPr>
        <w:spacing w:after="120"/>
        <w:rPr>
          <w:rFonts w:eastAsia="Arial" w:cs="Arial"/>
          <w:sz w:val="22"/>
          <w:szCs w:val="22"/>
        </w:rPr>
      </w:pPr>
      <w:r w:rsidRPr="00F008FD">
        <w:rPr>
          <w:rFonts w:eastAsia="Arial" w:cs="Arial"/>
          <w:sz w:val="22"/>
          <w:szCs w:val="22"/>
        </w:rPr>
        <w:t>Numbers of a</w:t>
      </w:r>
      <w:r w:rsidR="00B930F5" w:rsidRPr="00F008FD">
        <w:rPr>
          <w:rFonts w:eastAsia="Arial" w:cs="Arial"/>
          <w:sz w:val="22"/>
          <w:szCs w:val="22"/>
        </w:rPr>
        <w:t xml:space="preserve">ctive substance and product submissions </w:t>
      </w:r>
      <w:r w:rsidRPr="00F008FD">
        <w:rPr>
          <w:rFonts w:eastAsia="Arial" w:cs="Arial"/>
          <w:sz w:val="22"/>
          <w:szCs w:val="22"/>
        </w:rPr>
        <w:t xml:space="preserve">expected to incur additional test costs are </w:t>
      </w:r>
      <w:r w:rsidR="002D34EB" w:rsidRPr="00F008FD">
        <w:rPr>
          <w:rFonts w:eastAsia="Arial" w:cs="Arial"/>
          <w:sz w:val="22"/>
          <w:szCs w:val="22"/>
        </w:rPr>
        <w:t xml:space="preserve">summarised below in </w:t>
      </w:r>
      <w:r w:rsidR="005D28EF" w:rsidRPr="00F008FD">
        <w:rPr>
          <w:rFonts w:eastAsia="Arial" w:cs="Arial"/>
          <w:sz w:val="22"/>
          <w:szCs w:val="22"/>
        </w:rPr>
        <w:fldChar w:fldCharType="begin"/>
      </w:r>
      <w:r w:rsidR="005D28EF" w:rsidRPr="00F008FD">
        <w:rPr>
          <w:rFonts w:eastAsia="Arial" w:cs="Arial"/>
          <w:sz w:val="22"/>
          <w:szCs w:val="22"/>
        </w:rPr>
        <w:instrText xml:space="preserve"> REF _Ref111708851 \h </w:instrText>
      </w:r>
      <w:r w:rsidR="00187F08">
        <w:rPr>
          <w:rFonts w:eastAsia="Arial" w:cs="Arial"/>
          <w:sz w:val="22"/>
          <w:szCs w:val="22"/>
        </w:rPr>
        <w:instrText xml:space="preserve"> \* MERGEFORMAT </w:instrText>
      </w:r>
      <w:r w:rsidR="005D28EF" w:rsidRPr="00F008FD">
        <w:rPr>
          <w:rFonts w:eastAsia="Arial" w:cs="Arial"/>
          <w:sz w:val="22"/>
          <w:szCs w:val="22"/>
        </w:rPr>
      </w:r>
      <w:r w:rsidR="005D28EF" w:rsidRPr="00F008FD">
        <w:rPr>
          <w:rFonts w:eastAsia="Arial" w:cs="Arial"/>
          <w:sz w:val="22"/>
          <w:szCs w:val="22"/>
        </w:rPr>
        <w:fldChar w:fldCharType="separate"/>
      </w:r>
      <w:r w:rsidR="005D28EF" w:rsidRPr="00F008FD">
        <w:rPr>
          <w:rFonts w:eastAsia="Arial" w:cs="Arial"/>
          <w:sz w:val="22"/>
          <w:szCs w:val="22"/>
        </w:rPr>
        <w:t>Table 2</w:t>
      </w:r>
      <w:r w:rsidR="005D28EF" w:rsidRPr="00F008FD">
        <w:rPr>
          <w:rFonts w:eastAsia="Arial" w:cs="Arial"/>
          <w:sz w:val="22"/>
          <w:szCs w:val="22"/>
        </w:rPr>
        <w:fldChar w:fldCharType="end"/>
      </w:r>
      <w:r w:rsidR="005D28EF" w:rsidRPr="00F008FD">
        <w:rPr>
          <w:rFonts w:eastAsia="Arial" w:cs="Arial"/>
          <w:sz w:val="22"/>
          <w:szCs w:val="22"/>
        </w:rPr>
        <w:t>.</w:t>
      </w:r>
    </w:p>
    <w:p w14:paraId="0FF1F538" w14:textId="77777777" w:rsidR="002D34EB" w:rsidRDefault="002D34EB" w:rsidP="002D34EB">
      <w:pPr>
        <w:jc w:val="both"/>
        <w:rPr>
          <w:lang w:eastAsia="en-GB"/>
        </w:rPr>
      </w:pPr>
    </w:p>
    <w:p w14:paraId="444637F8" w14:textId="3B074BB9" w:rsidR="002D34EB" w:rsidRDefault="002D34EB" w:rsidP="00CD49DF">
      <w:pPr>
        <w:pStyle w:val="Caption"/>
        <w:keepNext/>
        <w:keepLines/>
      </w:pPr>
      <w:bookmarkStart w:id="35" w:name="_Ref111708851"/>
      <w:r>
        <w:t xml:space="preserve">Table </w:t>
      </w:r>
      <w:r>
        <w:fldChar w:fldCharType="begin"/>
      </w:r>
      <w:r>
        <w:instrText>SEQ Table \* ARABIC</w:instrText>
      </w:r>
      <w:r>
        <w:fldChar w:fldCharType="separate"/>
      </w:r>
      <w:r w:rsidR="00286F63">
        <w:rPr>
          <w:noProof/>
        </w:rPr>
        <w:t>2</w:t>
      </w:r>
      <w:r>
        <w:fldChar w:fldCharType="end"/>
      </w:r>
      <w:bookmarkEnd w:id="35"/>
      <w:r>
        <w:t xml:space="preserve">: Estimated </w:t>
      </w:r>
      <w:r w:rsidR="005946AA">
        <w:t>numbers</w:t>
      </w:r>
      <w:r>
        <w:t xml:space="preserve"> of </w:t>
      </w:r>
      <w:r w:rsidR="005946AA">
        <w:t>BPR submissions incurring additional test costs per annum</w:t>
      </w:r>
    </w:p>
    <w:tbl>
      <w:tblPr>
        <w:tblW w:w="0" w:type="auto"/>
        <w:tblLook w:val="04A0" w:firstRow="1" w:lastRow="0" w:firstColumn="1" w:lastColumn="0" w:noHBand="0" w:noVBand="1"/>
      </w:tblPr>
      <w:tblGrid>
        <w:gridCol w:w="1951"/>
        <w:gridCol w:w="646"/>
        <w:gridCol w:w="646"/>
        <w:gridCol w:w="669"/>
      </w:tblGrid>
      <w:tr w:rsidR="005946AA" w:rsidRPr="005946AA" w14:paraId="355A18FC" w14:textId="77777777" w:rsidTr="00CD49DF">
        <w:trPr>
          <w:trHeight w:val="30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DBD4208" w14:textId="77777777" w:rsidR="005946AA" w:rsidRPr="005946AA" w:rsidRDefault="005946AA" w:rsidP="005946AA">
            <w:pPr>
              <w:keepNext/>
              <w:keepLines/>
              <w:rPr>
                <w:rFonts w:ascii="Calibri" w:hAnsi="Calibri" w:cs="Calibri"/>
                <w:b/>
                <w:bCs/>
                <w:color w:val="000000"/>
                <w:lang w:eastAsia="en-GB"/>
              </w:rPr>
            </w:pPr>
            <w:r w:rsidRPr="005946AA">
              <w:rPr>
                <w:rFonts w:ascii="Calibri" w:hAnsi="Calibri" w:cs="Calibri"/>
                <w:b/>
                <w:bCs/>
                <w:color w:val="000000"/>
                <w:lang w:eastAsia="en-GB"/>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109B1E5A" w14:textId="77777777" w:rsidR="005946AA" w:rsidRPr="005946AA" w:rsidRDefault="005946AA" w:rsidP="005946AA">
            <w:pPr>
              <w:keepNext/>
              <w:keepLines/>
              <w:jc w:val="right"/>
              <w:rPr>
                <w:rFonts w:ascii="Calibri" w:hAnsi="Calibri" w:cs="Calibri"/>
                <w:b/>
                <w:bCs/>
                <w:color w:val="000000"/>
                <w:lang w:eastAsia="en-GB"/>
              </w:rPr>
            </w:pPr>
            <w:r w:rsidRPr="005946AA">
              <w:rPr>
                <w:rFonts w:ascii="Calibri" w:hAnsi="Calibri" w:cs="Calibri"/>
                <w:b/>
                <w:bCs/>
                <w:color w:val="000000"/>
                <w:lang w:eastAsia="en-GB"/>
              </w:rPr>
              <w:t>Low</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29E81679" w14:textId="77777777" w:rsidR="005946AA" w:rsidRPr="005946AA" w:rsidRDefault="005946AA" w:rsidP="005946AA">
            <w:pPr>
              <w:keepNext/>
              <w:keepLines/>
              <w:jc w:val="right"/>
              <w:rPr>
                <w:rFonts w:ascii="Calibri" w:hAnsi="Calibri" w:cs="Calibri"/>
                <w:b/>
                <w:bCs/>
                <w:color w:val="000000"/>
                <w:lang w:eastAsia="en-GB"/>
              </w:rPr>
            </w:pPr>
            <w:r w:rsidRPr="005946AA">
              <w:rPr>
                <w:rFonts w:ascii="Calibri" w:hAnsi="Calibri" w:cs="Calibri"/>
                <w:b/>
                <w:bCs/>
                <w:color w:val="000000"/>
                <w:lang w:eastAsia="en-GB"/>
              </w:rPr>
              <w:t>Mid</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47B2E724" w14:textId="77777777" w:rsidR="005946AA" w:rsidRPr="005946AA" w:rsidRDefault="005946AA" w:rsidP="005946AA">
            <w:pPr>
              <w:keepNext/>
              <w:keepLines/>
              <w:jc w:val="right"/>
              <w:rPr>
                <w:rFonts w:ascii="Calibri" w:hAnsi="Calibri" w:cs="Calibri"/>
                <w:b/>
                <w:bCs/>
                <w:color w:val="000000"/>
                <w:lang w:eastAsia="en-GB"/>
              </w:rPr>
            </w:pPr>
            <w:r w:rsidRPr="005946AA">
              <w:rPr>
                <w:rFonts w:ascii="Calibri" w:hAnsi="Calibri" w:cs="Calibri"/>
                <w:b/>
                <w:bCs/>
                <w:color w:val="000000"/>
                <w:lang w:eastAsia="en-GB"/>
              </w:rPr>
              <w:t>High</w:t>
            </w:r>
          </w:p>
        </w:tc>
      </w:tr>
      <w:tr w:rsidR="005946AA" w:rsidRPr="005946AA" w14:paraId="371046C9" w14:textId="77777777" w:rsidTr="00CD49DF">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5C7D4B45" w14:textId="77777777" w:rsidR="005946AA" w:rsidRPr="005946AA" w:rsidRDefault="005946AA" w:rsidP="005946AA">
            <w:pPr>
              <w:keepNext/>
              <w:keepLines/>
              <w:rPr>
                <w:rFonts w:ascii="Calibri" w:hAnsi="Calibri" w:cs="Calibri"/>
                <w:color w:val="000000"/>
                <w:lang w:eastAsia="en-GB"/>
              </w:rPr>
            </w:pPr>
            <w:r w:rsidRPr="005946AA">
              <w:rPr>
                <w:rFonts w:ascii="Calibri" w:hAnsi="Calibri" w:cs="Calibri"/>
                <w:color w:val="000000"/>
                <w:lang w:eastAsia="en-GB"/>
              </w:rPr>
              <w:t>Active substances</w:t>
            </w:r>
          </w:p>
        </w:tc>
        <w:tc>
          <w:tcPr>
            <w:tcW w:w="0" w:type="auto"/>
            <w:tcBorders>
              <w:top w:val="nil"/>
              <w:left w:val="nil"/>
              <w:bottom w:val="single" w:sz="4" w:space="0" w:color="auto"/>
              <w:right w:val="single" w:sz="4" w:space="0" w:color="auto"/>
            </w:tcBorders>
            <w:shd w:val="clear" w:color="auto" w:fill="auto"/>
            <w:noWrap/>
            <w:vAlign w:val="bottom"/>
            <w:hideMark/>
          </w:tcPr>
          <w:p w14:paraId="4DBD7A18" w14:textId="77777777" w:rsidR="005946AA" w:rsidRPr="005946AA" w:rsidRDefault="005946AA" w:rsidP="005946AA">
            <w:pPr>
              <w:keepNext/>
              <w:keepLines/>
              <w:rPr>
                <w:rFonts w:ascii="Calibri" w:hAnsi="Calibri" w:cs="Calibri"/>
                <w:color w:val="000000"/>
                <w:lang w:eastAsia="en-GB"/>
              </w:rPr>
            </w:pPr>
            <w:r w:rsidRPr="005946AA">
              <w:rPr>
                <w:rFonts w:ascii="Calibri"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01D75D" w14:textId="77777777" w:rsidR="005946AA" w:rsidRPr="005946AA" w:rsidRDefault="005946AA" w:rsidP="005946AA">
            <w:pPr>
              <w:keepNext/>
              <w:keepLines/>
              <w:rPr>
                <w:rFonts w:ascii="Calibri" w:hAnsi="Calibri" w:cs="Calibri"/>
                <w:color w:val="000000"/>
                <w:lang w:eastAsia="en-GB"/>
              </w:rPr>
            </w:pPr>
            <w:r w:rsidRPr="005946AA">
              <w:rPr>
                <w:rFonts w:ascii="Calibri" w:hAnsi="Calibri" w:cs="Calibri"/>
                <w:color w:val="000000"/>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56AFF329" w14:textId="77777777" w:rsidR="005946AA" w:rsidRPr="005946AA" w:rsidRDefault="005946AA" w:rsidP="005946AA">
            <w:pPr>
              <w:keepNext/>
              <w:keepLines/>
              <w:rPr>
                <w:rFonts w:ascii="Calibri" w:hAnsi="Calibri" w:cs="Calibri"/>
                <w:color w:val="000000"/>
                <w:lang w:eastAsia="en-GB"/>
              </w:rPr>
            </w:pPr>
            <w:r w:rsidRPr="005946AA">
              <w:rPr>
                <w:rFonts w:ascii="Calibri" w:hAnsi="Calibri" w:cs="Calibri"/>
                <w:color w:val="000000"/>
                <w:lang w:eastAsia="en-GB"/>
              </w:rPr>
              <w:t> </w:t>
            </w:r>
          </w:p>
        </w:tc>
      </w:tr>
      <w:tr w:rsidR="005946AA" w:rsidRPr="005946AA" w14:paraId="62023CBD" w14:textId="77777777" w:rsidTr="00CD49DF">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6784D29" w14:textId="77777777" w:rsidR="005946AA" w:rsidRPr="005946AA" w:rsidRDefault="005946AA" w:rsidP="005946AA">
            <w:pPr>
              <w:keepNext/>
              <w:keepLines/>
              <w:ind w:firstLineChars="100" w:firstLine="240"/>
              <w:rPr>
                <w:rFonts w:ascii="Calibri" w:hAnsi="Calibri" w:cs="Calibri"/>
                <w:color w:val="000000"/>
                <w:lang w:eastAsia="en-GB"/>
              </w:rPr>
            </w:pPr>
            <w:r w:rsidRPr="005946AA">
              <w:rPr>
                <w:rFonts w:ascii="Calibri" w:hAnsi="Calibri" w:cs="Calibri"/>
                <w:color w:val="000000"/>
                <w:lang w:eastAsia="en-GB"/>
              </w:rPr>
              <w:t>New</w:t>
            </w:r>
          </w:p>
        </w:tc>
        <w:tc>
          <w:tcPr>
            <w:tcW w:w="0" w:type="auto"/>
            <w:tcBorders>
              <w:top w:val="nil"/>
              <w:left w:val="nil"/>
              <w:bottom w:val="single" w:sz="4" w:space="0" w:color="auto"/>
              <w:right w:val="single" w:sz="4" w:space="0" w:color="auto"/>
            </w:tcBorders>
            <w:shd w:val="clear" w:color="auto" w:fill="auto"/>
            <w:noWrap/>
            <w:vAlign w:val="bottom"/>
            <w:hideMark/>
          </w:tcPr>
          <w:p w14:paraId="5034E3F4"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Nil</w:t>
            </w:r>
          </w:p>
        </w:tc>
        <w:tc>
          <w:tcPr>
            <w:tcW w:w="0" w:type="auto"/>
            <w:tcBorders>
              <w:top w:val="nil"/>
              <w:left w:val="nil"/>
              <w:bottom w:val="single" w:sz="4" w:space="0" w:color="auto"/>
              <w:right w:val="single" w:sz="4" w:space="0" w:color="auto"/>
            </w:tcBorders>
            <w:shd w:val="clear" w:color="auto" w:fill="auto"/>
            <w:noWrap/>
            <w:vAlign w:val="bottom"/>
            <w:hideMark/>
          </w:tcPr>
          <w:p w14:paraId="1819DB1D"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0.01</w:t>
            </w:r>
          </w:p>
        </w:tc>
        <w:tc>
          <w:tcPr>
            <w:tcW w:w="0" w:type="auto"/>
            <w:tcBorders>
              <w:top w:val="nil"/>
              <w:left w:val="nil"/>
              <w:bottom w:val="single" w:sz="4" w:space="0" w:color="auto"/>
              <w:right w:val="single" w:sz="8" w:space="0" w:color="auto"/>
            </w:tcBorders>
            <w:shd w:val="clear" w:color="auto" w:fill="auto"/>
            <w:noWrap/>
            <w:vAlign w:val="bottom"/>
            <w:hideMark/>
          </w:tcPr>
          <w:p w14:paraId="32F7A859"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0.03</w:t>
            </w:r>
          </w:p>
        </w:tc>
      </w:tr>
      <w:tr w:rsidR="005946AA" w:rsidRPr="005946AA" w14:paraId="54F316E7" w14:textId="77777777" w:rsidTr="00CD49DF">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AE119C5" w14:textId="77777777" w:rsidR="005946AA" w:rsidRPr="005946AA" w:rsidRDefault="005946AA" w:rsidP="005946AA">
            <w:pPr>
              <w:keepNext/>
              <w:keepLines/>
              <w:ind w:firstLineChars="100" w:firstLine="240"/>
              <w:rPr>
                <w:rFonts w:ascii="Calibri" w:hAnsi="Calibri" w:cs="Calibri"/>
                <w:color w:val="000000"/>
                <w:lang w:eastAsia="en-GB"/>
              </w:rPr>
            </w:pPr>
            <w:r w:rsidRPr="005946AA">
              <w:rPr>
                <w:rFonts w:ascii="Calibri" w:hAnsi="Calibri" w:cs="Calibri"/>
                <w:color w:val="000000"/>
                <w:lang w:eastAsia="en-GB"/>
              </w:rPr>
              <w:t>Renewals</w:t>
            </w:r>
          </w:p>
        </w:tc>
        <w:tc>
          <w:tcPr>
            <w:tcW w:w="0" w:type="auto"/>
            <w:tcBorders>
              <w:top w:val="nil"/>
              <w:left w:val="nil"/>
              <w:bottom w:val="single" w:sz="4" w:space="0" w:color="auto"/>
              <w:right w:val="single" w:sz="4" w:space="0" w:color="auto"/>
            </w:tcBorders>
            <w:shd w:val="clear" w:color="auto" w:fill="auto"/>
            <w:noWrap/>
            <w:vAlign w:val="bottom"/>
            <w:hideMark/>
          </w:tcPr>
          <w:p w14:paraId="78A65EBF"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0.1</w:t>
            </w:r>
          </w:p>
        </w:tc>
        <w:tc>
          <w:tcPr>
            <w:tcW w:w="0" w:type="auto"/>
            <w:tcBorders>
              <w:top w:val="nil"/>
              <w:left w:val="nil"/>
              <w:bottom w:val="single" w:sz="4" w:space="0" w:color="auto"/>
              <w:right w:val="single" w:sz="4" w:space="0" w:color="auto"/>
            </w:tcBorders>
            <w:shd w:val="clear" w:color="auto" w:fill="auto"/>
            <w:noWrap/>
            <w:vAlign w:val="bottom"/>
            <w:hideMark/>
          </w:tcPr>
          <w:p w14:paraId="218DD0D5"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0.21</w:t>
            </w:r>
          </w:p>
        </w:tc>
        <w:tc>
          <w:tcPr>
            <w:tcW w:w="0" w:type="auto"/>
            <w:tcBorders>
              <w:top w:val="nil"/>
              <w:left w:val="nil"/>
              <w:bottom w:val="single" w:sz="4" w:space="0" w:color="auto"/>
              <w:right w:val="single" w:sz="8" w:space="0" w:color="auto"/>
            </w:tcBorders>
            <w:shd w:val="clear" w:color="auto" w:fill="auto"/>
            <w:noWrap/>
            <w:vAlign w:val="bottom"/>
            <w:hideMark/>
          </w:tcPr>
          <w:p w14:paraId="58913034"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0.3</w:t>
            </w:r>
          </w:p>
        </w:tc>
      </w:tr>
      <w:tr w:rsidR="005946AA" w:rsidRPr="005946AA" w14:paraId="4B4F0E6A" w14:textId="77777777" w:rsidTr="00CD49DF">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CC277DC" w14:textId="77777777" w:rsidR="005946AA" w:rsidRPr="005946AA" w:rsidRDefault="005946AA" w:rsidP="005946AA">
            <w:pPr>
              <w:keepNext/>
              <w:keepLines/>
              <w:rPr>
                <w:rFonts w:ascii="Calibri" w:hAnsi="Calibri" w:cs="Calibri"/>
                <w:b/>
                <w:bCs/>
                <w:color w:val="000000"/>
                <w:lang w:eastAsia="en-GB"/>
              </w:rPr>
            </w:pPr>
            <w:r w:rsidRPr="005946AA">
              <w:rPr>
                <w:rFonts w:ascii="Calibri" w:hAnsi="Calibri" w:cs="Calibri"/>
                <w:b/>
                <w:bCs/>
                <w:color w:val="000000"/>
                <w:lang w:eastAsia="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B7CE188" w14:textId="77777777" w:rsidR="005946AA" w:rsidRPr="005946AA" w:rsidRDefault="005946AA" w:rsidP="005946AA">
            <w:pPr>
              <w:keepNext/>
              <w:keepLines/>
              <w:jc w:val="right"/>
              <w:rPr>
                <w:rFonts w:ascii="Calibri" w:hAnsi="Calibri" w:cs="Calibri"/>
                <w:b/>
                <w:bCs/>
                <w:color w:val="000000"/>
                <w:lang w:eastAsia="en-GB"/>
              </w:rPr>
            </w:pPr>
            <w:r w:rsidRPr="005946AA">
              <w:rPr>
                <w:rFonts w:ascii="Calibri" w:hAnsi="Calibri" w:cs="Calibri"/>
                <w:b/>
                <w:bCs/>
                <w:color w:val="000000"/>
                <w:lang w:eastAsia="en-GB"/>
              </w:rPr>
              <w:t>0.10</w:t>
            </w:r>
          </w:p>
        </w:tc>
        <w:tc>
          <w:tcPr>
            <w:tcW w:w="0" w:type="auto"/>
            <w:tcBorders>
              <w:top w:val="nil"/>
              <w:left w:val="nil"/>
              <w:bottom w:val="single" w:sz="4" w:space="0" w:color="auto"/>
              <w:right w:val="single" w:sz="4" w:space="0" w:color="auto"/>
            </w:tcBorders>
            <w:shd w:val="clear" w:color="auto" w:fill="auto"/>
            <w:noWrap/>
            <w:vAlign w:val="bottom"/>
            <w:hideMark/>
          </w:tcPr>
          <w:p w14:paraId="20E4D123" w14:textId="77777777" w:rsidR="005946AA" w:rsidRPr="005946AA" w:rsidRDefault="005946AA" w:rsidP="005946AA">
            <w:pPr>
              <w:keepNext/>
              <w:keepLines/>
              <w:jc w:val="right"/>
              <w:rPr>
                <w:rFonts w:ascii="Calibri" w:hAnsi="Calibri" w:cs="Calibri"/>
                <w:b/>
                <w:bCs/>
                <w:color w:val="000000"/>
                <w:lang w:eastAsia="en-GB"/>
              </w:rPr>
            </w:pPr>
            <w:r w:rsidRPr="005946AA">
              <w:rPr>
                <w:rFonts w:ascii="Calibri" w:hAnsi="Calibri" w:cs="Calibri"/>
                <w:b/>
                <w:bCs/>
                <w:color w:val="000000"/>
                <w:lang w:eastAsia="en-GB"/>
              </w:rPr>
              <w:t>0.22</w:t>
            </w:r>
          </w:p>
        </w:tc>
        <w:tc>
          <w:tcPr>
            <w:tcW w:w="0" w:type="auto"/>
            <w:tcBorders>
              <w:top w:val="nil"/>
              <w:left w:val="nil"/>
              <w:bottom w:val="single" w:sz="4" w:space="0" w:color="auto"/>
              <w:right w:val="single" w:sz="8" w:space="0" w:color="auto"/>
            </w:tcBorders>
            <w:shd w:val="clear" w:color="auto" w:fill="auto"/>
            <w:noWrap/>
            <w:vAlign w:val="bottom"/>
            <w:hideMark/>
          </w:tcPr>
          <w:p w14:paraId="0537DE12" w14:textId="77777777" w:rsidR="005946AA" w:rsidRPr="005946AA" w:rsidRDefault="005946AA" w:rsidP="005946AA">
            <w:pPr>
              <w:keepNext/>
              <w:keepLines/>
              <w:jc w:val="right"/>
              <w:rPr>
                <w:rFonts w:ascii="Calibri" w:hAnsi="Calibri" w:cs="Calibri"/>
                <w:b/>
                <w:bCs/>
                <w:color w:val="000000"/>
                <w:lang w:eastAsia="en-GB"/>
              </w:rPr>
            </w:pPr>
            <w:r w:rsidRPr="005946AA">
              <w:rPr>
                <w:rFonts w:ascii="Calibri" w:hAnsi="Calibri" w:cs="Calibri"/>
                <w:b/>
                <w:bCs/>
                <w:color w:val="000000"/>
                <w:lang w:eastAsia="en-GB"/>
              </w:rPr>
              <w:t>0.36</w:t>
            </w:r>
          </w:p>
        </w:tc>
      </w:tr>
      <w:tr w:rsidR="005946AA" w:rsidRPr="005946AA" w14:paraId="5DDD61B6" w14:textId="77777777" w:rsidTr="00CD49DF">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32E8C2FD" w14:textId="77777777" w:rsidR="005946AA" w:rsidRPr="005946AA" w:rsidRDefault="005946AA" w:rsidP="005946AA">
            <w:pPr>
              <w:keepNext/>
              <w:keepLines/>
              <w:rPr>
                <w:rFonts w:ascii="Calibri" w:hAnsi="Calibri" w:cs="Calibri"/>
                <w:color w:val="000000"/>
                <w:lang w:eastAsia="en-GB"/>
              </w:rPr>
            </w:pPr>
            <w:r w:rsidRPr="005946AA">
              <w:rPr>
                <w:rFonts w:ascii="Calibri"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8D2C84"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F19E2C"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204DA5C6"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 </w:t>
            </w:r>
          </w:p>
        </w:tc>
      </w:tr>
      <w:tr w:rsidR="005946AA" w:rsidRPr="005946AA" w14:paraId="2D45048C" w14:textId="77777777" w:rsidTr="00CD49DF">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10FA7995" w14:textId="77777777" w:rsidR="005946AA" w:rsidRPr="005946AA" w:rsidRDefault="005946AA" w:rsidP="005946AA">
            <w:pPr>
              <w:keepNext/>
              <w:keepLines/>
              <w:rPr>
                <w:rFonts w:ascii="Calibri" w:hAnsi="Calibri" w:cs="Calibri"/>
                <w:color w:val="000000"/>
                <w:lang w:eastAsia="en-GB"/>
              </w:rPr>
            </w:pPr>
            <w:r w:rsidRPr="005946AA">
              <w:rPr>
                <w:rFonts w:ascii="Calibri" w:hAnsi="Calibri" w:cs="Calibri"/>
                <w:color w:val="000000"/>
                <w:lang w:eastAsia="en-GB"/>
              </w:rPr>
              <w:t>Products</w:t>
            </w:r>
          </w:p>
        </w:tc>
        <w:tc>
          <w:tcPr>
            <w:tcW w:w="0" w:type="auto"/>
            <w:tcBorders>
              <w:top w:val="nil"/>
              <w:left w:val="nil"/>
              <w:bottom w:val="single" w:sz="4" w:space="0" w:color="auto"/>
              <w:right w:val="single" w:sz="4" w:space="0" w:color="auto"/>
            </w:tcBorders>
            <w:shd w:val="clear" w:color="auto" w:fill="auto"/>
            <w:noWrap/>
            <w:vAlign w:val="bottom"/>
            <w:hideMark/>
          </w:tcPr>
          <w:p w14:paraId="74170345"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1E56C79"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 </w:t>
            </w:r>
          </w:p>
        </w:tc>
        <w:tc>
          <w:tcPr>
            <w:tcW w:w="0" w:type="auto"/>
            <w:tcBorders>
              <w:top w:val="nil"/>
              <w:left w:val="nil"/>
              <w:bottom w:val="single" w:sz="4" w:space="0" w:color="auto"/>
              <w:right w:val="single" w:sz="8" w:space="0" w:color="auto"/>
            </w:tcBorders>
            <w:shd w:val="clear" w:color="auto" w:fill="auto"/>
            <w:noWrap/>
            <w:vAlign w:val="bottom"/>
            <w:hideMark/>
          </w:tcPr>
          <w:p w14:paraId="497F21EB"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 </w:t>
            </w:r>
          </w:p>
        </w:tc>
      </w:tr>
      <w:tr w:rsidR="005946AA" w:rsidRPr="005946AA" w14:paraId="5FE8EDEF" w14:textId="77777777" w:rsidTr="00CD49DF">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4BCC2FF9" w14:textId="77777777" w:rsidR="005946AA" w:rsidRPr="005946AA" w:rsidRDefault="005946AA" w:rsidP="005946AA">
            <w:pPr>
              <w:keepNext/>
              <w:keepLines/>
              <w:ind w:firstLineChars="100" w:firstLine="240"/>
              <w:rPr>
                <w:rFonts w:ascii="Calibri" w:hAnsi="Calibri" w:cs="Calibri"/>
                <w:color w:val="000000"/>
                <w:lang w:eastAsia="en-GB"/>
              </w:rPr>
            </w:pPr>
            <w:r w:rsidRPr="005946AA">
              <w:rPr>
                <w:rFonts w:ascii="Calibri" w:hAnsi="Calibri" w:cs="Calibri"/>
                <w:color w:val="000000"/>
                <w:lang w:eastAsia="en-GB"/>
              </w:rPr>
              <w:t>New</w:t>
            </w:r>
          </w:p>
        </w:tc>
        <w:tc>
          <w:tcPr>
            <w:tcW w:w="0" w:type="auto"/>
            <w:tcBorders>
              <w:top w:val="nil"/>
              <w:left w:val="nil"/>
              <w:bottom w:val="single" w:sz="4" w:space="0" w:color="auto"/>
              <w:right w:val="single" w:sz="4" w:space="0" w:color="auto"/>
            </w:tcBorders>
            <w:shd w:val="clear" w:color="auto" w:fill="auto"/>
            <w:noWrap/>
            <w:vAlign w:val="bottom"/>
            <w:hideMark/>
          </w:tcPr>
          <w:p w14:paraId="73593760"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0.4</w:t>
            </w:r>
          </w:p>
        </w:tc>
        <w:tc>
          <w:tcPr>
            <w:tcW w:w="0" w:type="auto"/>
            <w:tcBorders>
              <w:top w:val="nil"/>
              <w:left w:val="nil"/>
              <w:bottom w:val="single" w:sz="4" w:space="0" w:color="auto"/>
              <w:right w:val="single" w:sz="4" w:space="0" w:color="auto"/>
            </w:tcBorders>
            <w:shd w:val="clear" w:color="auto" w:fill="auto"/>
            <w:noWrap/>
            <w:vAlign w:val="bottom"/>
            <w:hideMark/>
          </w:tcPr>
          <w:p w14:paraId="40AE4880"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2.1</w:t>
            </w:r>
          </w:p>
        </w:tc>
        <w:tc>
          <w:tcPr>
            <w:tcW w:w="0" w:type="auto"/>
            <w:tcBorders>
              <w:top w:val="nil"/>
              <w:left w:val="nil"/>
              <w:bottom w:val="single" w:sz="4" w:space="0" w:color="auto"/>
              <w:right w:val="single" w:sz="8" w:space="0" w:color="auto"/>
            </w:tcBorders>
            <w:shd w:val="clear" w:color="auto" w:fill="auto"/>
            <w:noWrap/>
            <w:vAlign w:val="bottom"/>
            <w:hideMark/>
          </w:tcPr>
          <w:p w14:paraId="79201C41"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3.8</w:t>
            </w:r>
          </w:p>
        </w:tc>
      </w:tr>
      <w:tr w:rsidR="005946AA" w:rsidRPr="005946AA" w14:paraId="4BF9F616" w14:textId="77777777" w:rsidTr="00CD49DF">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5FCE1A3" w14:textId="77777777" w:rsidR="005946AA" w:rsidRPr="005946AA" w:rsidRDefault="005946AA" w:rsidP="005946AA">
            <w:pPr>
              <w:keepNext/>
              <w:keepLines/>
              <w:ind w:firstLineChars="100" w:firstLine="240"/>
              <w:rPr>
                <w:rFonts w:ascii="Calibri" w:hAnsi="Calibri" w:cs="Calibri"/>
                <w:color w:val="000000"/>
                <w:lang w:eastAsia="en-GB"/>
              </w:rPr>
            </w:pPr>
            <w:r w:rsidRPr="005946AA">
              <w:rPr>
                <w:rFonts w:ascii="Calibri" w:hAnsi="Calibri" w:cs="Calibri"/>
                <w:color w:val="000000"/>
                <w:lang w:eastAsia="en-GB"/>
              </w:rPr>
              <w:t>Renewals</w:t>
            </w:r>
          </w:p>
        </w:tc>
        <w:tc>
          <w:tcPr>
            <w:tcW w:w="0" w:type="auto"/>
            <w:tcBorders>
              <w:top w:val="nil"/>
              <w:left w:val="nil"/>
              <w:bottom w:val="single" w:sz="4" w:space="0" w:color="auto"/>
              <w:right w:val="single" w:sz="4" w:space="0" w:color="auto"/>
            </w:tcBorders>
            <w:shd w:val="clear" w:color="auto" w:fill="auto"/>
            <w:noWrap/>
            <w:vAlign w:val="bottom"/>
            <w:hideMark/>
          </w:tcPr>
          <w:p w14:paraId="5168EEB3"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2.3</w:t>
            </w:r>
          </w:p>
        </w:tc>
        <w:tc>
          <w:tcPr>
            <w:tcW w:w="0" w:type="auto"/>
            <w:tcBorders>
              <w:top w:val="nil"/>
              <w:left w:val="nil"/>
              <w:bottom w:val="single" w:sz="4" w:space="0" w:color="auto"/>
              <w:right w:val="single" w:sz="4" w:space="0" w:color="auto"/>
            </w:tcBorders>
            <w:shd w:val="clear" w:color="auto" w:fill="auto"/>
            <w:noWrap/>
            <w:vAlign w:val="bottom"/>
            <w:hideMark/>
          </w:tcPr>
          <w:p w14:paraId="419A239E"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8.6</w:t>
            </w:r>
          </w:p>
        </w:tc>
        <w:tc>
          <w:tcPr>
            <w:tcW w:w="0" w:type="auto"/>
            <w:tcBorders>
              <w:top w:val="nil"/>
              <w:left w:val="nil"/>
              <w:bottom w:val="single" w:sz="4" w:space="0" w:color="auto"/>
              <w:right w:val="single" w:sz="8" w:space="0" w:color="auto"/>
            </w:tcBorders>
            <w:shd w:val="clear" w:color="auto" w:fill="auto"/>
            <w:noWrap/>
            <w:vAlign w:val="bottom"/>
            <w:hideMark/>
          </w:tcPr>
          <w:p w14:paraId="51552F07" w14:textId="77777777" w:rsidR="005946AA" w:rsidRPr="005946AA" w:rsidRDefault="005946AA" w:rsidP="005946AA">
            <w:pPr>
              <w:keepNext/>
              <w:keepLines/>
              <w:jc w:val="right"/>
              <w:rPr>
                <w:rFonts w:ascii="Calibri" w:hAnsi="Calibri" w:cs="Calibri"/>
                <w:color w:val="000000"/>
                <w:lang w:eastAsia="en-GB"/>
              </w:rPr>
            </w:pPr>
            <w:r w:rsidRPr="005946AA">
              <w:rPr>
                <w:rFonts w:ascii="Calibri" w:hAnsi="Calibri" w:cs="Calibri"/>
                <w:color w:val="000000"/>
                <w:lang w:eastAsia="en-GB"/>
              </w:rPr>
              <w:t>15.0</w:t>
            </w:r>
          </w:p>
        </w:tc>
      </w:tr>
      <w:tr w:rsidR="005946AA" w:rsidRPr="005946AA" w14:paraId="37F44CD9" w14:textId="77777777" w:rsidTr="00CD49DF">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F627BF7" w14:textId="77777777" w:rsidR="005946AA" w:rsidRPr="005946AA" w:rsidRDefault="005946AA" w:rsidP="005946AA">
            <w:pPr>
              <w:keepNext/>
              <w:keepLines/>
              <w:rPr>
                <w:rFonts w:ascii="Calibri" w:hAnsi="Calibri" w:cs="Calibri"/>
                <w:b/>
                <w:bCs/>
                <w:color w:val="000000"/>
                <w:lang w:eastAsia="en-GB"/>
              </w:rPr>
            </w:pPr>
            <w:r w:rsidRPr="005946AA">
              <w:rPr>
                <w:rFonts w:ascii="Calibri" w:hAnsi="Calibri" w:cs="Calibri"/>
                <w:b/>
                <w:bCs/>
                <w:color w:val="000000"/>
                <w:lang w:eastAsia="en-GB"/>
              </w:rPr>
              <w:t>Total</w:t>
            </w:r>
          </w:p>
        </w:tc>
        <w:tc>
          <w:tcPr>
            <w:tcW w:w="0" w:type="auto"/>
            <w:tcBorders>
              <w:top w:val="nil"/>
              <w:left w:val="nil"/>
              <w:bottom w:val="single" w:sz="8" w:space="0" w:color="auto"/>
              <w:right w:val="single" w:sz="4" w:space="0" w:color="auto"/>
            </w:tcBorders>
            <w:shd w:val="clear" w:color="auto" w:fill="auto"/>
            <w:noWrap/>
            <w:vAlign w:val="bottom"/>
            <w:hideMark/>
          </w:tcPr>
          <w:p w14:paraId="103A81A2" w14:textId="77777777" w:rsidR="005946AA" w:rsidRPr="005946AA" w:rsidRDefault="005946AA" w:rsidP="005946AA">
            <w:pPr>
              <w:keepNext/>
              <w:keepLines/>
              <w:jc w:val="right"/>
              <w:rPr>
                <w:rFonts w:ascii="Calibri" w:hAnsi="Calibri" w:cs="Calibri"/>
                <w:b/>
                <w:bCs/>
                <w:color w:val="000000"/>
                <w:lang w:eastAsia="en-GB"/>
              </w:rPr>
            </w:pPr>
            <w:r w:rsidRPr="005946AA">
              <w:rPr>
                <w:rFonts w:ascii="Calibri" w:hAnsi="Calibri" w:cs="Calibri"/>
                <w:b/>
                <w:bCs/>
                <w:color w:val="000000"/>
                <w:lang w:eastAsia="en-GB"/>
              </w:rPr>
              <w:t>2.6</w:t>
            </w:r>
          </w:p>
        </w:tc>
        <w:tc>
          <w:tcPr>
            <w:tcW w:w="0" w:type="auto"/>
            <w:tcBorders>
              <w:top w:val="nil"/>
              <w:left w:val="nil"/>
              <w:bottom w:val="single" w:sz="8" w:space="0" w:color="auto"/>
              <w:right w:val="single" w:sz="4" w:space="0" w:color="auto"/>
            </w:tcBorders>
            <w:shd w:val="clear" w:color="auto" w:fill="auto"/>
            <w:noWrap/>
            <w:vAlign w:val="bottom"/>
            <w:hideMark/>
          </w:tcPr>
          <w:p w14:paraId="2F8BE198" w14:textId="77777777" w:rsidR="005946AA" w:rsidRPr="005946AA" w:rsidRDefault="005946AA" w:rsidP="005946AA">
            <w:pPr>
              <w:keepNext/>
              <w:keepLines/>
              <w:jc w:val="right"/>
              <w:rPr>
                <w:rFonts w:ascii="Calibri" w:hAnsi="Calibri" w:cs="Calibri"/>
                <w:b/>
                <w:bCs/>
                <w:color w:val="000000"/>
                <w:lang w:eastAsia="en-GB"/>
              </w:rPr>
            </w:pPr>
            <w:r w:rsidRPr="005946AA">
              <w:rPr>
                <w:rFonts w:ascii="Calibri" w:hAnsi="Calibri" w:cs="Calibri"/>
                <w:b/>
                <w:bCs/>
                <w:color w:val="000000"/>
                <w:lang w:eastAsia="en-GB"/>
              </w:rPr>
              <w:t>10.7</w:t>
            </w:r>
          </w:p>
        </w:tc>
        <w:tc>
          <w:tcPr>
            <w:tcW w:w="0" w:type="auto"/>
            <w:tcBorders>
              <w:top w:val="nil"/>
              <w:left w:val="nil"/>
              <w:bottom w:val="single" w:sz="8" w:space="0" w:color="auto"/>
              <w:right w:val="single" w:sz="8" w:space="0" w:color="auto"/>
            </w:tcBorders>
            <w:shd w:val="clear" w:color="auto" w:fill="auto"/>
            <w:noWrap/>
            <w:vAlign w:val="bottom"/>
            <w:hideMark/>
          </w:tcPr>
          <w:p w14:paraId="245A5179" w14:textId="77777777" w:rsidR="005946AA" w:rsidRPr="005946AA" w:rsidRDefault="005946AA" w:rsidP="005946AA">
            <w:pPr>
              <w:keepNext/>
              <w:keepLines/>
              <w:jc w:val="right"/>
              <w:rPr>
                <w:rFonts w:ascii="Calibri" w:hAnsi="Calibri" w:cs="Calibri"/>
                <w:b/>
                <w:bCs/>
                <w:color w:val="000000"/>
                <w:lang w:eastAsia="en-GB"/>
              </w:rPr>
            </w:pPr>
            <w:r w:rsidRPr="005946AA">
              <w:rPr>
                <w:rFonts w:ascii="Calibri" w:hAnsi="Calibri" w:cs="Calibri"/>
                <w:b/>
                <w:bCs/>
                <w:color w:val="000000"/>
                <w:lang w:eastAsia="en-GB"/>
              </w:rPr>
              <w:t>18.8</w:t>
            </w:r>
          </w:p>
        </w:tc>
      </w:tr>
    </w:tbl>
    <w:p w14:paraId="7F29616A" w14:textId="016F29B0" w:rsidR="0055008C" w:rsidRDefault="0FD673E2" w:rsidP="0055008C">
      <w:pPr>
        <w:pStyle w:val="Heading3"/>
      </w:pPr>
      <w:r>
        <w:t>Additional test costs</w:t>
      </w:r>
    </w:p>
    <w:p w14:paraId="4ED2919F" w14:textId="41ABE8C4" w:rsidR="0055008C" w:rsidRPr="00F008FD" w:rsidRDefault="00333946"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In some cases, active substance and products will already be undertaking </w:t>
      </w:r>
      <w:r w:rsidR="00DB0FFF" w:rsidRPr="00F008FD">
        <w:rPr>
          <w:rFonts w:eastAsia="Arial" w:cs="Arial"/>
          <w:sz w:val="22"/>
          <w:szCs w:val="22"/>
        </w:rPr>
        <w:t xml:space="preserve">tests that the new requirements will displace. </w:t>
      </w:r>
      <w:r w:rsidR="00462220" w:rsidRPr="00F008FD">
        <w:rPr>
          <w:rFonts w:eastAsia="Arial" w:cs="Arial"/>
          <w:sz w:val="22"/>
          <w:szCs w:val="22"/>
        </w:rPr>
        <w:t>For example, where tests are changing from being conducted on animals</w:t>
      </w:r>
      <w:r w:rsidR="00FF58E8" w:rsidRPr="00F008FD">
        <w:rPr>
          <w:rFonts w:eastAsia="Arial" w:cs="Arial"/>
          <w:sz w:val="22"/>
          <w:szCs w:val="22"/>
        </w:rPr>
        <w:t xml:space="preserve"> (‘in vivo’</w:t>
      </w:r>
      <w:r w:rsidR="00A362CE" w:rsidRPr="00856AC4">
        <w:rPr>
          <w:rFonts w:eastAsia="Arial" w:cs="Arial"/>
          <w:sz w:val="22"/>
          <w:szCs w:val="22"/>
          <w:vertAlign w:val="superscript"/>
        </w:rPr>
        <w:footnoteReference w:id="3"/>
      </w:r>
      <w:r w:rsidR="00FF58E8" w:rsidRPr="00F008FD">
        <w:rPr>
          <w:rFonts w:eastAsia="Arial" w:cs="Arial"/>
          <w:sz w:val="22"/>
          <w:szCs w:val="22"/>
        </w:rPr>
        <w:t>)</w:t>
      </w:r>
      <w:r w:rsidR="00462220" w:rsidRPr="00F008FD">
        <w:rPr>
          <w:rFonts w:eastAsia="Arial" w:cs="Arial"/>
          <w:sz w:val="22"/>
          <w:szCs w:val="22"/>
        </w:rPr>
        <w:t xml:space="preserve"> to being conducted on cell samples</w:t>
      </w:r>
      <w:r w:rsidR="00FF58E8" w:rsidRPr="00F008FD">
        <w:rPr>
          <w:rFonts w:eastAsia="Arial" w:cs="Arial"/>
          <w:sz w:val="22"/>
          <w:szCs w:val="22"/>
        </w:rPr>
        <w:t xml:space="preserve"> (‘in vitro’</w:t>
      </w:r>
      <w:r w:rsidR="006E62A3" w:rsidRPr="00856AC4">
        <w:rPr>
          <w:rFonts w:eastAsia="Arial" w:cs="Arial"/>
          <w:sz w:val="22"/>
          <w:szCs w:val="22"/>
          <w:vertAlign w:val="superscript"/>
        </w:rPr>
        <w:footnoteReference w:id="4"/>
      </w:r>
      <w:r w:rsidR="00FF58E8" w:rsidRPr="00F008FD">
        <w:rPr>
          <w:rFonts w:eastAsia="Arial" w:cs="Arial"/>
          <w:sz w:val="22"/>
          <w:szCs w:val="22"/>
        </w:rPr>
        <w:t>)</w:t>
      </w:r>
      <w:r w:rsidR="00462220" w:rsidRPr="00F008FD">
        <w:rPr>
          <w:rFonts w:eastAsia="Arial" w:cs="Arial"/>
          <w:sz w:val="22"/>
          <w:szCs w:val="22"/>
        </w:rPr>
        <w:t xml:space="preserve">, these tests can be more expensive. </w:t>
      </w:r>
      <w:r w:rsidR="00DB0FFF" w:rsidRPr="00F008FD">
        <w:rPr>
          <w:rFonts w:eastAsia="Arial" w:cs="Arial"/>
          <w:sz w:val="22"/>
          <w:szCs w:val="22"/>
        </w:rPr>
        <w:t xml:space="preserve">As such, </w:t>
      </w:r>
      <w:r w:rsidR="006B43E9" w:rsidRPr="00F008FD">
        <w:rPr>
          <w:rFonts w:eastAsia="Arial" w:cs="Arial"/>
          <w:sz w:val="22"/>
          <w:szCs w:val="22"/>
        </w:rPr>
        <w:t xml:space="preserve">the additional cost will be </w:t>
      </w:r>
      <w:r w:rsidR="00DB0FFF" w:rsidRPr="00F008FD">
        <w:rPr>
          <w:rFonts w:eastAsia="Arial" w:cs="Arial"/>
          <w:sz w:val="22"/>
          <w:szCs w:val="22"/>
        </w:rPr>
        <w:t>only the</w:t>
      </w:r>
      <w:r w:rsidR="006B43E9" w:rsidRPr="00F008FD">
        <w:rPr>
          <w:rFonts w:eastAsia="Arial" w:cs="Arial"/>
          <w:sz w:val="22"/>
          <w:szCs w:val="22"/>
        </w:rPr>
        <w:t xml:space="preserve"> difference between the new test costs and the old. </w:t>
      </w:r>
    </w:p>
    <w:p w14:paraId="6C2C06A1" w14:textId="77777777" w:rsidR="006B43E9" w:rsidRPr="00F008FD" w:rsidRDefault="006B43E9" w:rsidP="00F008FD">
      <w:pPr>
        <w:pStyle w:val="ListParagraph"/>
        <w:spacing w:after="120"/>
        <w:ind w:left="473"/>
        <w:rPr>
          <w:rFonts w:eastAsia="Arial" w:cs="Arial"/>
          <w:sz w:val="22"/>
          <w:szCs w:val="22"/>
        </w:rPr>
      </w:pPr>
    </w:p>
    <w:p w14:paraId="38F617C3" w14:textId="7B40F42A" w:rsidR="006B43E9" w:rsidRPr="00F008FD" w:rsidRDefault="006B43E9"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Test costs have been estimated by HSE </w:t>
      </w:r>
      <w:r w:rsidR="00CF0C71" w:rsidRPr="00F008FD">
        <w:rPr>
          <w:rFonts w:eastAsia="Arial" w:cs="Arial"/>
          <w:sz w:val="22"/>
          <w:szCs w:val="22"/>
        </w:rPr>
        <w:t xml:space="preserve">toxicologists with reference to </w:t>
      </w:r>
      <w:r w:rsidR="000201EE" w:rsidRPr="00F008FD">
        <w:rPr>
          <w:rFonts w:eastAsia="Arial" w:cs="Arial"/>
          <w:sz w:val="22"/>
          <w:szCs w:val="22"/>
        </w:rPr>
        <w:t>OECD reference costs</w:t>
      </w:r>
      <w:r w:rsidR="0007548E" w:rsidRPr="00F008FD">
        <w:rPr>
          <w:rFonts w:eastAsia="Arial" w:cs="Arial"/>
          <w:sz w:val="22"/>
          <w:szCs w:val="22"/>
        </w:rPr>
        <w:t>.</w:t>
      </w:r>
    </w:p>
    <w:p w14:paraId="152D5E3A" w14:textId="77777777" w:rsidR="00A01176" w:rsidRPr="00F008FD" w:rsidRDefault="00A01176" w:rsidP="00F008FD">
      <w:pPr>
        <w:pStyle w:val="ListParagraph"/>
        <w:spacing w:after="120"/>
        <w:ind w:left="473"/>
        <w:rPr>
          <w:rFonts w:eastAsia="Arial" w:cs="Arial"/>
          <w:sz w:val="22"/>
          <w:szCs w:val="22"/>
        </w:rPr>
      </w:pPr>
    </w:p>
    <w:p w14:paraId="7C925755" w14:textId="69C26FC0" w:rsidR="00A01176" w:rsidRPr="00F008FD" w:rsidRDefault="00A01176"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For </w:t>
      </w:r>
      <w:r w:rsidR="007834EB" w:rsidRPr="00F008FD">
        <w:rPr>
          <w:b/>
          <w:sz w:val="22"/>
          <w:szCs w:val="22"/>
          <w:lang w:eastAsia="en-GB"/>
        </w:rPr>
        <w:t>skin irritation</w:t>
      </w:r>
      <w:r w:rsidR="007834EB" w:rsidRPr="00F008FD">
        <w:rPr>
          <w:rFonts w:eastAsia="Arial" w:cs="Arial"/>
          <w:sz w:val="22"/>
          <w:szCs w:val="22"/>
        </w:rPr>
        <w:t xml:space="preserve">, </w:t>
      </w:r>
      <w:r w:rsidR="00006424" w:rsidRPr="00F008FD">
        <w:rPr>
          <w:rFonts w:eastAsia="Arial" w:cs="Arial"/>
          <w:sz w:val="22"/>
          <w:szCs w:val="22"/>
        </w:rPr>
        <w:t xml:space="preserve">the baseline cost is estimated at around £2,000 per </w:t>
      </w:r>
      <w:r w:rsidR="00DF5195" w:rsidRPr="00F008FD">
        <w:rPr>
          <w:rFonts w:eastAsia="Arial" w:cs="Arial"/>
          <w:sz w:val="22"/>
          <w:szCs w:val="22"/>
        </w:rPr>
        <w:t>active/ product</w:t>
      </w:r>
      <w:r w:rsidR="0007548E" w:rsidRPr="00F008FD">
        <w:rPr>
          <w:rFonts w:eastAsia="Arial" w:cs="Arial"/>
          <w:sz w:val="22"/>
          <w:szCs w:val="22"/>
        </w:rPr>
        <w:t xml:space="preserve">, based </w:t>
      </w:r>
      <w:r w:rsidR="0005060B" w:rsidRPr="00F008FD">
        <w:rPr>
          <w:rFonts w:eastAsia="Arial" w:cs="Arial"/>
          <w:sz w:val="22"/>
          <w:szCs w:val="22"/>
        </w:rPr>
        <w:t>on a</w:t>
      </w:r>
      <w:r w:rsidR="00F54A68" w:rsidRPr="00F008FD">
        <w:rPr>
          <w:rFonts w:eastAsia="Arial" w:cs="Arial"/>
          <w:sz w:val="22"/>
          <w:szCs w:val="22"/>
        </w:rPr>
        <w:t>n in vivo</w:t>
      </w:r>
      <w:r w:rsidR="0005060B" w:rsidRPr="00F008FD">
        <w:rPr>
          <w:rFonts w:eastAsia="Arial" w:cs="Arial"/>
          <w:sz w:val="22"/>
          <w:szCs w:val="22"/>
        </w:rPr>
        <w:t xml:space="preserve"> rabbit study. The </w:t>
      </w:r>
      <w:r w:rsidR="00C50200" w:rsidRPr="00F008FD">
        <w:rPr>
          <w:rFonts w:eastAsia="Arial" w:cs="Arial"/>
          <w:sz w:val="22"/>
          <w:szCs w:val="22"/>
        </w:rPr>
        <w:t xml:space="preserve">(two) </w:t>
      </w:r>
      <w:r w:rsidR="00FF58E8" w:rsidRPr="00F008FD">
        <w:rPr>
          <w:rFonts w:eastAsia="Arial" w:cs="Arial"/>
          <w:sz w:val="22"/>
          <w:szCs w:val="22"/>
        </w:rPr>
        <w:t>in vitro</w:t>
      </w:r>
      <w:r w:rsidR="00503691" w:rsidRPr="00F008FD">
        <w:rPr>
          <w:rFonts w:eastAsia="Arial" w:cs="Arial"/>
          <w:sz w:val="22"/>
          <w:szCs w:val="22"/>
        </w:rPr>
        <w:t xml:space="preserve"> </w:t>
      </w:r>
      <w:r w:rsidR="00D9183E" w:rsidRPr="00F008FD">
        <w:rPr>
          <w:rFonts w:eastAsia="Arial" w:cs="Arial"/>
          <w:sz w:val="22"/>
          <w:szCs w:val="22"/>
        </w:rPr>
        <w:t>test</w:t>
      </w:r>
      <w:r w:rsidR="00864707" w:rsidRPr="00F008FD">
        <w:rPr>
          <w:rFonts w:eastAsia="Arial" w:cs="Arial"/>
          <w:sz w:val="22"/>
          <w:szCs w:val="22"/>
        </w:rPr>
        <w:t>s</w:t>
      </w:r>
      <w:r w:rsidR="00D9183E" w:rsidRPr="00F008FD">
        <w:rPr>
          <w:rFonts w:eastAsia="Arial" w:cs="Arial"/>
          <w:sz w:val="22"/>
          <w:szCs w:val="22"/>
        </w:rPr>
        <w:t xml:space="preserve"> cost around £11,000. </w:t>
      </w:r>
      <w:r w:rsidR="00E77B62" w:rsidRPr="00F008FD">
        <w:rPr>
          <w:rFonts w:eastAsia="Arial" w:cs="Arial"/>
          <w:sz w:val="22"/>
          <w:szCs w:val="22"/>
        </w:rPr>
        <w:t>Th</w:t>
      </w:r>
      <w:r w:rsidR="00D9183E" w:rsidRPr="00F008FD">
        <w:rPr>
          <w:rFonts w:eastAsia="Arial" w:cs="Arial"/>
          <w:sz w:val="22"/>
          <w:szCs w:val="22"/>
        </w:rPr>
        <w:t xml:space="preserve">is gives an additional cost per </w:t>
      </w:r>
      <w:r w:rsidR="000908EF" w:rsidRPr="00F008FD">
        <w:rPr>
          <w:rFonts w:eastAsia="Arial" w:cs="Arial"/>
          <w:sz w:val="22"/>
          <w:szCs w:val="22"/>
        </w:rPr>
        <w:t>active/ product</w:t>
      </w:r>
      <w:r w:rsidR="00D9183E" w:rsidRPr="00F008FD">
        <w:rPr>
          <w:rFonts w:eastAsia="Arial" w:cs="Arial"/>
          <w:sz w:val="22"/>
          <w:szCs w:val="22"/>
        </w:rPr>
        <w:t xml:space="preserve"> of around £9,000. </w:t>
      </w:r>
    </w:p>
    <w:p w14:paraId="0AB4B848" w14:textId="77777777" w:rsidR="007F256D" w:rsidRPr="00F008FD" w:rsidRDefault="007F256D" w:rsidP="00F008FD">
      <w:pPr>
        <w:pStyle w:val="ListParagraph"/>
        <w:spacing w:after="120"/>
        <w:ind w:left="473"/>
        <w:rPr>
          <w:rFonts w:eastAsia="Arial" w:cs="Arial"/>
          <w:sz w:val="22"/>
          <w:szCs w:val="22"/>
        </w:rPr>
      </w:pPr>
    </w:p>
    <w:p w14:paraId="5C001865" w14:textId="4E82DB3B" w:rsidR="007F256D" w:rsidRPr="00F008FD" w:rsidRDefault="007F256D" w:rsidP="00F008FD">
      <w:pPr>
        <w:pStyle w:val="ListParagraph"/>
        <w:numPr>
          <w:ilvl w:val="0"/>
          <w:numId w:val="34"/>
        </w:numPr>
        <w:spacing w:after="120"/>
        <w:rPr>
          <w:rFonts w:eastAsia="Arial" w:cs="Arial"/>
          <w:sz w:val="22"/>
          <w:szCs w:val="22"/>
        </w:rPr>
      </w:pPr>
      <w:r w:rsidRPr="00F008FD">
        <w:rPr>
          <w:rFonts w:eastAsia="Arial" w:cs="Arial"/>
          <w:sz w:val="22"/>
          <w:szCs w:val="22"/>
        </w:rPr>
        <w:t>These costs would be incurred by new active substance</w:t>
      </w:r>
      <w:r w:rsidR="00F67F94" w:rsidRPr="00F008FD">
        <w:rPr>
          <w:rFonts w:eastAsia="Arial" w:cs="Arial"/>
          <w:sz w:val="22"/>
          <w:szCs w:val="22"/>
        </w:rPr>
        <w:t xml:space="preserve"> submissions</w:t>
      </w:r>
      <w:r w:rsidRPr="00F008FD">
        <w:rPr>
          <w:rFonts w:eastAsia="Arial" w:cs="Arial"/>
          <w:sz w:val="22"/>
          <w:szCs w:val="22"/>
        </w:rPr>
        <w:t xml:space="preserve">; and </w:t>
      </w:r>
      <w:r w:rsidR="00F67F94" w:rsidRPr="00F008FD">
        <w:rPr>
          <w:rFonts w:eastAsia="Arial" w:cs="Arial"/>
          <w:sz w:val="22"/>
          <w:szCs w:val="22"/>
        </w:rPr>
        <w:t xml:space="preserve">both new and renewal product submissions. </w:t>
      </w:r>
    </w:p>
    <w:p w14:paraId="331BCEAC" w14:textId="77777777" w:rsidR="00CC05BF" w:rsidRPr="00F008FD" w:rsidRDefault="00CC05BF" w:rsidP="00F008FD">
      <w:pPr>
        <w:pStyle w:val="ListParagraph"/>
        <w:spacing w:after="120"/>
        <w:ind w:left="473"/>
        <w:rPr>
          <w:rFonts w:eastAsia="Arial" w:cs="Arial"/>
          <w:sz w:val="22"/>
          <w:szCs w:val="22"/>
        </w:rPr>
      </w:pPr>
    </w:p>
    <w:p w14:paraId="06778AFD" w14:textId="2CE7696C" w:rsidR="00CC05BF" w:rsidRPr="00F008FD" w:rsidRDefault="00CC05BF"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Across the </w:t>
      </w:r>
      <w:r w:rsidR="00E301A8" w:rsidRPr="00F008FD">
        <w:rPr>
          <w:rFonts w:eastAsia="Arial" w:cs="Arial"/>
          <w:sz w:val="22"/>
          <w:szCs w:val="22"/>
        </w:rPr>
        <w:t xml:space="preserve">new </w:t>
      </w:r>
      <w:r w:rsidR="0010340C" w:rsidRPr="00F008FD">
        <w:rPr>
          <w:rFonts w:eastAsia="Arial" w:cs="Arial"/>
          <w:sz w:val="22"/>
          <w:szCs w:val="22"/>
        </w:rPr>
        <w:t xml:space="preserve">active substance </w:t>
      </w:r>
      <w:r w:rsidR="002571C1" w:rsidRPr="00F008FD">
        <w:rPr>
          <w:rFonts w:eastAsia="Arial" w:cs="Arial"/>
          <w:sz w:val="22"/>
          <w:szCs w:val="22"/>
        </w:rPr>
        <w:t xml:space="preserve">numbers in </w:t>
      </w:r>
      <w:r w:rsidR="002571C1" w:rsidRPr="00F008FD">
        <w:rPr>
          <w:rFonts w:eastAsia="Arial" w:cs="Arial"/>
          <w:sz w:val="22"/>
          <w:szCs w:val="22"/>
        </w:rPr>
        <w:fldChar w:fldCharType="begin"/>
      </w:r>
      <w:r w:rsidR="002571C1" w:rsidRPr="00F008FD">
        <w:rPr>
          <w:rFonts w:eastAsia="Arial" w:cs="Arial"/>
          <w:sz w:val="22"/>
          <w:szCs w:val="22"/>
        </w:rPr>
        <w:instrText xml:space="preserve"> REF _Ref111708851 \h </w:instrText>
      </w:r>
      <w:r w:rsidR="00187F08" w:rsidRPr="00481B20">
        <w:rPr>
          <w:rFonts w:eastAsia="Arial" w:cs="Arial"/>
          <w:sz w:val="22"/>
          <w:szCs w:val="22"/>
        </w:rPr>
        <w:instrText xml:space="preserve"> \* MERGEFORMAT </w:instrText>
      </w:r>
      <w:r w:rsidR="002571C1" w:rsidRPr="00F008FD">
        <w:rPr>
          <w:rFonts w:eastAsia="Arial" w:cs="Arial"/>
          <w:sz w:val="22"/>
          <w:szCs w:val="22"/>
        </w:rPr>
      </w:r>
      <w:r w:rsidR="002571C1" w:rsidRPr="00F008FD">
        <w:rPr>
          <w:rFonts w:eastAsia="Arial" w:cs="Arial"/>
          <w:sz w:val="22"/>
          <w:szCs w:val="22"/>
        </w:rPr>
        <w:fldChar w:fldCharType="separate"/>
      </w:r>
      <w:r w:rsidR="002571C1" w:rsidRPr="00F008FD">
        <w:rPr>
          <w:rFonts w:eastAsia="Arial" w:cs="Arial"/>
          <w:sz w:val="22"/>
          <w:szCs w:val="22"/>
        </w:rPr>
        <w:t>Table 2</w:t>
      </w:r>
      <w:r w:rsidR="002571C1" w:rsidRPr="00F008FD">
        <w:rPr>
          <w:rFonts w:eastAsia="Arial" w:cs="Arial"/>
          <w:sz w:val="22"/>
          <w:szCs w:val="22"/>
        </w:rPr>
        <w:fldChar w:fldCharType="end"/>
      </w:r>
      <w:r w:rsidR="00533651" w:rsidRPr="00F008FD">
        <w:rPr>
          <w:rFonts w:eastAsia="Arial" w:cs="Arial"/>
          <w:sz w:val="22"/>
          <w:szCs w:val="22"/>
        </w:rPr>
        <w:t xml:space="preserve">, </w:t>
      </w:r>
      <w:r w:rsidR="00D1188C" w:rsidRPr="00F008FD">
        <w:rPr>
          <w:rFonts w:eastAsia="Arial" w:cs="Arial"/>
          <w:sz w:val="22"/>
          <w:szCs w:val="22"/>
        </w:rPr>
        <w:t xml:space="preserve">annual costs </w:t>
      </w:r>
      <w:r w:rsidR="0000394F" w:rsidRPr="00F008FD">
        <w:rPr>
          <w:rFonts w:eastAsia="Arial" w:cs="Arial"/>
          <w:sz w:val="22"/>
          <w:szCs w:val="22"/>
        </w:rPr>
        <w:t xml:space="preserve">would be minimal - </w:t>
      </w:r>
      <w:r w:rsidR="00533651" w:rsidRPr="00F008FD">
        <w:rPr>
          <w:rFonts w:eastAsia="Arial" w:cs="Arial"/>
          <w:sz w:val="22"/>
          <w:szCs w:val="22"/>
        </w:rPr>
        <w:t xml:space="preserve">between </w:t>
      </w:r>
      <w:r w:rsidR="00334F50" w:rsidRPr="00F008FD">
        <w:rPr>
          <w:rFonts w:eastAsia="Arial" w:cs="Arial"/>
          <w:sz w:val="22"/>
          <w:szCs w:val="22"/>
        </w:rPr>
        <w:t xml:space="preserve">nil and </w:t>
      </w:r>
      <w:r w:rsidR="0000394F" w:rsidRPr="00F008FD">
        <w:rPr>
          <w:rFonts w:eastAsia="Arial" w:cs="Arial"/>
          <w:sz w:val="22"/>
          <w:szCs w:val="22"/>
        </w:rPr>
        <w:t xml:space="preserve">around £270, with a mid-estimate of around £90. </w:t>
      </w:r>
      <w:r w:rsidR="00C0798B" w:rsidRPr="00F008FD">
        <w:rPr>
          <w:rFonts w:eastAsia="Arial" w:cs="Arial"/>
          <w:sz w:val="22"/>
          <w:szCs w:val="22"/>
        </w:rPr>
        <w:t xml:space="preserve">For </w:t>
      </w:r>
      <w:r w:rsidR="00861078" w:rsidRPr="00F008FD">
        <w:rPr>
          <w:rFonts w:eastAsia="Arial" w:cs="Arial"/>
          <w:sz w:val="22"/>
          <w:szCs w:val="22"/>
        </w:rPr>
        <w:t xml:space="preserve">products (both new and renewal), </w:t>
      </w:r>
      <w:r w:rsidR="00FA4D9E" w:rsidRPr="00F008FD">
        <w:rPr>
          <w:rFonts w:eastAsia="Arial" w:cs="Arial"/>
          <w:sz w:val="22"/>
          <w:szCs w:val="22"/>
        </w:rPr>
        <w:t xml:space="preserve">annual costs would be between around </w:t>
      </w:r>
      <w:r w:rsidR="004E606F" w:rsidRPr="00F008FD">
        <w:rPr>
          <w:rFonts w:eastAsia="Arial" w:cs="Arial"/>
          <w:sz w:val="22"/>
          <w:szCs w:val="22"/>
        </w:rPr>
        <w:t xml:space="preserve">£24,000 and £170,000, with a mid-estimate </w:t>
      </w:r>
      <w:r w:rsidR="00245E4E" w:rsidRPr="00F008FD">
        <w:rPr>
          <w:rFonts w:eastAsia="Arial" w:cs="Arial"/>
          <w:sz w:val="22"/>
          <w:szCs w:val="22"/>
        </w:rPr>
        <w:t>of around</w:t>
      </w:r>
      <w:r w:rsidR="004E606F" w:rsidRPr="00F008FD">
        <w:rPr>
          <w:rFonts w:eastAsia="Arial" w:cs="Arial"/>
          <w:sz w:val="22"/>
          <w:szCs w:val="22"/>
        </w:rPr>
        <w:t xml:space="preserve"> </w:t>
      </w:r>
      <w:r w:rsidR="00245E4E" w:rsidRPr="00F008FD">
        <w:rPr>
          <w:rFonts w:eastAsia="Arial" w:cs="Arial"/>
          <w:sz w:val="22"/>
          <w:szCs w:val="22"/>
        </w:rPr>
        <w:t>£96,000.</w:t>
      </w:r>
    </w:p>
    <w:p w14:paraId="0181253A" w14:textId="77777777" w:rsidR="00EE15B5" w:rsidRPr="00F008FD" w:rsidRDefault="00EE15B5" w:rsidP="00F008FD">
      <w:pPr>
        <w:pStyle w:val="ListParagraph"/>
        <w:spacing w:after="120"/>
        <w:ind w:left="473"/>
        <w:rPr>
          <w:rFonts w:eastAsia="Arial" w:cs="Arial"/>
          <w:sz w:val="22"/>
          <w:szCs w:val="22"/>
        </w:rPr>
      </w:pPr>
    </w:p>
    <w:p w14:paraId="7AF41972" w14:textId="07BC5207" w:rsidR="00EE15B5" w:rsidRPr="00F008FD" w:rsidRDefault="00EE15B5"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This gives an estimated present </w:t>
      </w:r>
      <w:r w:rsidR="006C7512" w:rsidRPr="00F008FD">
        <w:rPr>
          <w:rFonts w:eastAsia="Arial" w:cs="Arial"/>
          <w:sz w:val="22"/>
          <w:szCs w:val="22"/>
        </w:rPr>
        <w:t xml:space="preserve">value cost of additional skin </w:t>
      </w:r>
      <w:r w:rsidR="00C430E6" w:rsidRPr="00F008FD">
        <w:rPr>
          <w:rFonts w:eastAsia="Arial" w:cs="Arial"/>
          <w:sz w:val="22"/>
          <w:szCs w:val="22"/>
        </w:rPr>
        <w:t>sensitivity</w:t>
      </w:r>
      <w:r w:rsidR="00025E6A" w:rsidRPr="00F008FD">
        <w:rPr>
          <w:rFonts w:eastAsia="Arial" w:cs="Arial"/>
          <w:sz w:val="22"/>
          <w:szCs w:val="22"/>
        </w:rPr>
        <w:t xml:space="preserve"> irritation</w:t>
      </w:r>
      <w:r w:rsidR="00C430E6" w:rsidRPr="00F008FD">
        <w:rPr>
          <w:rFonts w:eastAsia="Arial" w:cs="Arial"/>
          <w:sz w:val="22"/>
          <w:szCs w:val="22"/>
        </w:rPr>
        <w:t xml:space="preserve"> </w:t>
      </w:r>
      <w:r w:rsidR="001165F5" w:rsidRPr="00F008FD">
        <w:rPr>
          <w:rFonts w:eastAsia="Arial" w:cs="Arial"/>
          <w:sz w:val="22"/>
          <w:szCs w:val="22"/>
        </w:rPr>
        <w:t>tests</w:t>
      </w:r>
      <w:r w:rsidR="00C430E6" w:rsidRPr="00F008FD">
        <w:rPr>
          <w:rFonts w:eastAsia="Arial" w:cs="Arial"/>
          <w:sz w:val="22"/>
          <w:szCs w:val="22"/>
        </w:rPr>
        <w:t xml:space="preserve"> of between around </w:t>
      </w:r>
      <w:r w:rsidR="0051359F" w:rsidRPr="00F008FD">
        <w:rPr>
          <w:rFonts w:eastAsia="Arial" w:cs="Arial"/>
          <w:sz w:val="22"/>
          <w:szCs w:val="22"/>
        </w:rPr>
        <w:t>£</w:t>
      </w:r>
      <w:r w:rsidR="00BA1E1C" w:rsidRPr="00F008FD">
        <w:rPr>
          <w:rFonts w:eastAsia="Arial" w:cs="Arial"/>
          <w:sz w:val="22"/>
          <w:szCs w:val="22"/>
        </w:rPr>
        <w:t>20</w:t>
      </w:r>
      <w:r w:rsidR="0051359F" w:rsidRPr="00F008FD">
        <w:rPr>
          <w:rFonts w:eastAsia="Arial" w:cs="Arial"/>
          <w:sz w:val="22"/>
          <w:szCs w:val="22"/>
        </w:rPr>
        <w:t xml:space="preserve">0,000 and £1.5 million, with a mid-estimate of around </w:t>
      </w:r>
      <w:r w:rsidR="00BA1E1C" w:rsidRPr="00F008FD">
        <w:rPr>
          <w:rFonts w:eastAsia="Arial" w:cs="Arial"/>
          <w:sz w:val="22"/>
          <w:szCs w:val="22"/>
        </w:rPr>
        <w:t>£830,000</w:t>
      </w:r>
      <w:r w:rsidR="00981B7B" w:rsidRPr="00F008FD">
        <w:rPr>
          <w:rFonts w:eastAsia="Arial" w:cs="Arial"/>
          <w:sz w:val="22"/>
          <w:szCs w:val="22"/>
        </w:rPr>
        <w:t xml:space="preserve">. </w:t>
      </w:r>
    </w:p>
    <w:p w14:paraId="65A57165" w14:textId="77777777" w:rsidR="000E306F" w:rsidRPr="00F008FD" w:rsidRDefault="000E306F" w:rsidP="00F008FD">
      <w:pPr>
        <w:pStyle w:val="ListParagraph"/>
        <w:spacing w:after="120"/>
        <w:ind w:left="473"/>
        <w:rPr>
          <w:rFonts w:eastAsia="Arial" w:cs="Arial"/>
          <w:sz w:val="22"/>
          <w:szCs w:val="22"/>
        </w:rPr>
      </w:pPr>
    </w:p>
    <w:p w14:paraId="392543C3" w14:textId="5134C5EF" w:rsidR="000E306F" w:rsidRPr="00F008FD" w:rsidRDefault="000E306F"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For </w:t>
      </w:r>
      <w:r w:rsidR="002E5DE3" w:rsidRPr="00F008FD">
        <w:rPr>
          <w:b/>
          <w:sz w:val="22"/>
          <w:szCs w:val="22"/>
          <w:lang w:eastAsia="en-GB"/>
        </w:rPr>
        <w:t>eye irritation</w:t>
      </w:r>
      <w:r w:rsidR="002E5DE3" w:rsidRPr="00F008FD">
        <w:rPr>
          <w:rFonts w:eastAsia="Arial" w:cs="Arial"/>
          <w:sz w:val="22"/>
          <w:szCs w:val="22"/>
        </w:rPr>
        <w:t xml:space="preserve">, the baseline cost is estimated at around £2,000 per </w:t>
      </w:r>
      <w:r w:rsidR="000908EF" w:rsidRPr="00F008FD">
        <w:rPr>
          <w:rFonts w:eastAsia="Arial" w:cs="Arial"/>
          <w:sz w:val="22"/>
          <w:szCs w:val="22"/>
        </w:rPr>
        <w:t>active/ product</w:t>
      </w:r>
      <w:r w:rsidR="002E5DE3" w:rsidRPr="00F008FD">
        <w:rPr>
          <w:rFonts w:eastAsia="Arial" w:cs="Arial"/>
          <w:sz w:val="22"/>
          <w:szCs w:val="22"/>
        </w:rPr>
        <w:t xml:space="preserve">, based on an in vivo </w:t>
      </w:r>
      <w:r w:rsidR="00D66F5E" w:rsidRPr="00F008FD">
        <w:rPr>
          <w:rFonts w:eastAsia="Arial" w:cs="Arial"/>
          <w:sz w:val="22"/>
          <w:szCs w:val="22"/>
        </w:rPr>
        <w:t>rabbit study. The</w:t>
      </w:r>
      <w:r w:rsidR="00C50200" w:rsidRPr="00F008FD">
        <w:rPr>
          <w:rFonts w:eastAsia="Arial" w:cs="Arial"/>
          <w:sz w:val="22"/>
          <w:szCs w:val="22"/>
        </w:rPr>
        <w:t xml:space="preserve"> (two)</w:t>
      </w:r>
      <w:r w:rsidR="00D66F5E" w:rsidRPr="00F008FD">
        <w:rPr>
          <w:rFonts w:eastAsia="Arial" w:cs="Arial"/>
          <w:sz w:val="22"/>
          <w:szCs w:val="22"/>
        </w:rPr>
        <w:t xml:space="preserve"> in</w:t>
      </w:r>
      <w:r w:rsidR="00F41A43" w:rsidRPr="00F008FD">
        <w:rPr>
          <w:rFonts w:eastAsia="Arial" w:cs="Arial"/>
          <w:sz w:val="22"/>
          <w:szCs w:val="22"/>
        </w:rPr>
        <w:t xml:space="preserve"> </w:t>
      </w:r>
      <w:r w:rsidR="00D66F5E" w:rsidRPr="00F008FD">
        <w:rPr>
          <w:rFonts w:eastAsia="Arial" w:cs="Arial"/>
          <w:sz w:val="22"/>
          <w:szCs w:val="22"/>
        </w:rPr>
        <w:t>vitro test</w:t>
      </w:r>
      <w:r w:rsidR="00864707" w:rsidRPr="00F008FD">
        <w:rPr>
          <w:rFonts w:eastAsia="Arial" w:cs="Arial"/>
          <w:sz w:val="22"/>
          <w:szCs w:val="22"/>
        </w:rPr>
        <w:t>s</w:t>
      </w:r>
      <w:r w:rsidR="00D66F5E" w:rsidRPr="00F008FD">
        <w:rPr>
          <w:rFonts w:eastAsia="Arial" w:cs="Arial"/>
          <w:sz w:val="22"/>
          <w:szCs w:val="22"/>
        </w:rPr>
        <w:t xml:space="preserve"> cost</w:t>
      </w:r>
      <w:r w:rsidR="00E77B62" w:rsidRPr="00F008FD">
        <w:rPr>
          <w:rFonts w:eastAsia="Arial" w:cs="Arial"/>
          <w:sz w:val="22"/>
          <w:szCs w:val="22"/>
        </w:rPr>
        <w:t xml:space="preserve"> around £10,000. This gives an additional cost </w:t>
      </w:r>
      <w:r w:rsidR="000908EF" w:rsidRPr="00F008FD">
        <w:rPr>
          <w:rFonts w:eastAsia="Arial" w:cs="Arial"/>
          <w:sz w:val="22"/>
          <w:szCs w:val="22"/>
        </w:rPr>
        <w:t>p</w:t>
      </w:r>
      <w:r w:rsidR="00E77B62" w:rsidRPr="00F008FD">
        <w:rPr>
          <w:rFonts w:eastAsia="Arial" w:cs="Arial"/>
          <w:sz w:val="22"/>
          <w:szCs w:val="22"/>
        </w:rPr>
        <w:t xml:space="preserve">er </w:t>
      </w:r>
      <w:r w:rsidR="000908EF" w:rsidRPr="00F008FD">
        <w:rPr>
          <w:rFonts w:eastAsia="Arial" w:cs="Arial"/>
          <w:sz w:val="22"/>
          <w:szCs w:val="22"/>
        </w:rPr>
        <w:t>active substance</w:t>
      </w:r>
      <w:r w:rsidR="00E77B62" w:rsidRPr="00F008FD">
        <w:rPr>
          <w:rFonts w:eastAsia="Arial" w:cs="Arial"/>
          <w:sz w:val="22"/>
          <w:szCs w:val="22"/>
        </w:rPr>
        <w:t xml:space="preserve"> of around £8,000. </w:t>
      </w:r>
    </w:p>
    <w:p w14:paraId="0010DC53" w14:textId="77777777" w:rsidR="001B0880" w:rsidRPr="00F008FD" w:rsidRDefault="001B0880" w:rsidP="00F008FD">
      <w:pPr>
        <w:pStyle w:val="ListParagraph"/>
        <w:spacing w:after="120"/>
        <w:ind w:left="473"/>
        <w:rPr>
          <w:rFonts w:eastAsia="Arial" w:cs="Arial"/>
          <w:sz w:val="22"/>
          <w:szCs w:val="22"/>
        </w:rPr>
      </w:pPr>
    </w:p>
    <w:p w14:paraId="37A37F39" w14:textId="77777777" w:rsidR="001B0880" w:rsidRPr="00F008FD" w:rsidRDefault="001B0880"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These costs would be incurred by new active substance submissions; and both new and renewal product submissions. </w:t>
      </w:r>
    </w:p>
    <w:p w14:paraId="16548740" w14:textId="77777777" w:rsidR="001B0880" w:rsidRPr="00F008FD" w:rsidRDefault="001B0880" w:rsidP="00F008FD">
      <w:pPr>
        <w:pStyle w:val="ListParagraph"/>
        <w:spacing w:after="120"/>
        <w:ind w:left="473"/>
        <w:rPr>
          <w:rFonts w:eastAsia="Arial" w:cs="Arial"/>
          <w:sz w:val="22"/>
          <w:szCs w:val="22"/>
        </w:rPr>
      </w:pPr>
    </w:p>
    <w:p w14:paraId="43D5580C" w14:textId="44C4224F" w:rsidR="001B0880" w:rsidRPr="00F008FD" w:rsidRDefault="001B0880" w:rsidP="00F008FD">
      <w:pPr>
        <w:pStyle w:val="ListParagraph"/>
        <w:numPr>
          <w:ilvl w:val="0"/>
          <w:numId w:val="34"/>
        </w:numPr>
        <w:spacing w:after="120"/>
        <w:rPr>
          <w:rFonts w:eastAsia="Arial" w:cs="Arial"/>
          <w:sz w:val="22"/>
          <w:szCs w:val="22"/>
        </w:rPr>
      </w:pPr>
      <w:r w:rsidRPr="00F008FD">
        <w:rPr>
          <w:rFonts w:eastAsia="Arial" w:cs="Arial"/>
          <w:sz w:val="22"/>
          <w:szCs w:val="22"/>
        </w:rPr>
        <w:lastRenderedPageBreak/>
        <w:t xml:space="preserve">Across the new active substance numbers in </w:t>
      </w:r>
      <w:r w:rsidRPr="00F008FD">
        <w:rPr>
          <w:rFonts w:eastAsia="Arial" w:cs="Arial"/>
          <w:sz w:val="22"/>
          <w:szCs w:val="22"/>
        </w:rPr>
        <w:fldChar w:fldCharType="begin"/>
      </w:r>
      <w:r w:rsidRPr="00F008FD">
        <w:rPr>
          <w:rFonts w:eastAsia="Arial" w:cs="Arial"/>
          <w:sz w:val="22"/>
          <w:szCs w:val="22"/>
        </w:rPr>
        <w:instrText xml:space="preserve"> REF _Ref111708851 \h </w:instrText>
      </w:r>
      <w:r w:rsidR="00187F08" w:rsidRPr="00481B20">
        <w:rPr>
          <w:rFonts w:eastAsia="Arial" w:cs="Arial"/>
          <w:sz w:val="22"/>
          <w:szCs w:val="22"/>
        </w:rPr>
        <w:instrText xml:space="preserve"> \* MERGEFORMAT </w:instrText>
      </w:r>
      <w:r w:rsidRPr="00F008FD">
        <w:rPr>
          <w:rFonts w:eastAsia="Arial" w:cs="Arial"/>
          <w:sz w:val="22"/>
          <w:szCs w:val="22"/>
        </w:rPr>
      </w:r>
      <w:r w:rsidRPr="00F008FD">
        <w:rPr>
          <w:rFonts w:eastAsia="Arial" w:cs="Arial"/>
          <w:sz w:val="22"/>
          <w:szCs w:val="22"/>
        </w:rPr>
        <w:fldChar w:fldCharType="separate"/>
      </w:r>
      <w:r w:rsidRPr="00F008FD">
        <w:rPr>
          <w:rFonts w:eastAsia="Arial" w:cs="Arial"/>
          <w:sz w:val="22"/>
          <w:szCs w:val="22"/>
        </w:rPr>
        <w:t>Table 2</w:t>
      </w:r>
      <w:r w:rsidRPr="00F008FD">
        <w:rPr>
          <w:rFonts w:eastAsia="Arial" w:cs="Arial"/>
          <w:sz w:val="22"/>
          <w:szCs w:val="22"/>
        </w:rPr>
        <w:fldChar w:fldCharType="end"/>
      </w:r>
      <w:r w:rsidRPr="00F008FD">
        <w:rPr>
          <w:rFonts w:eastAsia="Arial" w:cs="Arial"/>
          <w:sz w:val="22"/>
          <w:szCs w:val="22"/>
        </w:rPr>
        <w:t>, annual costs would be minimal - between nil and around £2</w:t>
      </w:r>
      <w:r w:rsidR="00083A49" w:rsidRPr="00F008FD">
        <w:rPr>
          <w:rFonts w:eastAsia="Arial" w:cs="Arial"/>
          <w:sz w:val="22"/>
          <w:szCs w:val="22"/>
        </w:rPr>
        <w:t>4</w:t>
      </w:r>
      <w:r w:rsidRPr="00F008FD">
        <w:rPr>
          <w:rFonts w:eastAsia="Arial" w:cs="Arial"/>
          <w:sz w:val="22"/>
          <w:szCs w:val="22"/>
        </w:rPr>
        <w:t>0, with a mid-estimate of around £</w:t>
      </w:r>
      <w:r w:rsidR="00083A49" w:rsidRPr="00F008FD">
        <w:rPr>
          <w:rFonts w:eastAsia="Arial" w:cs="Arial"/>
          <w:sz w:val="22"/>
          <w:szCs w:val="22"/>
        </w:rPr>
        <w:t>8</w:t>
      </w:r>
      <w:r w:rsidRPr="00F008FD">
        <w:rPr>
          <w:rFonts w:eastAsia="Arial" w:cs="Arial"/>
          <w:sz w:val="22"/>
          <w:szCs w:val="22"/>
        </w:rPr>
        <w:t>0. For products (both new and renewal), annual costs would be between around £2</w:t>
      </w:r>
      <w:r w:rsidR="008A32F4" w:rsidRPr="00F008FD">
        <w:rPr>
          <w:rFonts w:eastAsia="Arial" w:cs="Arial"/>
          <w:sz w:val="22"/>
          <w:szCs w:val="22"/>
        </w:rPr>
        <w:t>1</w:t>
      </w:r>
      <w:r w:rsidRPr="00F008FD">
        <w:rPr>
          <w:rFonts w:eastAsia="Arial" w:cs="Arial"/>
          <w:sz w:val="22"/>
          <w:szCs w:val="22"/>
        </w:rPr>
        <w:t>,000 and £1</w:t>
      </w:r>
      <w:r w:rsidR="006F1665" w:rsidRPr="00F008FD">
        <w:rPr>
          <w:rFonts w:eastAsia="Arial" w:cs="Arial"/>
          <w:sz w:val="22"/>
          <w:szCs w:val="22"/>
        </w:rPr>
        <w:t>5</w:t>
      </w:r>
      <w:r w:rsidRPr="00F008FD">
        <w:rPr>
          <w:rFonts w:eastAsia="Arial" w:cs="Arial"/>
          <w:sz w:val="22"/>
          <w:szCs w:val="22"/>
        </w:rPr>
        <w:t>0,000, with a mid-estimate of around £</w:t>
      </w:r>
      <w:r w:rsidR="006F1665" w:rsidRPr="00F008FD">
        <w:rPr>
          <w:rFonts w:eastAsia="Arial" w:cs="Arial"/>
          <w:sz w:val="22"/>
          <w:szCs w:val="22"/>
        </w:rPr>
        <w:t>8</w:t>
      </w:r>
      <w:r w:rsidRPr="00F008FD">
        <w:rPr>
          <w:rFonts w:eastAsia="Arial" w:cs="Arial"/>
          <w:sz w:val="22"/>
          <w:szCs w:val="22"/>
        </w:rPr>
        <w:t>6,000.</w:t>
      </w:r>
    </w:p>
    <w:p w14:paraId="6A9FAE3B" w14:textId="77777777" w:rsidR="001B0880" w:rsidRPr="00F008FD" w:rsidRDefault="001B0880" w:rsidP="00F008FD">
      <w:pPr>
        <w:spacing w:after="120"/>
        <w:ind w:left="113"/>
        <w:rPr>
          <w:rFonts w:eastAsia="Arial" w:cs="Arial"/>
          <w:sz w:val="22"/>
          <w:szCs w:val="22"/>
        </w:rPr>
      </w:pPr>
    </w:p>
    <w:p w14:paraId="0EBCE7AF" w14:textId="475FB8F5" w:rsidR="001B0880" w:rsidRPr="00F008FD" w:rsidRDefault="001B0880"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This gives an estimated present value cost of additional </w:t>
      </w:r>
      <w:r w:rsidR="003D3AB6" w:rsidRPr="00F008FD">
        <w:rPr>
          <w:rFonts w:eastAsia="Arial" w:cs="Arial"/>
          <w:sz w:val="22"/>
          <w:szCs w:val="22"/>
        </w:rPr>
        <w:t>eye</w:t>
      </w:r>
      <w:r w:rsidRPr="00F008FD">
        <w:rPr>
          <w:rFonts w:eastAsia="Arial" w:cs="Arial"/>
          <w:sz w:val="22"/>
          <w:szCs w:val="22"/>
        </w:rPr>
        <w:t xml:space="preserve"> irritation tests of between around £</w:t>
      </w:r>
      <w:r w:rsidR="00A079BB" w:rsidRPr="00F008FD">
        <w:rPr>
          <w:rFonts w:eastAsia="Arial" w:cs="Arial"/>
          <w:sz w:val="22"/>
          <w:szCs w:val="22"/>
        </w:rPr>
        <w:t>18</w:t>
      </w:r>
      <w:r w:rsidRPr="00F008FD">
        <w:rPr>
          <w:rFonts w:eastAsia="Arial" w:cs="Arial"/>
          <w:sz w:val="22"/>
          <w:szCs w:val="22"/>
        </w:rPr>
        <w:t>0,000 and £1.</w:t>
      </w:r>
      <w:r w:rsidR="00A079BB" w:rsidRPr="00F008FD">
        <w:rPr>
          <w:rFonts w:eastAsia="Arial" w:cs="Arial"/>
          <w:sz w:val="22"/>
          <w:szCs w:val="22"/>
        </w:rPr>
        <w:t>3</w:t>
      </w:r>
      <w:r w:rsidRPr="00F008FD">
        <w:rPr>
          <w:rFonts w:eastAsia="Arial" w:cs="Arial"/>
          <w:sz w:val="22"/>
          <w:szCs w:val="22"/>
        </w:rPr>
        <w:t xml:space="preserve"> million, with a mid-estimate of around £</w:t>
      </w:r>
      <w:r w:rsidR="00A079BB" w:rsidRPr="00F008FD">
        <w:rPr>
          <w:rFonts w:eastAsia="Arial" w:cs="Arial"/>
          <w:sz w:val="22"/>
          <w:szCs w:val="22"/>
        </w:rPr>
        <w:t>74</w:t>
      </w:r>
      <w:r w:rsidRPr="00F008FD">
        <w:rPr>
          <w:rFonts w:eastAsia="Arial" w:cs="Arial"/>
          <w:sz w:val="22"/>
          <w:szCs w:val="22"/>
        </w:rPr>
        <w:t xml:space="preserve">0,000. </w:t>
      </w:r>
    </w:p>
    <w:p w14:paraId="0D4BD25F" w14:textId="77777777" w:rsidR="00CE7034" w:rsidRPr="00F008FD" w:rsidRDefault="00CE7034" w:rsidP="00F008FD">
      <w:pPr>
        <w:pStyle w:val="ListParagraph"/>
        <w:spacing w:after="120"/>
        <w:ind w:left="473"/>
        <w:rPr>
          <w:rFonts w:eastAsia="Arial" w:cs="Arial"/>
          <w:sz w:val="22"/>
          <w:szCs w:val="22"/>
        </w:rPr>
      </w:pPr>
    </w:p>
    <w:p w14:paraId="6D3E623E" w14:textId="47E3B6B7" w:rsidR="00CE7034" w:rsidRPr="00F008FD" w:rsidRDefault="09EA91F3"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For </w:t>
      </w:r>
      <w:r w:rsidRPr="00F008FD">
        <w:rPr>
          <w:b/>
          <w:sz w:val="22"/>
          <w:szCs w:val="22"/>
          <w:lang w:eastAsia="en-GB"/>
        </w:rPr>
        <w:t>skin sensitisation</w:t>
      </w:r>
      <w:r w:rsidRPr="00F008FD">
        <w:rPr>
          <w:rFonts w:eastAsia="Arial" w:cs="Arial"/>
          <w:sz w:val="22"/>
          <w:szCs w:val="22"/>
        </w:rPr>
        <w:t xml:space="preserve">, </w:t>
      </w:r>
      <w:r w:rsidR="0D336DCE" w:rsidRPr="00F008FD">
        <w:rPr>
          <w:rFonts w:eastAsia="Arial" w:cs="Arial"/>
          <w:sz w:val="22"/>
          <w:szCs w:val="22"/>
        </w:rPr>
        <w:t xml:space="preserve">the baseline </w:t>
      </w:r>
      <w:r w:rsidR="031502F7" w:rsidRPr="00F008FD">
        <w:rPr>
          <w:rFonts w:eastAsia="Arial" w:cs="Arial"/>
          <w:sz w:val="22"/>
          <w:szCs w:val="22"/>
        </w:rPr>
        <w:t xml:space="preserve">cost is estimated at around </w:t>
      </w:r>
      <w:r w:rsidR="7E158ED4" w:rsidRPr="00F008FD">
        <w:rPr>
          <w:rFonts w:eastAsia="Arial" w:cs="Arial"/>
          <w:sz w:val="22"/>
          <w:szCs w:val="22"/>
        </w:rPr>
        <w:t>£5,000 per ac</w:t>
      </w:r>
      <w:r w:rsidR="6F2E3DC4" w:rsidRPr="00F008FD">
        <w:rPr>
          <w:rFonts w:eastAsia="Arial" w:cs="Arial"/>
          <w:sz w:val="22"/>
          <w:szCs w:val="22"/>
        </w:rPr>
        <w:t xml:space="preserve">tive/ </w:t>
      </w:r>
      <w:r w:rsidR="26BD0B2F" w:rsidRPr="00F008FD">
        <w:rPr>
          <w:rFonts w:eastAsia="Arial" w:cs="Arial"/>
          <w:sz w:val="22"/>
          <w:szCs w:val="22"/>
        </w:rPr>
        <w:t>product</w:t>
      </w:r>
      <w:r w:rsidR="6491146A" w:rsidRPr="00F008FD">
        <w:rPr>
          <w:rFonts w:eastAsia="Arial" w:cs="Arial"/>
          <w:sz w:val="22"/>
          <w:szCs w:val="22"/>
        </w:rPr>
        <w:t xml:space="preserve">, based </w:t>
      </w:r>
      <w:r w:rsidR="3A9F2401" w:rsidRPr="00F008FD">
        <w:rPr>
          <w:rFonts w:eastAsia="Arial" w:cs="Arial"/>
          <w:sz w:val="22"/>
          <w:szCs w:val="22"/>
        </w:rPr>
        <w:t xml:space="preserve">on a </w:t>
      </w:r>
      <w:r w:rsidR="0DDE4589" w:rsidRPr="00F008FD">
        <w:rPr>
          <w:rFonts w:eastAsia="Arial" w:cs="Arial"/>
          <w:sz w:val="22"/>
          <w:szCs w:val="22"/>
        </w:rPr>
        <w:t xml:space="preserve">local lymph node assay in a </w:t>
      </w:r>
      <w:r w:rsidR="635A789C" w:rsidRPr="00F008FD">
        <w:rPr>
          <w:rFonts w:eastAsia="Arial" w:cs="Arial"/>
          <w:sz w:val="22"/>
          <w:szCs w:val="22"/>
        </w:rPr>
        <w:t xml:space="preserve">mouse. The </w:t>
      </w:r>
      <w:r w:rsidR="5D4B2022" w:rsidRPr="00F008FD">
        <w:rPr>
          <w:rFonts w:eastAsia="Arial" w:cs="Arial"/>
          <w:sz w:val="22"/>
          <w:szCs w:val="22"/>
        </w:rPr>
        <w:t>in</w:t>
      </w:r>
      <w:r w:rsidR="0669D2BB" w:rsidRPr="00F008FD">
        <w:rPr>
          <w:rFonts w:eastAsia="Arial" w:cs="Arial"/>
          <w:sz w:val="22"/>
          <w:szCs w:val="22"/>
        </w:rPr>
        <w:t xml:space="preserve"> </w:t>
      </w:r>
      <w:r w:rsidR="5D4B2022" w:rsidRPr="00F008FD">
        <w:rPr>
          <w:rFonts w:eastAsia="Arial" w:cs="Arial"/>
          <w:sz w:val="22"/>
          <w:szCs w:val="22"/>
        </w:rPr>
        <w:t xml:space="preserve">vitro </w:t>
      </w:r>
      <w:r w:rsidR="00EE653F" w:rsidRPr="00F008FD">
        <w:rPr>
          <w:rFonts w:eastAsia="Arial" w:cs="Arial"/>
          <w:sz w:val="22"/>
          <w:szCs w:val="22"/>
        </w:rPr>
        <w:t xml:space="preserve">Defined Approaches for Skin </w:t>
      </w:r>
      <w:r w:rsidR="00931B0D">
        <w:rPr>
          <w:rFonts w:eastAsia="Arial" w:cs="Arial"/>
          <w:sz w:val="22"/>
          <w:szCs w:val="22"/>
        </w:rPr>
        <w:t xml:space="preserve">Sensitisation </w:t>
      </w:r>
      <w:r w:rsidR="00CD2899" w:rsidRPr="00F008FD">
        <w:rPr>
          <w:rFonts w:eastAsia="Arial" w:cs="Arial"/>
          <w:sz w:val="22"/>
          <w:szCs w:val="22"/>
        </w:rPr>
        <w:t>(</w:t>
      </w:r>
      <w:r w:rsidR="4729C0F1" w:rsidRPr="00F008FD">
        <w:rPr>
          <w:rFonts w:eastAsia="Arial" w:cs="Arial"/>
          <w:sz w:val="22"/>
          <w:szCs w:val="22"/>
        </w:rPr>
        <w:t>DASS</w:t>
      </w:r>
      <w:r w:rsidR="00CD2899" w:rsidRPr="00F008FD">
        <w:rPr>
          <w:rFonts w:eastAsia="Arial" w:cs="Arial"/>
          <w:sz w:val="22"/>
          <w:szCs w:val="22"/>
        </w:rPr>
        <w:t>)</w:t>
      </w:r>
      <w:r w:rsidR="4729C0F1" w:rsidRPr="00F008FD">
        <w:rPr>
          <w:rFonts w:eastAsia="Arial" w:cs="Arial"/>
          <w:sz w:val="22"/>
          <w:szCs w:val="22"/>
        </w:rPr>
        <w:t xml:space="preserve"> test </w:t>
      </w:r>
      <w:r w:rsidR="4BADBA1F" w:rsidRPr="00F008FD">
        <w:rPr>
          <w:rFonts w:eastAsia="Arial" w:cs="Arial"/>
          <w:sz w:val="22"/>
          <w:szCs w:val="22"/>
        </w:rPr>
        <w:t xml:space="preserve">costs around £15,000. This gives </w:t>
      </w:r>
      <w:r w:rsidR="626E2ABA" w:rsidRPr="00F008FD">
        <w:rPr>
          <w:rFonts w:eastAsia="Arial" w:cs="Arial"/>
          <w:sz w:val="22"/>
          <w:szCs w:val="22"/>
        </w:rPr>
        <w:t xml:space="preserve">an additional cost per active/ product of around </w:t>
      </w:r>
      <w:r w:rsidR="53216229" w:rsidRPr="00F008FD">
        <w:rPr>
          <w:rFonts w:eastAsia="Arial" w:cs="Arial"/>
          <w:sz w:val="22"/>
          <w:szCs w:val="22"/>
        </w:rPr>
        <w:t>£10,000.</w:t>
      </w:r>
    </w:p>
    <w:p w14:paraId="4E6C63B7" w14:textId="77777777" w:rsidR="00E06F04" w:rsidRPr="00F008FD" w:rsidRDefault="00E06F04" w:rsidP="00F008FD">
      <w:pPr>
        <w:pStyle w:val="ListParagraph"/>
        <w:spacing w:after="120"/>
        <w:ind w:left="473"/>
        <w:rPr>
          <w:rFonts w:eastAsia="Arial" w:cs="Arial"/>
          <w:sz w:val="22"/>
          <w:szCs w:val="22"/>
        </w:rPr>
      </w:pPr>
    </w:p>
    <w:p w14:paraId="4AB28C5E" w14:textId="77777777" w:rsidR="00E06F04" w:rsidRPr="00F008FD" w:rsidRDefault="00E06F04"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These costs would be incurred by new active substance submissions; and both new and renewal product submissions. </w:t>
      </w:r>
    </w:p>
    <w:p w14:paraId="3EBFD5A7" w14:textId="77777777" w:rsidR="00E06F04" w:rsidRPr="00F008FD" w:rsidRDefault="00E06F04" w:rsidP="00F008FD">
      <w:pPr>
        <w:pStyle w:val="ListParagraph"/>
        <w:spacing w:after="120"/>
        <w:ind w:left="473"/>
        <w:rPr>
          <w:rFonts w:eastAsia="Arial" w:cs="Arial"/>
          <w:sz w:val="22"/>
          <w:szCs w:val="22"/>
        </w:rPr>
      </w:pPr>
    </w:p>
    <w:p w14:paraId="607449E6" w14:textId="336514E1" w:rsidR="00E06F04" w:rsidRPr="00F008FD" w:rsidRDefault="00E06F04"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Across the new active substance numbers in </w:t>
      </w:r>
      <w:r w:rsidRPr="00F008FD">
        <w:rPr>
          <w:rFonts w:eastAsia="Arial" w:cs="Arial"/>
          <w:sz w:val="22"/>
          <w:szCs w:val="22"/>
        </w:rPr>
        <w:fldChar w:fldCharType="begin"/>
      </w:r>
      <w:r w:rsidRPr="00F008FD">
        <w:rPr>
          <w:rFonts w:eastAsia="Arial" w:cs="Arial"/>
          <w:sz w:val="22"/>
          <w:szCs w:val="22"/>
        </w:rPr>
        <w:instrText xml:space="preserve"> REF _Ref111708851 \h </w:instrText>
      </w:r>
      <w:r w:rsidR="00187F08" w:rsidRPr="00481B20">
        <w:rPr>
          <w:rFonts w:eastAsia="Arial" w:cs="Arial"/>
          <w:sz w:val="22"/>
          <w:szCs w:val="22"/>
        </w:rPr>
        <w:instrText xml:space="preserve"> \* MERGEFORMAT </w:instrText>
      </w:r>
      <w:r w:rsidRPr="00F008FD">
        <w:rPr>
          <w:rFonts w:eastAsia="Arial" w:cs="Arial"/>
          <w:sz w:val="22"/>
          <w:szCs w:val="22"/>
        </w:rPr>
      </w:r>
      <w:r w:rsidRPr="00F008FD">
        <w:rPr>
          <w:rFonts w:eastAsia="Arial" w:cs="Arial"/>
          <w:sz w:val="22"/>
          <w:szCs w:val="22"/>
        </w:rPr>
        <w:fldChar w:fldCharType="separate"/>
      </w:r>
      <w:r w:rsidRPr="00F008FD">
        <w:rPr>
          <w:rFonts w:eastAsia="Arial" w:cs="Arial"/>
          <w:sz w:val="22"/>
          <w:szCs w:val="22"/>
        </w:rPr>
        <w:t>Table 2</w:t>
      </w:r>
      <w:r w:rsidRPr="00F008FD">
        <w:rPr>
          <w:rFonts w:eastAsia="Arial" w:cs="Arial"/>
          <w:sz w:val="22"/>
          <w:szCs w:val="22"/>
        </w:rPr>
        <w:fldChar w:fldCharType="end"/>
      </w:r>
      <w:r w:rsidRPr="00F008FD">
        <w:rPr>
          <w:rFonts w:eastAsia="Arial" w:cs="Arial"/>
          <w:sz w:val="22"/>
          <w:szCs w:val="22"/>
        </w:rPr>
        <w:t>, annual costs would be minimal - between nil and around £</w:t>
      </w:r>
      <w:r w:rsidR="00DF465A" w:rsidRPr="00F008FD">
        <w:rPr>
          <w:rFonts w:eastAsia="Arial" w:cs="Arial"/>
          <w:sz w:val="22"/>
          <w:szCs w:val="22"/>
        </w:rPr>
        <w:t>30</w:t>
      </w:r>
      <w:r w:rsidRPr="00F008FD">
        <w:rPr>
          <w:rFonts w:eastAsia="Arial" w:cs="Arial"/>
          <w:sz w:val="22"/>
          <w:szCs w:val="22"/>
        </w:rPr>
        <w:t>0, with a mid-estimate of around £</w:t>
      </w:r>
      <w:r w:rsidR="00DF465A" w:rsidRPr="00F008FD">
        <w:rPr>
          <w:rFonts w:eastAsia="Arial" w:cs="Arial"/>
          <w:sz w:val="22"/>
          <w:szCs w:val="22"/>
        </w:rPr>
        <w:t>10</w:t>
      </w:r>
      <w:r w:rsidRPr="00F008FD">
        <w:rPr>
          <w:rFonts w:eastAsia="Arial" w:cs="Arial"/>
          <w:sz w:val="22"/>
          <w:szCs w:val="22"/>
        </w:rPr>
        <w:t>0. For products (both new and renewal), annual costs would be between around £2</w:t>
      </w:r>
      <w:r w:rsidR="004A4F60" w:rsidRPr="00F008FD">
        <w:rPr>
          <w:rFonts w:eastAsia="Arial" w:cs="Arial"/>
          <w:sz w:val="22"/>
          <w:szCs w:val="22"/>
        </w:rPr>
        <w:t>6</w:t>
      </w:r>
      <w:r w:rsidRPr="00F008FD">
        <w:rPr>
          <w:rFonts w:eastAsia="Arial" w:cs="Arial"/>
          <w:sz w:val="22"/>
          <w:szCs w:val="22"/>
        </w:rPr>
        <w:t>,000 and £1</w:t>
      </w:r>
      <w:r w:rsidR="003721CA" w:rsidRPr="00F008FD">
        <w:rPr>
          <w:rFonts w:eastAsia="Arial" w:cs="Arial"/>
          <w:sz w:val="22"/>
          <w:szCs w:val="22"/>
        </w:rPr>
        <w:t>9</w:t>
      </w:r>
      <w:r w:rsidRPr="00F008FD">
        <w:rPr>
          <w:rFonts w:eastAsia="Arial" w:cs="Arial"/>
          <w:sz w:val="22"/>
          <w:szCs w:val="22"/>
        </w:rPr>
        <w:t>0,000, with a mid-estimate of around £</w:t>
      </w:r>
      <w:r w:rsidR="00864C4A" w:rsidRPr="00F008FD">
        <w:rPr>
          <w:rFonts w:eastAsia="Arial" w:cs="Arial"/>
          <w:sz w:val="22"/>
          <w:szCs w:val="22"/>
        </w:rPr>
        <w:t>110</w:t>
      </w:r>
      <w:r w:rsidRPr="00F008FD">
        <w:rPr>
          <w:rFonts w:eastAsia="Arial" w:cs="Arial"/>
          <w:sz w:val="22"/>
          <w:szCs w:val="22"/>
        </w:rPr>
        <w:t>,000.</w:t>
      </w:r>
    </w:p>
    <w:p w14:paraId="6843DB69" w14:textId="77777777" w:rsidR="00E06F04" w:rsidRPr="00F008FD" w:rsidRDefault="00E06F04" w:rsidP="00F008FD">
      <w:pPr>
        <w:pStyle w:val="ListParagraph"/>
        <w:spacing w:after="120"/>
        <w:ind w:left="473"/>
        <w:rPr>
          <w:rFonts w:eastAsia="Arial" w:cs="Arial"/>
          <w:sz w:val="22"/>
          <w:szCs w:val="22"/>
        </w:rPr>
      </w:pPr>
    </w:p>
    <w:p w14:paraId="0BA4DAD9" w14:textId="5A7CFF16" w:rsidR="00E06F04" w:rsidRPr="00F008FD" w:rsidRDefault="00E06F04"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This gives an estimated present value cost of additional </w:t>
      </w:r>
      <w:r w:rsidR="00864C4A" w:rsidRPr="00F008FD">
        <w:rPr>
          <w:rFonts w:eastAsia="Arial" w:cs="Arial"/>
          <w:sz w:val="22"/>
          <w:szCs w:val="22"/>
        </w:rPr>
        <w:t>skin sensitisation</w:t>
      </w:r>
      <w:r w:rsidRPr="00F008FD">
        <w:rPr>
          <w:rFonts w:eastAsia="Arial" w:cs="Arial"/>
          <w:sz w:val="22"/>
          <w:szCs w:val="22"/>
        </w:rPr>
        <w:t xml:space="preserve"> tests of between around £</w:t>
      </w:r>
      <w:r w:rsidR="008A6C68" w:rsidRPr="00F008FD">
        <w:rPr>
          <w:rFonts w:eastAsia="Arial" w:cs="Arial"/>
          <w:sz w:val="22"/>
          <w:szCs w:val="22"/>
        </w:rPr>
        <w:t>23</w:t>
      </w:r>
      <w:r w:rsidRPr="00F008FD">
        <w:rPr>
          <w:rFonts w:eastAsia="Arial" w:cs="Arial"/>
          <w:sz w:val="22"/>
          <w:szCs w:val="22"/>
        </w:rPr>
        <w:t>0,000 and £1.</w:t>
      </w:r>
      <w:r w:rsidR="008A6C68" w:rsidRPr="00F008FD">
        <w:rPr>
          <w:rFonts w:eastAsia="Arial" w:cs="Arial"/>
          <w:sz w:val="22"/>
          <w:szCs w:val="22"/>
        </w:rPr>
        <w:t>6</w:t>
      </w:r>
      <w:r w:rsidRPr="00F008FD">
        <w:rPr>
          <w:rFonts w:eastAsia="Arial" w:cs="Arial"/>
          <w:sz w:val="22"/>
          <w:szCs w:val="22"/>
        </w:rPr>
        <w:t xml:space="preserve"> million, with a mid-estimate of around £</w:t>
      </w:r>
      <w:r w:rsidR="008A6C68" w:rsidRPr="00F008FD">
        <w:rPr>
          <w:rFonts w:eastAsia="Arial" w:cs="Arial"/>
          <w:sz w:val="22"/>
          <w:szCs w:val="22"/>
        </w:rPr>
        <w:t>92</w:t>
      </w:r>
      <w:r w:rsidRPr="00F008FD">
        <w:rPr>
          <w:rFonts w:eastAsia="Arial" w:cs="Arial"/>
          <w:sz w:val="22"/>
          <w:szCs w:val="22"/>
        </w:rPr>
        <w:t xml:space="preserve">0,000. </w:t>
      </w:r>
    </w:p>
    <w:p w14:paraId="0E470CF7" w14:textId="77777777" w:rsidR="004415DF" w:rsidRPr="00F008FD" w:rsidRDefault="004415DF" w:rsidP="00F008FD">
      <w:pPr>
        <w:pStyle w:val="ListParagraph"/>
        <w:spacing w:after="120"/>
        <w:ind w:left="473"/>
        <w:rPr>
          <w:rFonts w:eastAsia="Arial" w:cs="Arial"/>
          <w:sz w:val="22"/>
          <w:szCs w:val="22"/>
        </w:rPr>
      </w:pPr>
    </w:p>
    <w:p w14:paraId="17BD2613" w14:textId="11D3AA5A" w:rsidR="004415DF" w:rsidRDefault="2C7250C9"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For </w:t>
      </w:r>
      <w:r w:rsidR="234EB316" w:rsidRPr="5DDD2B0E">
        <w:rPr>
          <w:b/>
          <w:bCs/>
          <w:sz w:val="22"/>
          <w:szCs w:val="22"/>
          <w:lang w:eastAsia="en-GB"/>
        </w:rPr>
        <w:t>genotoxicity</w:t>
      </w:r>
      <w:r w:rsidR="234EB316" w:rsidRPr="00F008FD">
        <w:rPr>
          <w:rFonts w:eastAsia="Arial" w:cs="Arial"/>
          <w:sz w:val="22"/>
          <w:szCs w:val="22"/>
        </w:rPr>
        <w:t xml:space="preserve">, the </w:t>
      </w:r>
      <w:r w:rsidR="79516F85" w:rsidRPr="00F008FD">
        <w:rPr>
          <w:rFonts w:eastAsia="Arial" w:cs="Arial"/>
          <w:sz w:val="22"/>
          <w:szCs w:val="22"/>
        </w:rPr>
        <w:t>baseline cost is estimated at</w:t>
      </w:r>
      <w:r w:rsidR="6EEDBC23" w:rsidRPr="00F008FD">
        <w:rPr>
          <w:rFonts w:eastAsia="Arial" w:cs="Arial"/>
          <w:sz w:val="22"/>
          <w:szCs w:val="22"/>
        </w:rPr>
        <w:t xml:space="preserve"> around £9,000 </w:t>
      </w:r>
      <w:r w:rsidR="32650A0D" w:rsidRPr="00F008FD">
        <w:rPr>
          <w:rFonts w:eastAsia="Arial" w:cs="Arial"/>
          <w:sz w:val="22"/>
          <w:szCs w:val="22"/>
        </w:rPr>
        <w:t xml:space="preserve">per active </w:t>
      </w:r>
      <w:r w:rsidR="6EEDBC23" w:rsidRPr="00F008FD">
        <w:rPr>
          <w:rFonts w:eastAsia="Arial" w:cs="Arial"/>
          <w:sz w:val="22"/>
          <w:szCs w:val="22"/>
        </w:rPr>
        <w:t>for a live</w:t>
      </w:r>
      <w:r w:rsidR="537227C3" w:rsidRPr="00F008FD">
        <w:rPr>
          <w:rFonts w:eastAsia="Arial" w:cs="Arial"/>
          <w:sz w:val="22"/>
          <w:szCs w:val="22"/>
        </w:rPr>
        <w:t>r</w:t>
      </w:r>
      <w:r w:rsidR="6EEDBC23" w:rsidRPr="00F008FD">
        <w:rPr>
          <w:rFonts w:eastAsia="Arial" w:cs="Arial"/>
          <w:sz w:val="22"/>
          <w:szCs w:val="22"/>
        </w:rPr>
        <w:t xml:space="preserve"> </w:t>
      </w:r>
      <w:r w:rsidR="00933909" w:rsidRPr="00F008FD">
        <w:rPr>
          <w:rFonts w:eastAsia="Arial" w:cs="Arial"/>
          <w:sz w:val="22"/>
          <w:szCs w:val="22"/>
        </w:rPr>
        <w:t>Unscheduled DNA Synthesis</w:t>
      </w:r>
      <w:r w:rsidR="00933909" w:rsidRPr="00F008FD">
        <w:rPr>
          <w:rFonts w:eastAsia="Arial" w:cs="Arial"/>
          <w:sz w:val="22"/>
          <w:szCs w:val="22"/>
        </w:rPr>
        <w:t/>
      </w:r>
      <w:r w:rsidR="00251138" w:rsidRPr="00F008FD">
        <w:rPr>
          <w:rFonts w:eastAsia="Arial" w:cs="Arial"/>
          <w:sz w:val="22"/>
          <w:szCs w:val="22"/>
        </w:rPr>
        <w:t xml:space="preserve"> (</w:t>
      </w:r>
      <w:r w:rsidR="6EEDBC23" w:rsidRPr="00F008FD">
        <w:rPr>
          <w:rFonts w:eastAsia="Arial" w:cs="Arial"/>
          <w:sz w:val="22"/>
          <w:szCs w:val="22"/>
        </w:rPr>
        <w:t>UDS</w:t>
      </w:r>
      <w:r w:rsidR="00251138" w:rsidRPr="00F008FD">
        <w:rPr>
          <w:rFonts w:eastAsia="Arial" w:cs="Arial"/>
          <w:sz w:val="22"/>
          <w:szCs w:val="22"/>
        </w:rPr>
        <w:t>)</w:t>
      </w:r>
      <w:r w:rsidR="6EEDBC23" w:rsidRPr="00F008FD">
        <w:rPr>
          <w:rFonts w:eastAsia="Arial" w:cs="Arial"/>
          <w:sz w:val="22"/>
          <w:szCs w:val="22"/>
        </w:rPr>
        <w:t xml:space="preserve"> assay</w:t>
      </w:r>
      <w:r w:rsidR="0ABF0C4B" w:rsidRPr="00F008FD">
        <w:rPr>
          <w:rFonts w:eastAsia="Arial" w:cs="Arial"/>
          <w:sz w:val="22"/>
          <w:szCs w:val="22"/>
        </w:rPr>
        <w:t>. The in</w:t>
      </w:r>
      <w:r w:rsidR="6D490B8A" w:rsidRPr="00F008FD">
        <w:rPr>
          <w:rFonts w:eastAsia="Arial" w:cs="Arial"/>
          <w:sz w:val="22"/>
          <w:szCs w:val="22"/>
        </w:rPr>
        <w:t xml:space="preserve"> </w:t>
      </w:r>
      <w:r w:rsidR="0ABF0C4B" w:rsidRPr="00F008FD">
        <w:rPr>
          <w:rFonts w:eastAsia="Arial" w:cs="Arial"/>
          <w:sz w:val="22"/>
          <w:szCs w:val="22"/>
        </w:rPr>
        <w:t xml:space="preserve">vitro test costs between around </w:t>
      </w:r>
      <w:r w:rsidR="61C67882" w:rsidRPr="00F008FD">
        <w:rPr>
          <w:rFonts w:eastAsia="Arial" w:cs="Arial"/>
          <w:sz w:val="22"/>
          <w:szCs w:val="22"/>
        </w:rPr>
        <w:t xml:space="preserve">£35,000 for </w:t>
      </w:r>
      <w:r w:rsidR="7F263EC6" w:rsidRPr="00F008FD">
        <w:rPr>
          <w:rFonts w:eastAsia="Arial" w:cs="Arial"/>
          <w:sz w:val="22"/>
          <w:szCs w:val="22"/>
        </w:rPr>
        <w:t>a rodent comet assay (three tissues)</w:t>
      </w:r>
      <w:r w:rsidR="4123D4D2" w:rsidRPr="00F008FD">
        <w:rPr>
          <w:rFonts w:eastAsia="Arial" w:cs="Arial"/>
          <w:sz w:val="22"/>
          <w:szCs w:val="22"/>
        </w:rPr>
        <w:t xml:space="preserve"> (to detect DNA damage</w:t>
      </w:r>
      <w:r w:rsidR="7F263EC6" w:rsidRPr="00F008FD">
        <w:rPr>
          <w:rFonts w:eastAsia="Arial" w:cs="Arial"/>
          <w:sz w:val="22"/>
          <w:szCs w:val="22"/>
        </w:rPr>
        <w:t>)</w:t>
      </w:r>
      <w:r w:rsidR="0C0FDD9B" w:rsidRPr="00F008FD">
        <w:rPr>
          <w:rFonts w:eastAsia="Arial" w:cs="Arial"/>
          <w:sz w:val="22"/>
          <w:szCs w:val="22"/>
        </w:rPr>
        <w:t xml:space="preserve">; and </w:t>
      </w:r>
      <w:r w:rsidR="5D1E4390" w:rsidRPr="00F008FD">
        <w:rPr>
          <w:rFonts w:eastAsia="Arial" w:cs="Arial"/>
          <w:sz w:val="22"/>
          <w:szCs w:val="22"/>
        </w:rPr>
        <w:t>around £211,000</w:t>
      </w:r>
      <w:r w:rsidR="2B6F29E5" w:rsidRPr="00F008FD">
        <w:rPr>
          <w:rFonts w:eastAsia="Arial" w:cs="Arial"/>
          <w:sz w:val="22"/>
          <w:szCs w:val="22"/>
        </w:rPr>
        <w:t xml:space="preserve"> for </w:t>
      </w:r>
      <w:r w:rsidR="311805E2" w:rsidRPr="00F008FD">
        <w:rPr>
          <w:rFonts w:eastAsia="Arial" w:cs="Arial"/>
          <w:sz w:val="22"/>
          <w:szCs w:val="22"/>
        </w:rPr>
        <w:t xml:space="preserve">a transgenic rodent </w:t>
      </w:r>
      <w:r w:rsidR="5502BFF2" w:rsidRPr="00F008FD">
        <w:rPr>
          <w:rFonts w:eastAsia="Arial" w:cs="Arial"/>
          <w:sz w:val="22"/>
          <w:szCs w:val="22"/>
        </w:rPr>
        <w:t>mutation (TGR) test</w:t>
      </w:r>
      <w:r w:rsidR="49ED99EB" w:rsidRPr="00F008FD">
        <w:rPr>
          <w:rFonts w:eastAsia="Arial" w:cs="Arial"/>
          <w:sz w:val="22"/>
          <w:szCs w:val="22"/>
        </w:rPr>
        <w:t xml:space="preserve"> involving </w:t>
      </w:r>
      <w:r w:rsidR="261C138C" w:rsidRPr="00F008FD">
        <w:rPr>
          <w:rFonts w:eastAsia="Arial" w:cs="Arial"/>
          <w:sz w:val="22"/>
          <w:szCs w:val="22"/>
        </w:rPr>
        <w:t>two tissues and three dose level</w:t>
      </w:r>
      <w:r w:rsidR="5F13DBBB" w:rsidRPr="00F008FD">
        <w:rPr>
          <w:rFonts w:eastAsia="Arial" w:cs="Arial"/>
          <w:sz w:val="22"/>
          <w:szCs w:val="22"/>
        </w:rPr>
        <w:t>s</w:t>
      </w:r>
      <w:r w:rsidR="4E9368F5" w:rsidRPr="00F008FD">
        <w:rPr>
          <w:rFonts w:eastAsia="Arial" w:cs="Arial"/>
          <w:sz w:val="22"/>
          <w:szCs w:val="22"/>
        </w:rPr>
        <w:t xml:space="preserve"> (</w:t>
      </w:r>
      <w:r w:rsidR="001F6C69">
        <w:rPr>
          <w:rFonts w:eastAsia="Arial" w:cs="Arial"/>
          <w:sz w:val="22"/>
          <w:szCs w:val="22"/>
        </w:rPr>
        <w:t>u</w:t>
      </w:r>
      <w:r w:rsidR="4E9368F5" w:rsidRPr="00F008FD">
        <w:rPr>
          <w:rFonts w:eastAsia="Arial" w:cs="Arial"/>
          <w:sz w:val="22"/>
          <w:szCs w:val="22"/>
        </w:rPr>
        <w:t xml:space="preserve">sing rodents </w:t>
      </w:r>
      <w:r w:rsidR="001F6C69">
        <w:rPr>
          <w:rFonts w:eastAsia="Arial" w:cs="Arial"/>
          <w:sz w:val="22"/>
          <w:szCs w:val="22"/>
        </w:rPr>
        <w:t>that</w:t>
      </w:r>
      <w:r w:rsidR="4E9368F5" w:rsidRPr="00F008FD">
        <w:rPr>
          <w:rFonts w:eastAsia="Arial" w:cs="Arial"/>
          <w:sz w:val="22"/>
          <w:szCs w:val="22"/>
        </w:rPr>
        <w:t xml:space="preserve"> are bred to include genes to help detect mutations)</w:t>
      </w:r>
      <w:r w:rsidR="001F6C69">
        <w:rPr>
          <w:rFonts w:eastAsia="Arial" w:cs="Arial"/>
          <w:sz w:val="22"/>
          <w:szCs w:val="22"/>
        </w:rPr>
        <w:t>.</w:t>
      </w:r>
    </w:p>
    <w:p w14:paraId="6533C12E" w14:textId="77777777" w:rsidR="00595A77" w:rsidRPr="004555A5" w:rsidRDefault="00595A77" w:rsidP="004555A5">
      <w:pPr>
        <w:pStyle w:val="ListParagraph"/>
        <w:rPr>
          <w:rFonts w:eastAsia="Arial" w:cs="Arial"/>
          <w:sz w:val="22"/>
          <w:szCs w:val="22"/>
        </w:rPr>
      </w:pPr>
    </w:p>
    <w:p w14:paraId="2D00AF05" w14:textId="4D1B938A" w:rsidR="004415DF" w:rsidRPr="00F008FD" w:rsidRDefault="00312403" w:rsidP="00F008FD">
      <w:pPr>
        <w:pStyle w:val="ListParagraph"/>
        <w:numPr>
          <w:ilvl w:val="0"/>
          <w:numId w:val="34"/>
        </w:numPr>
        <w:spacing w:after="120"/>
        <w:rPr>
          <w:rFonts w:eastAsia="Arial"/>
          <w:sz w:val="22"/>
          <w:szCs w:val="22"/>
        </w:rPr>
      </w:pPr>
      <w:r>
        <w:rPr>
          <w:rFonts w:eastAsia="Arial" w:cs="Arial"/>
          <w:sz w:val="22"/>
          <w:szCs w:val="22"/>
        </w:rPr>
        <w:t xml:space="preserve">During consultation, we will explore whether </w:t>
      </w:r>
      <w:r w:rsidR="004F5E6C">
        <w:rPr>
          <w:rFonts w:eastAsia="Arial" w:cs="Arial"/>
          <w:sz w:val="22"/>
          <w:szCs w:val="22"/>
        </w:rPr>
        <w:t xml:space="preserve">it is possible to </w:t>
      </w:r>
      <w:r w:rsidR="00522973">
        <w:rPr>
          <w:rFonts w:eastAsia="Arial" w:cs="Arial"/>
          <w:sz w:val="22"/>
          <w:szCs w:val="22"/>
        </w:rPr>
        <w:t xml:space="preserve">estimate the proportions in which one or the other test could be required (or, indeed, if in some circumstances both tests could be required). However, for this consultation stage IA, we will simply assume </w:t>
      </w:r>
      <w:r w:rsidR="00842A20">
        <w:rPr>
          <w:rFonts w:eastAsia="Arial" w:cs="Arial"/>
          <w:sz w:val="22"/>
          <w:szCs w:val="22"/>
        </w:rPr>
        <w:t xml:space="preserve">these test costs give a high/ low range. </w:t>
      </w:r>
      <w:r w:rsidR="643991D7" w:rsidRPr="00F008FD">
        <w:rPr>
          <w:rFonts w:eastAsia="Arial" w:cs="Arial"/>
          <w:sz w:val="22"/>
          <w:szCs w:val="22"/>
        </w:rPr>
        <w:t xml:space="preserve">This gives an additional cost per </w:t>
      </w:r>
      <w:r w:rsidR="3FDA5852" w:rsidRPr="00F008FD">
        <w:rPr>
          <w:rFonts w:eastAsia="Arial" w:cs="Arial"/>
          <w:sz w:val="22"/>
          <w:szCs w:val="22"/>
        </w:rPr>
        <w:t>active</w:t>
      </w:r>
      <w:r w:rsidR="643991D7" w:rsidRPr="00F008FD">
        <w:rPr>
          <w:rFonts w:eastAsia="Arial" w:cs="Arial"/>
          <w:sz w:val="22"/>
          <w:szCs w:val="22"/>
        </w:rPr>
        <w:t xml:space="preserve"> </w:t>
      </w:r>
      <w:r w:rsidR="3FDA5852" w:rsidRPr="00F008FD">
        <w:rPr>
          <w:rFonts w:eastAsia="Arial" w:cs="Arial"/>
          <w:sz w:val="22"/>
          <w:szCs w:val="22"/>
        </w:rPr>
        <w:t xml:space="preserve">of </w:t>
      </w:r>
      <w:r w:rsidR="617385BC" w:rsidRPr="00F008FD">
        <w:rPr>
          <w:rFonts w:eastAsia="Arial" w:cs="Arial"/>
          <w:sz w:val="22"/>
          <w:szCs w:val="22"/>
        </w:rPr>
        <w:t xml:space="preserve">between around </w:t>
      </w:r>
      <w:r w:rsidR="6A5ED263" w:rsidRPr="00F008FD">
        <w:rPr>
          <w:rFonts w:eastAsia="Arial" w:cs="Arial"/>
          <w:sz w:val="22"/>
          <w:szCs w:val="22"/>
        </w:rPr>
        <w:t>£26,000 and £202,000, with a mid-estimate of around £114,000.</w:t>
      </w:r>
    </w:p>
    <w:p w14:paraId="36CCBAB2" w14:textId="77777777" w:rsidR="00561818" w:rsidRPr="00F008FD" w:rsidRDefault="00561818" w:rsidP="00F008FD">
      <w:pPr>
        <w:pStyle w:val="ListParagraph"/>
        <w:spacing w:after="120"/>
        <w:ind w:left="473"/>
        <w:rPr>
          <w:rFonts w:eastAsia="Arial" w:cs="Arial"/>
          <w:sz w:val="22"/>
          <w:szCs w:val="22"/>
        </w:rPr>
      </w:pPr>
    </w:p>
    <w:p w14:paraId="2F839A90" w14:textId="35C4420B" w:rsidR="00561818" w:rsidRPr="00F008FD" w:rsidRDefault="00561818"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These costs would be incurred by new </w:t>
      </w:r>
      <w:r w:rsidR="005518D0" w:rsidRPr="00F008FD">
        <w:rPr>
          <w:rFonts w:eastAsia="Arial" w:cs="Arial"/>
          <w:sz w:val="22"/>
          <w:szCs w:val="22"/>
        </w:rPr>
        <w:t xml:space="preserve">and renewal </w:t>
      </w:r>
      <w:r w:rsidRPr="00F008FD">
        <w:rPr>
          <w:rFonts w:eastAsia="Arial" w:cs="Arial"/>
          <w:sz w:val="22"/>
          <w:szCs w:val="22"/>
        </w:rPr>
        <w:t>active substance submissions</w:t>
      </w:r>
      <w:r w:rsidR="005518D0" w:rsidRPr="00F008FD">
        <w:rPr>
          <w:rFonts w:eastAsia="Arial" w:cs="Arial"/>
          <w:sz w:val="22"/>
          <w:szCs w:val="22"/>
        </w:rPr>
        <w:t>. No costs will be incurred in respect of product</w:t>
      </w:r>
      <w:r w:rsidRPr="00F008FD">
        <w:rPr>
          <w:rFonts w:eastAsia="Arial" w:cs="Arial"/>
          <w:sz w:val="22"/>
          <w:szCs w:val="22"/>
        </w:rPr>
        <w:t xml:space="preserve"> submissions. </w:t>
      </w:r>
    </w:p>
    <w:p w14:paraId="66CD3FEE" w14:textId="77777777" w:rsidR="00561818" w:rsidRPr="00F008FD" w:rsidRDefault="00561818" w:rsidP="00F008FD">
      <w:pPr>
        <w:pStyle w:val="ListParagraph"/>
        <w:spacing w:after="120"/>
        <w:ind w:left="473"/>
        <w:rPr>
          <w:rFonts w:eastAsia="Arial" w:cs="Arial"/>
          <w:sz w:val="22"/>
          <w:szCs w:val="22"/>
        </w:rPr>
      </w:pPr>
    </w:p>
    <w:p w14:paraId="6B1A8173" w14:textId="568B7609" w:rsidR="00561818" w:rsidRPr="00F008FD" w:rsidRDefault="00561818"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Across the active substance numbers in </w:t>
      </w:r>
      <w:r w:rsidRPr="00F008FD">
        <w:rPr>
          <w:rFonts w:eastAsia="Arial" w:cs="Arial"/>
          <w:sz w:val="22"/>
          <w:szCs w:val="22"/>
        </w:rPr>
        <w:fldChar w:fldCharType="begin"/>
      </w:r>
      <w:r w:rsidRPr="00F008FD">
        <w:rPr>
          <w:rFonts w:eastAsia="Arial" w:cs="Arial"/>
          <w:sz w:val="22"/>
          <w:szCs w:val="22"/>
        </w:rPr>
        <w:instrText xml:space="preserve"> REF _Ref111708851 \h </w:instrText>
      </w:r>
      <w:r w:rsidR="00187F08" w:rsidRPr="00481B20">
        <w:rPr>
          <w:rFonts w:eastAsia="Arial" w:cs="Arial"/>
          <w:sz w:val="22"/>
          <w:szCs w:val="22"/>
        </w:rPr>
        <w:instrText xml:space="preserve"> \* MERGEFORMAT </w:instrText>
      </w:r>
      <w:r w:rsidRPr="00F008FD">
        <w:rPr>
          <w:rFonts w:eastAsia="Arial" w:cs="Arial"/>
          <w:sz w:val="22"/>
          <w:szCs w:val="22"/>
        </w:rPr>
      </w:r>
      <w:r w:rsidRPr="00F008FD">
        <w:rPr>
          <w:rFonts w:eastAsia="Arial" w:cs="Arial"/>
          <w:sz w:val="22"/>
          <w:szCs w:val="22"/>
        </w:rPr>
        <w:fldChar w:fldCharType="separate"/>
      </w:r>
      <w:r w:rsidRPr="00F008FD">
        <w:rPr>
          <w:rFonts w:eastAsia="Arial" w:cs="Arial"/>
          <w:sz w:val="22"/>
          <w:szCs w:val="22"/>
        </w:rPr>
        <w:t>Table 2</w:t>
      </w:r>
      <w:r w:rsidRPr="00F008FD">
        <w:rPr>
          <w:rFonts w:eastAsia="Arial" w:cs="Arial"/>
          <w:sz w:val="22"/>
          <w:szCs w:val="22"/>
        </w:rPr>
        <w:fldChar w:fldCharType="end"/>
      </w:r>
      <w:r w:rsidRPr="00F008FD">
        <w:rPr>
          <w:rFonts w:eastAsia="Arial" w:cs="Arial"/>
          <w:sz w:val="22"/>
          <w:szCs w:val="22"/>
        </w:rPr>
        <w:t xml:space="preserve">, </w:t>
      </w:r>
      <w:r w:rsidR="00043480" w:rsidRPr="00F008FD">
        <w:rPr>
          <w:rFonts w:eastAsia="Arial" w:cs="Arial"/>
          <w:sz w:val="22"/>
          <w:szCs w:val="22"/>
        </w:rPr>
        <w:t>HSE toxicologists estimate</w:t>
      </w:r>
      <w:r w:rsidR="000C0001" w:rsidRPr="00F008FD">
        <w:rPr>
          <w:rFonts w:eastAsia="Arial" w:cs="Arial"/>
          <w:sz w:val="22"/>
          <w:szCs w:val="22"/>
        </w:rPr>
        <w:t xml:space="preserve"> only around one-third </w:t>
      </w:r>
      <w:r w:rsidR="00B25D8A" w:rsidRPr="00F008FD">
        <w:rPr>
          <w:rFonts w:eastAsia="Arial" w:cs="Arial"/>
          <w:sz w:val="22"/>
          <w:szCs w:val="22"/>
        </w:rPr>
        <w:t xml:space="preserve">will </w:t>
      </w:r>
      <w:r w:rsidR="00515391">
        <w:rPr>
          <w:rFonts w:eastAsia="Arial" w:cs="Arial"/>
          <w:sz w:val="22"/>
          <w:szCs w:val="22"/>
        </w:rPr>
        <w:t>b</w:t>
      </w:r>
      <w:r w:rsidR="00B25D8A" w:rsidRPr="00F008FD">
        <w:rPr>
          <w:rFonts w:eastAsia="Arial" w:cs="Arial"/>
          <w:sz w:val="22"/>
          <w:szCs w:val="22"/>
        </w:rPr>
        <w:t>e liable for genotoxicity tests</w:t>
      </w:r>
      <w:r w:rsidR="007029BE" w:rsidRPr="00F008FD">
        <w:rPr>
          <w:rFonts w:eastAsia="Arial" w:cs="Arial"/>
          <w:sz w:val="22"/>
          <w:szCs w:val="22"/>
        </w:rPr>
        <w:t xml:space="preserve">. </w:t>
      </w:r>
      <w:r w:rsidR="0008516C" w:rsidRPr="00F008FD">
        <w:rPr>
          <w:rFonts w:eastAsia="Arial" w:cs="Arial"/>
          <w:sz w:val="22"/>
          <w:szCs w:val="22"/>
        </w:rPr>
        <w:t xml:space="preserve">This would give an estimated annual cost of between around £870 and </w:t>
      </w:r>
      <w:r w:rsidR="0036235A" w:rsidRPr="00F008FD">
        <w:rPr>
          <w:rFonts w:eastAsia="Arial" w:cs="Arial"/>
          <w:sz w:val="22"/>
          <w:szCs w:val="22"/>
        </w:rPr>
        <w:t>£</w:t>
      </w:r>
      <w:r w:rsidR="00C27B66" w:rsidRPr="00F008FD">
        <w:rPr>
          <w:rFonts w:eastAsia="Arial" w:cs="Arial"/>
          <w:sz w:val="22"/>
          <w:szCs w:val="22"/>
        </w:rPr>
        <w:t xml:space="preserve">24,000, with a mid-estimate of around </w:t>
      </w:r>
      <w:r w:rsidR="007D2A3C" w:rsidRPr="00F008FD">
        <w:rPr>
          <w:rFonts w:eastAsia="Arial" w:cs="Arial"/>
          <w:sz w:val="22"/>
          <w:szCs w:val="22"/>
        </w:rPr>
        <w:t>£8,400</w:t>
      </w:r>
      <w:r w:rsidR="00122E39" w:rsidRPr="00F008FD">
        <w:rPr>
          <w:rFonts w:eastAsia="Arial" w:cs="Arial"/>
          <w:sz w:val="22"/>
          <w:szCs w:val="22"/>
        </w:rPr>
        <w:t xml:space="preserve">. </w:t>
      </w:r>
    </w:p>
    <w:p w14:paraId="72E4F982" w14:textId="77777777" w:rsidR="00561818" w:rsidRPr="00F008FD" w:rsidRDefault="00561818" w:rsidP="00F008FD">
      <w:pPr>
        <w:pStyle w:val="ListParagraph"/>
        <w:spacing w:after="120"/>
        <w:ind w:left="473"/>
        <w:rPr>
          <w:rFonts w:eastAsia="Arial" w:cs="Arial"/>
          <w:sz w:val="22"/>
          <w:szCs w:val="22"/>
        </w:rPr>
      </w:pPr>
    </w:p>
    <w:p w14:paraId="0D5CA904" w14:textId="68DA378D" w:rsidR="00561818" w:rsidRPr="00F008FD" w:rsidRDefault="00561818"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This gives an estimated present value cost of </w:t>
      </w:r>
      <w:r w:rsidR="00FC1AC1" w:rsidRPr="00F008FD">
        <w:rPr>
          <w:rFonts w:eastAsia="Arial" w:cs="Arial"/>
          <w:sz w:val="22"/>
          <w:szCs w:val="22"/>
        </w:rPr>
        <w:t>genotoxicity</w:t>
      </w:r>
      <w:r w:rsidRPr="00F008FD">
        <w:rPr>
          <w:rFonts w:eastAsia="Arial" w:cs="Arial"/>
          <w:sz w:val="22"/>
          <w:szCs w:val="22"/>
        </w:rPr>
        <w:t xml:space="preserve"> tests of between around £</w:t>
      </w:r>
      <w:r w:rsidR="00CB3B1D" w:rsidRPr="00F008FD">
        <w:rPr>
          <w:rFonts w:eastAsia="Arial" w:cs="Arial"/>
          <w:sz w:val="22"/>
          <w:szCs w:val="22"/>
        </w:rPr>
        <w:t>7</w:t>
      </w:r>
      <w:r w:rsidRPr="00F008FD">
        <w:rPr>
          <w:rFonts w:eastAsia="Arial" w:cs="Arial"/>
          <w:sz w:val="22"/>
          <w:szCs w:val="22"/>
        </w:rPr>
        <w:t>,</w:t>
      </w:r>
      <w:r w:rsidR="00CB3B1D" w:rsidRPr="00F008FD">
        <w:rPr>
          <w:rFonts w:eastAsia="Arial" w:cs="Arial"/>
          <w:sz w:val="22"/>
          <w:szCs w:val="22"/>
        </w:rPr>
        <w:t>5</w:t>
      </w:r>
      <w:r w:rsidRPr="00F008FD">
        <w:rPr>
          <w:rFonts w:eastAsia="Arial" w:cs="Arial"/>
          <w:sz w:val="22"/>
          <w:szCs w:val="22"/>
        </w:rPr>
        <w:t>00 and £</w:t>
      </w:r>
      <w:r w:rsidR="00CB3B1D" w:rsidRPr="00F008FD">
        <w:rPr>
          <w:rFonts w:eastAsia="Arial" w:cs="Arial"/>
          <w:sz w:val="22"/>
          <w:szCs w:val="22"/>
        </w:rPr>
        <w:t>210,000</w:t>
      </w:r>
      <w:r w:rsidRPr="00F008FD">
        <w:rPr>
          <w:rFonts w:eastAsia="Arial" w:cs="Arial"/>
          <w:sz w:val="22"/>
          <w:szCs w:val="22"/>
        </w:rPr>
        <w:t>, with a mid-estimate of around £</w:t>
      </w:r>
      <w:r w:rsidR="000F6404" w:rsidRPr="00F008FD">
        <w:rPr>
          <w:rFonts w:eastAsia="Arial" w:cs="Arial"/>
          <w:sz w:val="22"/>
          <w:szCs w:val="22"/>
        </w:rPr>
        <w:t>7</w:t>
      </w:r>
      <w:r w:rsidRPr="00F008FD">
        <w:rPr>
          <w:rFonts w:eastAsia="Arial" w:cs="Arial"/>
          <w:sz w:val="22"/>
          <w:szCs w:val="22"/>
        </w:rPr>
        <w:t xml:space="preserve">2,000. </w:t>
      </w:r>
    </w:p>
    <w:p w14:paraId="3649140A" w14:textId="77777777" w:rsidR="007575A4" w:rsidRPr="00F008FD" w:rsidRDefault="007575A4" w:rsidP="00F008FD">
      <w:pPr>
        <w:pStyle w:val="ListParagraph"/>
        <w:spacing w:after="120"/>
        <w:ind w:left="473"/>
        <w:rPr>
          <w:rFonts w:eastAsia="Arial" w:cs="Arial"/>
          <w:sz w:val="22"/>
          <w:szCs w:val="22"/>
        </w:rPr>
      </w:pPr>
    </w:p>
    <w:p w14:paraId="68D45EE3" w14:textId="0947A2EA" w:rsidR="007575A4" w:rsidRPr="00F008FD" w:rsidRDefault="007575A4"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For </w:t>
      </w:r>
      <w:r w:rsidRPr="00F008FD">
        <w:rPr>
          <w:b/>
          <w:sz w:val="22"/>
          <w:szCs w:val="22"/>
          <w:lang w:eastAsia="en-GB"/>
        </w:rPr>
        <w:t>developmental neurotoxicity</w:t>
      </w:r>
      <w:r w:rsidR="00CF6264" w:rsidRPr="00F008FD">
        <w:rPr>
          <w:b/>
          <w:sz w:val="22"/>
          <w:szCs w:val="22"/>
          <w:lang w:eastAsia="en-GB"/>
        </w:rPr>
        <w:t xml:space="preserve"> (DNT)</w:t>
      </w:r>
      <w:r w:rsidR="00F56652" w:rsidRPr="00F008FD">
        <w:rPr>
          <w:rFonts w:eastAsia="Arial" w:cs="Arial"/>
          <w:sz w:val="22"/>
          <w:szCs w:val="22"/>
        </w:rPr>
        <w:t xml:space="preserve">, </w:t>
      </w:r>
      <w:r w:rsidR="000F44A2" w:rsidRPr="00F008FD">
        <w:rPr>
          <w:rFonts w:eastAsia="Arial" w:cs="Arial"/>
          <w:sz w:val="22"/>
          <w:szCs w:val="22"/>
        </w:rPr>
        <w:t>no tests are required under the baseline.</w:t>
      </w:r>
      <w:r w:rsidR="001C05FA" w:rsidRPr="00F008FD">
        <w:rPr>
          <w:rFonts w:eastAsia="Arial" w:cs="Arial"/>
          <w:sz w:val="22"/>
          <w:szCs w:val="22"/>
        </w:rPr>
        <w:t xml:space="preserve"> For actives, the </w:t>
      </w:r>
      <w:r w:rsidR="00CF6264" w:rsidRPr="00F008FD">
        <w:rPr>
          <w:rFonts w:eastAsia="Arial" w:cs="Arial"/>
          <w:sz w:val="22"/>
          <w:szCs w:val="22"/>
        </w:rPr>
        <w:t>DNT cost is estimated at around £533,000</w:t>
      </w:r>
      <w:r w:rsidR="009E62D7" w:rsidRPr="00F008FD">
        <w:rPr>
          <w:rFonts w:eastAsia="Arial" w:cs="Arial"/>
          <w:sz w:val="22"/>
          <w:szCs w:val="22"/>
        </w:rPr>
        <w:t xml:space="preserve">. </w:t>
      </w:r>
    </w:p>
    <w:p w14:paraId="5A5FE9B2" w14:textId="77777777" w:rsidR="00E921CF" w:rsidRPr="00F008FD" w:rsidRDefault="00E921CF" w:rsidP="00F008FD">
      <w:pPr>
        <w:pStyle w:val="ListParagraph"/>
        <w:spacing w:after="120"/>
        <w:ind w:left="473"/>
        <w:rPr>
          <w:rFonts w:eastAsia="Arial" w:cs="Arial"/>
          <w:sz w:val="22"/>
          <w:szCs w:val="22"/>
        </w:rPr>
      </w:pPr>
    </w:p>
    <w:p w14:paraId="1D19A6D8" w14:textId="77777777" w:rsidR="00E921CF" w:rsidRPr="00F008FD" w:rsidRDefault="00E921CF"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These costs would be incurred by new and renewal active substance submissions. No costs will be incurred in respect of product submissions. </w:t>
      </w:r>
    </w:p>
    <w:p w14:paraId="7C227958" w14:textId="77777777" w:rsidR="00E921CF" w:rsidRPr="00F008FD" w:rsidRDefault="00E921CF" w:rsidP="00F008FD">
      <w:pPr>
        <w:pStyle w:val="ListParagraph"/>
        <w:spacing w:after="120"/>
        <w:ind w:left="473"/>
        <w:rPr>
          <w:rFonts w:eastAsia="Arial" w:cs="Arial"/>
          <w:sz w:val="22"/>
          <w:szCs w:val="22"/>
        </w:rPr>
      </w:pPr>
    </w:p>
    <w:p w14:paraId="51960CBE" w14:textId="49DCCA23" w:rsidR="00E921CF" w:rsidRPr="00F008FD" w:rsidRDefault="00E921CF"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Across the active substance numbers in </w:t>
      </w:r>
      <w:r w:rsidRPr="00F008FD">
        <w:rPr>
          <w:rFonts w:eastAsia="Arial" w:cs="Arial"/>
          <w:sz w:val="22"/>
          <w:szCs w:val="22"/>
        </w:rPr>
        <w:fldChar w:fldCharType="begin"/>
      </w:r>
      <w:r w:rsidRPr="00F008FD">
        <w:rPr>
          <w:rFonts w:eastAsia="Arial" w:cs="Arial"/>
          <w:sz w:val="22"/>
          <w:szCs w:val="22"/>
        </w:rPr>
        <w:instrText xml:space="preserve"> REF _Ref111708851 \h </w:instrText>
      </w:r>
      <w:r w:rsidR="00187F08" w:rsidRPr="00481B20">
        <w:rPr>
          <w:rFonts w:eastAsia="Arial" w:cs="Arial"/>
          <w:sz w:val="22"/>
          <w:szCs w:val="22"/>
        </w:rPr>
        <w:instrText xml:space="preserve"> \* MERGEFORMAT </w:instrText>
      </w:r>
      <w:r w:rsidRPr="00F008FD">
        <w:rPr>
          <w:rFonts w:eastAsia="Arial" w:cs="Arial"/>
          <w:sz w:val="22"/>
          <w:szCs w:val="22"/>
        </w:rPr>
      </w:r>
      <w:r w:rsidRPr="00F008FD">
        <w:rPr>
          <w:rFonts w:eastAsia="Arial" w:cs="Arial"/>
          <w:sz w:val="22"/>
          <w:szCs w:val="22"/>
        </w:rPr>
        <w:fldChar w:fldCharType="separate"/>
      </w:r>
      <w:r w:rsidRPr="00F008FD">
        <w:rPr>
          <w:rFonts w:eastAsia="Arial" w:cs="Arial"/>
          <w:sz w:val="22"/>
          <w:szCs w:val="22"/>
        </w:rPr>
        <w:t>Table 2</w:t>
      </w:r>
      <w:r w:rsidRPr="00F008FD">
        <w:rPr>
          <w:rFonts w:eastAsia="Arial" w:cs="Arial"/>
          <w:sz w:val="22"/>
          <w:szCs w:val="22"/>
        </w:rPr>
        <w:fldChar w:fldCharType="end"/>
      </w:r>
      <w:r w:rsidRPr="00F008FD">
        <w:rPr>
          <w:rFonts w:eastAsia="Arial" w:cs="Arial"/>
          <w:sz w:val="22"/>
          <w:szCs w:val="22"/>
        </w:rPr>
        <w:t xml:space="preserve">, HSE toxicologists estimate only around one-third will we liable for </w:t>
      </w:r>
      <w:r w:rsidR="00710954" w:rsidRPr="00F008FD">
        <w:rPr>
          <w:rFonts w:eastAsia="Arial" w:cs="Arial"/>
          <w:sz w:val="22"/>
          <w:szCs w:val="22"/>
        </w:rPr>
        <w:t>DNT</w:t>
      </w:r>
      <w:r w:rsidRPr="00F008FD">
        <w:rPr>
          <w:rFonts w:eastAsia="Arial" w:cs="Arial"/>
          <w:sz w:val="22"/>
          <w:szCs w:val="22"/>
        </w:rPr>
        <w:t xml:space="preserve"> tests. This would give an estimated annual cost of between around £</w:t>
      </w:r>
      <w:r w:rsidR="00710954" w:rsidRPr="00F008FD">
        <w:rPr>
          <w:rFonts w:eastAsia="Arial" w:cs="Arial"/>
          <w:sz w:val="22"/>
          <w:szCs w:val="22"/>
        </w:rPr>
        <w:t>18,000</w:t>
      </w:r>
      <w:r w:rsidRPr="00F008FD">
        <w:rPr>
          <w:rFonts w:eastAsia="Arial" w:cs="Arial"/>
          <w:sz w:val="22"/>
          <w:szCs w:val="22"/>
        </w:rPr>
        <w:t xml:space="preserve"> and </w:t>
      </w:r>
      <w:r w:rsidR="0036235A" w:rsidRPr="00F008FD">
        <w:rPr>
          <w:rFonts w:eastAsia="Arial" w:cs="Arial"/>
          <w:sz w:val="22"/>
          <w:szCs w:val="22"/>
        </w:rPr>
        <w:t>£64,000</w:t>
      </w:r>
      <w:r w:rsidRPr="00F008FD">
        <w:rPr>
          <w:rFonts w:eastAsia="Arial" w:cs="Arial"/>
          <w:sz w:val="22"/>
          <w:szCs w:val="22"/>
        </w:rPr>
        <w:t>, with a mid-estimate of around £</w:t>
      </w:r>
      <w:r w:rsidR="0036235A" w:rsidRPr="00F008FD">
        <w:rPr>
          <w:rFonts w:eastAsia="Arial" w:cs="Arial"/>
          <w:sz w:val="22"/>
          <w:szCs w:val="22"/>
        </w:rPr>
        <w:t>39</w:t>
      </w:r>
      <w:r w:rsidRPr="00F008FD">
        <w:rPr>
          <w:rFonts w:eastAsia="Arial" w:cs="Arial"/>
          <w:sz w:val="22"/>
          <w:szCs w:val="22"/>
        </w:rPr>
        <w:t>,</w:t>
      </w:r>
      <w:r w:rsidR="0036235A" w:rsidRPr="00F008FD">
        <w:rPr>
          <w:rFonts w:eastAsia="Arial" w:cs="Arial"/>
          <w:sz w:val="22"/>
          <w:szCs w:val="22"/>
        </w:rPr>
        <w:t>0</w:t>
      </w:r>
      <w:r w:rsidRPr="00F008FD">
        <w:rPr>
          <w:rFonts w:eastAsia="Arial" w:cs="Arial"/>
          <w:sz w:val="22"/>
          <w:szCs w:val="22"/>
        </w:rPr>
        <w:t xml:space="preserve">00. </w:t>
      </w:r>
    </w:p>
    <w:p w14:paraId="0473C4E5" w14:textId="77777777" w:rsidR="00E921CF" w:rsidRPr="00F008FD" w:rsidRDefault="00E921CF" w:rsidP="00F008FD">
      <w:pPr>
        <w:pStyle w:val="ListParagraph"/>
        <w:spacing w:after="120"/>
        <w:ind w:left="473"/>
        <w:rPr>
          <w:rFonts w:eastAsia="Arial" w:cs="Arial"/>
          <w:sz w:val="22"/>
          <w:szCs w:val="22"/>
        </w:rPr>
      </w:pPr>
    </w:p>
    <w:p w14:paraId="68553FEF" w14:textId="50CF5B0F" w:rsidR="00E921CF" w:rsidRPr="00F008FD" w:rsidRDefault="00E921CF"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This gives an estimated present value cost of </w:t>
      </w:r>
      <w:r w:rsidR="0036235A" w:rsidRPr="00F008FD">
        <w:rPr>
          <w:rFonts w:eastAsia="Arial" w:cs="Arial"/>
          <w:sz w:val="22"/>
          <w:szCs w:val="22"/>
        </w:rPr>
        <w:t>DNT</w:t>
      </w:r>
      <w:r w:rsidRPr="00F008FD">
        <w:rPr>
          <w:rFonts w:eastAsia="Arial" w:cs="Arial"/>
          <w:sz w:val="22"/>
          <w:szCs w:val="22"/>
        </w:rPr>
        <w:t xml:space="preserve"> tests of between around £</w:t>
      </w:r>
      <w:r w:rsidR="00410D17" w:rsidRPr="00F008FD">
        <w:rPr>
          <w:rFonts w:eastAsia="Arial" w:cs="Arial"/>
          <w:sz w:val="22"/>
          <w:szCs w:val="22"/>
        </w:rPr>
        <w:t>150</w:t>
      </w:r>
      <w:r w:rsidRPr="00F008FD">
        <w:rPr>
          <w:rFonts w:eastAsia="Arial" w:cs="Arial"/>
          <w:sz w:val="22"/>
          <w:szCs w:val="22"/>
        </w:rPr>
        <w:t>,</w:t>
      </w:r>
      <w:r w:rsidR="00410D17" w:rsidRPr="00F008FD">
        <w:rPr>
          <w:rFonts w:eastAsia="Arial" w:cs="Arial"/>
          <w:sz w:val="22"/>
          <w:szCs w:val="22"/>
        </w:rPr>
        <w:t>0</w:t>
      </w:r>
      <w:r w:rsidRPr="00F008FD">
        <w:rPr>
          <w:rFonts w:eastAsia="Arial" w:cs="Arial"/>
          <w:sz w:val="22"/>
          <w:szCs w:val="22"/>
        </w:rPr>
        <w:t>00 and £</w:t>
      </w:r>
      <w:r w:rsidR="00410D17" w:rsidRPr="00F008FD">
        <w:rPr>
          <w:rFonts w:eastAsia="Arial" w:cs="Arial"/>
          <w:sz w:val="22"/>
          <w:szCs w:val="22"/>
        </w:rPr>
        <w:t>55</w:t>
      </w:r>
      <w:r w:rsidRPr="00F008FD">
        <w:rPr>
          <w:rFonts w:eastAsia="Arial" w:cs="Arial"/>
          <w:sz w:val="22"/>
          <w:szCs w:val="22"/>
        </w:rPr>
        <w:t>0,000, with a mid-estimate of around £</w:t>
      </w:r>
      <w:r w:rsidR="00410D17" w:rsidRPr="00F008FD">
        <w:rPr>
          <w:rFonts w:eastAsia="Arial" w:cs="Arial"/>
          <w:sz w:val="22"/>
          <w:szCs w:val="22"/>
        </w:rPr>
        <w:t>340</w:t>
      </w:r>
      <w:r w:rsidRPr="00F008FD">
        <w:rPr>
          <w:rFonts w:eastAsia="Arial" w:cs="Arial"/>
          <w:sz w:val="22"/>
          <w:szCs w:val="22"/>
        </w:rPr>
        <w:t xml:space="preserve">,000. </w:t>
      </w:r>
    </w:p>
    <w:p w14:paraId="77B448F5" w14:textId="77777777" w:rsidR="00E921CF" w:rsidRPr="00F008FD" w:rsidRDefault="00E921CF" w:rsidP="00F008FD">
      <w:pPr>
        <w:pStyle w:val="ListParagraph"/>
        <w:spacing w:after="120"/>
        <w:ind w:left="473"/>
        <w:rPr>
          <w:rFonts w:eastAsia="Arial" w:cs="Arial"/>
          <w:sz w:val="22"/>
          <w:szCs w:val="22"/>
        </w:rPr>
      </w:pPr>
    </w:p>
    <w:p w14:paraId="76BF300F" w14:textId="36437C47" w:rsidR="00D052B6" w:rsidRPr="002A5C51" w:rsidRDefault="00D052B6" w:rsidP="00F008FD">
      <w:pPr>
        <w:pStyle w:val="ListParagraph"/>
        <w:numPr>
          <w:ilvl w:val="0"/>
          <w:numId w:val="34"/>
        </w:numPr>
        <w:spacing w:after="120"/>
        <w:rPr>
          <w:sz w:val="22"/>
          <w:szCs w:val="22"/>
          <w:lang w:eastAsia="en-GB"/>
        </w:rPr>
      </w:pPr>
      <w:r w:rsidRPr="00F008FD">
        <w:rPr>
          <w:rFonts w:eastAsia="Arial" w:cs="Arial"/>
          <w:sz w:val="22"/>
          <w:szCs w:val="22"/>
        </w:rPr>
        <w:lastRenderedPageBreak/>
        <w:t xml:space="preserve">Across all additional tests, </w:t>
      </w:r>
      <w:r w:rsidR="007528E6" w:rsidRPr="00F008FD">
        <w:rPr>
          <w:rFonts w:eastAsia="Arial" w:cs="Arial"/>
          <w:sz w:val="22"/>
          <w:szCs w:val="22"/>
        </w:rPr>
        <w:t xml:space="preserve">costs are summarised below in </w:t>
      </w:r>
      <w:r w:rsidR="00A5267E" w:rsidRPr="00F008FD">
        <w:rPr>
          <w:rFonts w:eastAsia="Arial" w:cs="Arial"/>
          <w:sz w:val="22"/>
          <w:szCs w:val="22"/>
        </w:rPr>
        <w:fldChar w:fldCharType="begin"/>
      </w:r>
      <w:r w:rsidR="00A5267E" w:rsidRPr="00F008FD">
        <w:rPr>
          <w:rFonts w:eastAsia="Arial" w:cs="Arial"/>
          <w:sz w:val="22"/>
          <w:szCs w:val="22"/>
        </w:rPr>
        <w:instrText xml:space="preserve"> REF _Ref111715057 \h </w:instrText>
      </w:r>
      <w:r w:rsidR="00187F08" w:rsidRPr="00481B20">
        <w:rPr>
          <w:rFonts w:eastAsia="Arial" w:cs="Arial"/>
          <w:sz w:val="22"/>
          <w:szCs w:val="22"/>
        </w:rPr>
        <w:instrText xml:space="preserve"> \* MERGEFORMAT </w:instrText>
      </w:r>
      <w:r w:rsidR="00A5267E" w:rsidRPr="00F008FD">
        <w:rPr>
          <w:rFonts w:eastAsia="Arial" w:cs="Arial"/>
          <w:sz w:val="22"/>
          <w:szCs w:val="22"/>
        </w:rPr>
      </w:r>
      <w:r w:rsidR="00A5267E" w:rsidRPr="00F008FD">
        <w:rPr>
          <w:rFonts w:eastAsia="Arial" w:cs="Arial"/>
          <w:sz w:val="22"/>
          <w:szCs w:val="22"/>
        </w:rPr>
        <w:fldChar w:fldCharType="separate"/>
      </w:r>
      <w:r w:rsidR="00A5267E" w:rsidRPr="00F008FD">
        <w:rPr>
          <w:rFonts w:eastAsia="Arial" w:cs="Arial"/>
          <w:sz w:val="22"/>
          <w:szCs w:val="22"/>
        </w:rPr>
        <w:t>Table 3</w:t>
      </w:r>
      <w:r w:rsidR="00A5267E" w:rsidRPr="00F008FD">
        <w:rPr>
          <w:rFonts w:eastAsia="Arial" w:cs="Arial"/>
          <w:sz w:val="22"/>
          <w:szCs w:val="22"/>
        </w:rPr>
        <w:fldChar w:fldCharType="end"/>
      </w:r>
      <w:r w:rsidR="00A5267E" w:rsidRPr="00F008FD">
        <w:rPr>
          <w:rFonts w:eastAsia="Arial" w:cs="Arial"/>
          <w:sz w:val="22"/>
          <w:szCs w:val="22"/>
        </w:rPr>
        <w:t>.</w:t>
      </w:r>
      <w:r w:rsidR="00FF77EE" w:rsidRPr="00F008FD">
        <w:rPr>
          <w:rFonts w:eastAsia="Arial" w:cs="Arial"/>
          <w:sz w:val="22"/>
          <w:szCs w:val="22"/>
        </w:rPr>
        <w:t xml:space="preserve"> </w:t>
      </w:r>
      <w:r w:rsidR="00FF77EE" w:rsidRPr="00F008FD">
        <w:rPr>
          <w:b/>
          <w:sz w:val="22"/>
          <w:szCs w:val="22"/>
          <w:lang w:eastAsia="en-GB"/>
        </w:rPr>
        <w:t>Total present value costs over ten years of additional tests</w:t>
      </w:r>
      <w:r w:rsidR="00FF77EE" w:rsidRPr="00F008FD">
        <w:rPr>
          <w:rFonts w:eastAsia="Arial" w:cs="Arial"/>
          <w:sz w:val="22"/>
          <w:szCs w:val="22"/>
        </w:rPr>
        <w:t xml:space="preserve"> are estimated at between around </w:t>
      </w:r>
      <w:r w:rsidR="00132757" w:rsidRPr="00F008FD">
        <w:rPr>
          <w:rFonts w:eastAsia="Arial" w:cs="Arial"/>
          <w:sz w:val="22"/>
          <w:szCs w:val="22"/>
        </w:rPr>
        <w:t xml:space="preserve">£770,000 and £5.1 million, with a mid-estimate of around £2.9 million. </w:t>
      </w:r>
    </w:p>
    <w:p w14:paraId="7A566B23" w14:textId="77777777" w:rsidR="00CC45AC" w:rsidRPr="004555A5" w:rsidRDefault="00CC45AC" w:rsidP="004555A5">
      <w:pPr>
        <w:pStyle w:val="ListParagraph"/>
        <w:rPr>
          <w:sz w:val="22"/>
          <w:szCs w:val="22"/>
          <w:lang w:eastAsia="en-GB"/>
        </w:rPr>
      </w:pPr>
    </w:p>
    <w:p w14:paraId="49025A7E" w14:textId="1CD36BF7" w:rsidR="00CC45AC" w:rsidRPr="004555A5" w:rsidRDefault="00C87B28" w:rsidP="00F008FD">
      <w:pPr>
        <w:pStyle w:val="ListParagraph"/>
        <w:numPr>
          <w:ilvl w:val="0"/>
          <w:numId w:val="34"/>
        </w:numPr>
        <w:spacing w:after="120"/>
        <w:rPr>
          <w:sz w:val="20"/>
          <w:szCs w:val="20"/>
          <w:lang w:eastAsia="en-GB"/>
        </w:rPr>
      </w:pPr>
      <w:r w:rsidRPr="63D0B838">
        <w:rPr>
          <w:sz w:val="22"/>
          <w:szCs w:val="22"/>
        </w:rPr>
        <w:t>There may be some further costs associated with translating the DNT test result into a suitable format for the dossier and drawing appropriate conclusions to include in the active substance dossier.  This has not been quantitatively estimate</w:t>
      </w:r>
      <w:r w:rsidR="0079747A" w:rsidRPr="63D0B838">
        <w:rPr>
          <w:sz w:val="22"/>
          <w:szCs w:val="22"/>
        </w:rPr>
        <w:t>d</w:t>
      </w:r>
      <w:r w:rsidRPr="63D0B838">
        <w:rPr>
          <w:sz w:val="22"/>
          <w:szCs w:val="22"/>
        </w:rPr>
        <w:t xml:space="preserve"> in this IA and </w:t>
      </w:r>
      <w:r w:rsidR="0021557E" w:rsidRPr="63D0B838">
        <w:rPr>
          <w:sz w:val="22"/>
          <w:szCs w:val="22"/>
        </w:rPr>
        <w:t xml:space="preserve">we </w:t>
      </w:r>
      <w:r w:rsidRPr="63D0B838">
        <w:rPr>
          <w:sz w:val="22"/>
          <w:szCs w:val="22"/>
        </w:rPr>
        <w:t xml:space="preserve">will </w:t>
      </w:r>
      <w:r w:rsidR="0021557E" w:rsidRPr="63D0B838">
        <w:rPr>
          <w:sz w:val="22"/>
          <w:szCs w:val="22"/>
        </w:rPr>
        <w:t>gather further evidence during consultation</w:t>
      </w:r>
      <w:r w:rsidRPr="63D0B838">
        <w:rPr>
          <w:sz w:val="22"/>
          <w:szCs w:val="22"/>
        </w:rPr>
        <w:t>.</w:t>
      </w:r>
    </w:p>
    <w:p w14:paraId="3B2E7EE0" w14:textId="77777777" w:rsidR="007528E6" w:rsidRDefault="007528E6" w:rsidP="007528E6">
      <w:pPr>
        <w:pStyle w:val="ListParagraph"/>
        <w:rPr>
          <w:lang w:eastAsia="en-GB"/>
        </w:rPr>
      </w:pPr>
    </w:p>
    <w:p w14:paraId="76E26E15" w14:textId="6AF4E740" w:rsidR="007528E6" w:rsidRDefault="007528E6" w:rsidP="00CD49DF">
      <w:pPr>
        <w:pStyle w:val="Caption"/>
        <w:keepNext/>
        <w:keepLines/>
      </w:pPr>
      <w:bookmarkStart w:id="36" w:name="_Ref111715057"/>
      <w:r>
        <w:t xml:space="preserve">Table </w:t>
      </w:r>
      <w:r>
        <w:fldChar w:fldCharType="begin"/>
      </w:r>
      <w:r>
        <w:instrText>SEQ Table \* ARABIC</w:instrText>
      </w:r>
      <w:r>
        <w:fldChar w:fldCharType="separate"/>
      </w:r>
      <w:r w:rsidR="00286F63">
        <w:rPr>
          <w:noProof/>
        </w:rPr>
        <w:t>3</w:t>
      </w:r>
      <w:r>
        <w:fldChar w:fldCharType="end"/>
      </w:r>
      <w:bookmarkEnd w:id="36"/>
      <w:r>
        <w:t xml:space="preserve">: </w:t>
      </w:r>
      <w:r w:rsidR="00AB1F4E">
        <w:t>T</w:t>
      </w:r>
      <w:r>
        <w:t>otal additional present value test costs over ten years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851"/>
        <w:gridCol w:w="992"/>
        <w:gridCol w:w="1134"/>
      </w:tblGrid>
      <w:tr w:rsidR="007528E6" w:rsidRPr="007528E6" w14:paraId="374B6C34" w14:textId="77777777" w:rsidTr="00CD49DF">
        <w:trPr>
          <w:trHeight w:val="300"/>
        </w:trPr>
        <w:tc>
          <w:tcPr>
            <w:tcW w:w="4531" w:type="dxa"/>
            <w:vMerge w:val="restart"/>
            <w:shd w:val="clear" w:color="auto" w:fill="auto"/>
            <w:noWrap/>
            <w:vAlign w:val="bottom"/>
            <w:hideMark/>
          </w:tcPr>
          <w:p w14:paraId="23ED747E" w14:textId="77777777" w:rsidR="007528E6" w:rsidRPr="007528E6" w:rsidRDefault="007528E6" w:rsidP="007528E6">
            <w:pPr>
              <w:keepNext/>
              <w:keepLines/>
              <w:jc w:val="center"/>
              <w:rPr>
                <w:rFonts w:ascii="Calibri" w:hAnsi="Calibri" w:cs="Calibri"/>
                <w:color w:val="000000"/>
                <w:lang w:eastAsia="en-GB"/>
              </w:rPr>
            </w:pPr>
            <w:r w:rsidRPr="007528E6">
              <w:rPr>
                <w:rFonts w:ascii="Calibri" w:hAnsi="Calibri" w:cs="Calibri"/>
                <w:color w:val="000000"/>
                <w:lang w:eastAsia="en-GB"/>
              </w:rPr>
              <w:t> </w:t>
            </w:r>
          </w:p>
        </w:tc>
        <w:tc>
          <w:tcPr>
            <w:tcW w:w="2977" w:type="dxa"/>
            <w:gridSpan w:val="3"/>
            <w:shd w:val="clear" w:color="auto" w:fill="auto"/>
            <w:noWrap/>
            <w:vAlign w:val="bottom"/>
            <w:hideMark/>
          </w:tcPr>
          <w:p w14:paraId="679AC383" w14:textId="77777777" w:rsidR="007528E6" w:rsidRPr="007528E6" w:rsidRDefault="007528E6" w:rsidP="007528E6">
            <w:pPr>
              <w:keepNext/>
              <w:keepLines/>
              <w:jc w:val="center"/>
              <w:rPr>
                <w:rFonts w:ascii="Calibri" w:hAnsi="Calibri" w:cs="Calibri"/>
                <w:b/>
                <w:bCs/>
                <w:color w:val="000000"/>
                <w:lang w:eastAsia="en-GB"/>
              </w:rPr>
            </w:pPr>
            <w:r w:rsidRPr="007528E6">
              <w:rPr>
                <w:rFonts w:ascii="Calibri" w:hAnsi="Calibri" w:cs="Calibri"/>
                <w:b/>
                <w:bCs/>
                <w:color w:val="000000"/>
                <w:lang w:eastAsia="en-GB"/>
              </w:rPr>
              <w:t>£thousands</w:t>
            </w:r>
          </w:p>
        </w:tc>
      </w:tr>
      <w:tr w:rsidR="007528E6" w:rsidRPr="007528E6" w14:paraId="1CCDF4A9" w14:textId="77777777" w:rsidTr="00CD49DF">
        <w:trPr>
          <w:trHeight w:val="315"/>
        </w:trPr>
        <w:tc>
          <w:tcPr>
            <w:tcW w:w="4531" w:type="dxa"/>
            <w:vMerge/>
            <w:vAlign w:val="center"/>
            <w:hideMark/>
          </w:tcPr>
          <w:p w14:paraId="6382EB25" w14:textId="77777777" w:rsidR="007528E6" w:rsidRPr="007528E6" w:rsidRDefault="007528E6" w:rsidP="007528E6">
            <w:pPr>
              <w:keepNext/>
              <w:keepLines/>
              <w:rPr>
                <w:rFonts w:ascii="Calibri" w:hAnsi="Calibri" w:cs="Calibri"/>
                <w:color w:val="000000"/>
                <w:lang w:eastAsia="en-GB"/>
              </w:rPr>
            </w:pPr>
          </w:p>
        </w:tc>
        <w:tc>
          <w:tcPr>
            <w:tcW w:w="851" w:type="dxa"/>
            <w:shd w:val="clear" w:color="auto" w:fill="auto"/>
            <w:noWrap/>
            <w:vAlign w:val="bottom"/>
            <w:hideMark/>
          </w:tcPr>
          <w:p w14:paraId="3083C5A1" w14:textId="77777777" w:rsidR="007528E6" w:rsidRPr="007528E6" w:rsidRDefault="007528E6" w:rsidP="007528E6">
            <w:pPr>
              <w:keepNext/>
              <w:keepLines/>
              <w:jc w:val="right"/>
              <w:rPr>
                <w:rFonts w:ascii="Calibri" w:hAnsi="Calibri" w:cs="Calibri"/>
                <w:b/>
                <w:bCs/>
                <w:color w:val="000000"/>
                <w:lang w:eastAsia="en-GB"/>
              </w:rPr>
            </w:pPr>
            <w:r w:rsidRPr="007528E6">
              <w:rPr>
                <w:rFonts w:ascii="Calibri" w:hAnsi="Calibri" w:cs="Calibri"/>
                <w:b/>
                <w:bCs/>
                <w:color w:val="000000"/>
                <w:lang w:eastAsia="en-GB"/>
              </w:rPr>
              <w:t>Low</w:t>
            </w:r>
          </w:p>
        </w:tc>
        <w:tc>
          <w:tcPr>
            <w:tcW w:w="992" w:type="dxa"/>
            <w:shd w:val="clear" w:color="auto" w:fill="auto"/>
            <w:noWrap/>
            <w:vAlign w:val="bottom"/>
            <w:hideMark/>
          </w:tcPr>
          <w:p w14:paraId="4A418D80" w14:textId="77777777" w:rsidR="007528E6" w:rsidRPr="007528E6" w:rsidRDefault="007528E6" w:rsidP="007528E6">
            <w:pPr>
              <w:keepNext/>
              <w:keepLines/>
              <w:jc w:val="right"/>
              <w:rPr>
                <w:rFonts w:ascii="Calibri" w:hAnsi="Calibri" w:cs="Calibri"/>
                <w:b/>
                <w:bCs/>
                <w:color w:val="000000"/>
                <w:lang w:eastAsia="en-GB"/>
              </w:rPr>
            </w:pPr>
            <w:r w:rsidRPr="007528E6">
              <w:rPr>
                <w:rFonts w:ascii="Calibri" w:hAnsi="Calibri" w:cs="Calibri"/>
                <w:b/>
                <w:bCs/>
                <w:color w:val="000000"/>
                <w:lang w:eastAsia="en-GB"/>
              </w:rPr>
              <w:t>Mid</w:t>
            </w:r>
          </w:p>
        </w:tc>
        <w:tc>
          <w:tcPr>
            <w:tcW w:w="1134" w:type="dxa"/>
            <w:shd w:val="clear" w:color="auto" w:fill="auto"/>
            <w:noWrap/>
            <w:vAlign w:val="bottom"/>
            <w:hideMark/>
          </w:tcPr>
          <w:p w14:paraId="4FDE4370" w14:textId="77777777" w:rsidR="007528E6" w:rsidRPr="007528E6" w:rsidRDefault="007528E6" w:rsidP="007528E6">
            <w:pPr>
              <w:keepNext/>
              <w:keepLines/>
              <w:jc w:val="right"/>
              <w:rPr>
                <w:rFonts w:ascii="Calibri" w:hAnsi="Calibri" w:cs="Calibri"/>
                <w:b/>
                <w:bCs/>
                <w:color w:val="000000"/>
                <w:lang w:eastAsia="en-GB"/>
              </w:rPr>
            </w:pPr>
            <w:r w:rsidRPr="007528E6">
              <w:rPr>
                <w:rFonts w:ascii="Calibri" w:hAnsi="Calibri" w:cs="Calibri"/>
                <w:b/>
                <w:bCs/>
                <w:color w:val="000000"/>
                <w:lang w:eastAsia="en-GB"/>
              </w:rPr>
              <w:t>High</w:t>
            </w:r>
          </w:p>
        </w:tc>
      </w:tr>
      <w:tr w:rsidR="007528E6" w:rsidRPr="007528E6" w14:paraId="4A161E37" w14:textId="77777777" w:rsidTr="00CD49DF">
        <w:trPr>
          <w:trHeight w:val="300"/>
        </w:trPr>
        <w:tc>
          <w:tcPr>
            <w:tcW w:w="4531" w:type="dxa"/>
            <w:shd w:val="clear" w:color="auto" w:fill="auto"/>
            <w:noWrap/>
            <w:vAlign w:val="bottom"/>
            <w:hideMark/>
          </w:tcPr>
          <w:p w14:paraId="242FAA1F" w14:textId="77777777" w:rsidR="007528E6" w:rsidRPr="007528E6" w:rsidRDefault="007528E6" w:rsidP="007528E6">
            <w:pPr>
              <w:keepNext/>
              <w:keepLines/>
              <w:ind w:firstLineChars="100" w:firstLine="240"/>
              <w:rPr>
                <w:rFonts w:ascii="Calibri" w:hAnsi="Calibri" w:cs="Calibri"/>
                <w:color w:val="000000"/>
                <w:lang w:eastAsia="en-GB"/>
              </w:rPr>
            </w:pPr>
            <w:r w:rsidRPr="007528E6">
              <w:rPr>
                <w:rFonts w:ascii="Calibri" w:hAnsi="Calibri" w:cs="Calibri"/>
                <w:color w:val="000000"/>
                <w:lang w:eastAsia="en-GB"/>
              </w:rPr>
              <w:t>Skin sensitivity irritation</w:t>
            </w:r>
          </w:p>
        </w:tc>
        <w:tc>
          <w:tcPr>
            <w:tcW w:w="851" w:type="dxa"/>
            <w:shd w:val="clear" w:color="auto" w:fill="auto"/>
            <w:noWrap/>
            <w:vAlign w:val="bottom"/>
            <w:hideMark/>
          </w:tcPr>
          <w:p w14:paraId="539E3FFA"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£200</w:t>
            </w:r>
          </w:p>
        </w:tc>
        <w:tc>
          <w:tcPr>
            <w:tcW w:w="992" w:type="dxa"/>
            <w:shd w:val="clear" w:color="auto" w:fill="auto"/>
            <w:noWrap/>
            <w:vAlign w:val="bottom"/>
            <w:hideMark/>
          </w:tcPr>
          <w:p w14:paraId="7909360E"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£830</w:t>
            </w:r>
          </w:p>
        </w:tc>
        <w:tc>
          <w:tcPr>
            <w:tcW w:w="1134" w:type="dxa"/>
            <w:shd w:val="clear" w:color="auto" w:fill="auto"/>
            <w:noWrap/>
            <w:vAlign w:val="bottom"/>
            <w:hideMark/>
          </w:tcPr>
          <w:p w14:paraId="716BA7ED"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£1,500</w:t>
            </w:r>
          </w:p>
        </w:tc>
      </w:tr>
      <w:tr w:rsidR="007528E6" w:rsidRPr="007528E6" w14:paraId="7D886BDC" w14:textId="77777777" w:rsidTr="00CD49DF">
        <w:trPr>
          <w:trHeight w:val="300"/>
        </w:trPr>
        <w:tc>
          <w:tcPr>
            <w:tcW w:w="4531" w:type="dxa"/>
            <w:shd w:val="clear" w:color="auto" w:fill="auto"/>
            <w:noWrap/>
            <w:vAlign w:val="bottom"/>
            <w:hideMark/>
          </w:tcPr>
          <w:p w14:paraId="4D920C35" w14:textId="77777777" w:rsidR="007528E6" w:rsidRPr="007528E6" w:rsidRDefault="007528E6" w:rsidP="007528E6">
            <w:pPr>
              <w:keepNext/>
              <w:keepLines/>
              <w:ind w:firstLineChars="100" w:firstLine="240"/>
              <w:rPr>
                <w:rFonts w:ascii="Calibri" w:hAnsi="Calibri" w:cs="Calibri"/>
                <w:color w:val="000000"/>
                <w:lang w:eastAsia="en-GB"/>
              </w:rPr>
            </w:pPr>
            <w:r w:rsidRPr="007528E6">
              <w:rPr>
                <w:rFonts w:ascii="Calibri" w:hAnsi="Calibri" w:cs="Calibri"/>
                <w:color w:val="000000"/>
                <w:lang w:eastAsia="en-GB"/>
              </w:rPr>
              <w:t>Eye irritation</w:t>
            </w:r>
          </w:p>
        </w:tc>
        <w:tc>
          <w:tcPr>
            <w:tcW w:w="851" w:type="dxa"/>
            <w:shd w:val="clear" w:color="auto" w:fill="auto"/>
            <w:noWrap/>
            <w:vAlign w:val="bottom"/>
            <w:hideMark/>
          </w:tcPr>
          <w:p w14:paraId="76EB1A21"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£180</w:t>
            </w:r>
          </w:p>
        </w:tc>
        <w:tc>
          <w:tcPr>
            <w:tcW w:w="992" w:type="dxa"/>
            <w:shd w:val="clear" w:color="auto" w:fill="auto"/>
            <w:noWrap/>
            <w:vAlign w:val="bottom"/>
            <w:hideMark/>
          </w:tcPr>
          <w:p w14:paraId="34564BC4"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£740</w:t>
            </w:r>
          </w:p>
        </w:tc>
        <w:tc>
          <w:tcPr>
            <w:tcW w:w="1134" w:type="dxa"/>
            <w:shd w:val="clear" w:color="auto" w:fill="auto"/>
            <w:noWrap/>
            <w:vAlign w:val="bottom"/>
            <w:hideMark/>
          </w:tcPr>
          <w:p w14:paraId="6DA567B5"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£1,300</w:t>
            </w:r>
          </w:p>
        </w:tc>
      </w:tr>
      <w:tr w:rsidR="007528E6" w:rsidRPr="007528E6" w14:paraId="1622C9BF" w14:textId="77777777" w:rsidTr="00CD49DF">
        <w:trPr>
          <w:trHeight w:val="300"/>
        </w:trPr>
        <w:tc>
          <w:tcPr>
            <w:tcW w:w="4531" w:type="dxa"/>
            <w:shd w:val="clear" w:color="auto" w:fill="auto"/>
            <w:noWrap/>
            <w:vAlign w:val="bottom"/>
            <w:hideMark/>
          </w:tcPr>
          <w:p w14:paraId="759EC058" w14:textId="77777777" w:rsidR="007528E6" w:rsidRPr="007528E6" w:rsidRDefault="007528E6" w:rsidP="007528E6">
            <w:pPr>
              <w:keepNext/>
              <w:keepLines/>
              <w:ind w:firstLineChars="100" w:firstLine="240"/>
              <w:rPr>
                <w:rFonts w:ascii="Calibri" w:hAnsi="Calibri" w:cs="Calibri"/>
                <w:color w:val="000000"/>
                <w:lang w:eastAsia="en-GB"/>
              </w:rPr>
            </w:pPr>
            <w:r w:rsidRPr="007528E6">
              <w:rPr>
                <w:rFonts w:ascii="Calibri" w:hAnsi="Calibri" w:cs="Calibri"/>
                <w:color w:val="000000"/>
                <w:lang w:eastAsia="en-GB"/>
              </w:rPr>
              <w:t>Skin sensitisation</w:t>
            </w:r>
          </w:p>
        </w:tc>
        <w:tc>
          <w:tcPr>
            <w:tcW w:w="851" w:type="dxa"/>
            <w:shd w:val="clear" w:color="auto" w:fill="auto"/>
            <w:noWrap/>
            <w:vAlign w:val="bottom"/>
            <w:hideMark/>
          </w:tcPr>
          <w:p w14:paraId="6645DFAF"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£230</w:t>
            </w:r>
          </w:p>
        </w:tc>
        <w:tc>
          <w:tcPr>
            <w:tcW w:w="992" w:type="dxa"/>
            <w:shd w:val="clear" w:color="auto" w:fill="auto"/>
            <w:noWrap/>
            <w:vAlign w:val="bottom"/>
            <w:hideMark/>
          </w:tcPr>
          <w:p w14:paraId="21A3362F"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£920</w:t>
            </w:r>
          </w:p>
        </w:tc>
        <w:tc>
          <w:tcPr>
            <w:tcW w:w="1134" w:type="dxa"/>
            <w:shd w:val="clear" w:color="auto" w:fill="auto"/>
            <w:noWrap/>
            <w:vAlign w:val="bottom"/>
            <w:hideMark/>
          </w:tcPr>
          <w:p w14:paraId="0D627B59"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£1,600</w:t>
            </w:r>
          </w:p>
        </w:tc>
      </w:tr>
      <w:tr w:rsidR="007528E6" w:rsidRPr="007528E6" w14:paraId="7132217F" w14:textId="77777777" w:rsidTr="00CD49DF">
        <w:trPr>
          <w:trHeight w:val="300"/>
        </w:trPr>
        <w:tc>
          <w:tcPr>
            <w:tcW w:w="4531" w:type="dxa"/>
            <w:shd w:val="clear" w:color="auto" w:fill="auto"/>
            <w:noWrap/>
            <w:vAlign w:val="bottom"/>
            <w:hideMark/>
          </w:tcPr>
          <w:p w14:paraId="4FA251A5" w14:textId="77777777" w:rsidR="007528E6" w:rsidRPr="007528E6" w:rsidRDefault="007528E6" w:rsidP="007528E6">
            <w:pPr>
              <w:keepNext/>
              <w:keepLines/>
              <w:ind w:firstLineChars="100" w:firstLine="240"/>
              <w:rPr>
                <w:rFonts w:ascii="Calibri" w:hAnsi="Calibri" w:cs="Calibri"/>
                <w:color w:val="000000"/>
                <w:lang w:eastAsia="en-GB"/>
              </w:rPr>
            </w:pPr>
            <w:r w:rsidRPr="007528E6">
              <w:rPr>
                <w:rFonts w:ascii="Calibri" w:hAnsi="Calibri" w:cs="Calibri"/>
                <w:color w:val="000000"/>
                <w:lang w:eastAsia="en-GB"/>
              </w:rPr>
              <w:t>Genotoxicity</w:t>
            </w:r>
          </w:p>
        </w:tc>
        <w:tc>
          <w:tcPr>
            <w:tcW w:w="851" w:type="dxa"/>
            <w:shd w:val="clear" w:color="auto" w:fill="auto"/>
            <w:noWrap/>
            <w:vAlign w:val="bottom"/>
            <w:hideMark/>
          </w:tcPr>
          <w:p w14:paraId="2122F5B1"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£7.5</w:t>
            </w:r>
          </w:p>
        </w:tc>
        <w:tc>
          <w:tcPr>
            <w:tcW w:w="992" w:type="dxa"/>
            <w:shd w:val="clear" w:color="auto" w:fill="auto"/>
            <w:noWrap/>
            <w:vAlign w:val="bottom"/>
            <w:hideMark/>
          </w:tcPr>
          <w:p w14:paraId="55385D78"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£72</w:t>
            </w:r>
          </w:p>
        </w:tc>
        <w:tc>
          <w:tcPr>
            <w:tcW w:w="1134" w:type="dxa"/>
            <w:shd w:val="clear" w:color="auto" w:fill="auto"/>
            <w:noWrap/>
            <w:vAlign w:val="bottom"/>
            <w:hideMark/>
          </w:tcPr>
          <w:p w14:paraId="6E669A16"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£210</w:t>
            </w:r>
          </w:p>
        </w:tc>
      </w:tr>
      <w:tr w:rsidR="007528E6" w:rsidRPr="007528E6" w14:paraId="38D67868" w14:textId="77777777" w:rsidTr="00CD49DF">
        <w:trPr>
          <w:trHeight w:val="315"/>
        </w:trPr>
        <w:tc>
          <w:tcPr>
            <w:tcW w:w="4531" w:type="dxa"/>
            <w:shd w:val="clear" w:color="auto" w:fill="auto"/>
            <w:noWrap/>
            <w:vAlign w:val="bottom"/>
            <w:hideMark/>
          </w:tcPr>
          <w:p w14:paraId="2B3BE75F" w14:textId="6655AD39" w:rsidR="007528E6" w:rsidRPr="007528E6" w:rsidRDefault="007528E6" w:rsidP="007528E6">
            <w:pPr>
              <w:keepNext/>
              <w:keepLines/>
              <w:ind w:firstLineChars="100" w:firstLine="240"/>
              <w:rPr>
                <w:rFonts w:ascii="Calibri" w:hAnsi="Calibri" w:cs="Calibri"/>
                <w:color w:val="000000"/>
                <w:lang w:eastAsia="en-GB"/>
              </w:rPr>
            </w:pPr>
            <w:r w:rsidRPr="007528E6">
              <w:rPr>
                <w:rFonts w:ascii="Calibri" w:hAnsi="Calibri" w:cs="Calibri"/>
                <w:color w:val="000000"/>
                <w:lang w:eastAsia="en-GB"/>
              </w:rPr>
              <w:t>Developmental neurotoxicity</w:t>
            </w:r>
            <w:r w:rsidR="005B786F">
              <w:rPr>
                <w:rFonts w:ascii="Calibri" w:hAnsi="Calibri" w:cs="Calibri"/>
                <w:color w:val="000000"/>
                <w:lang w:eastAsia="en-GB"/>
              </w:rPr>
              <w:t xml:space="preserve"> (DNT)</w:t>
            </w:r>
          </w:p>
        </w:tc>
        <w:tc>
          <w:tcPr>
            <w:tcW w:w="851" w:type="dxa"/>
            <w:shd w:val="clear" w:color="auto" w:fill="auto"/>
            <w:noWrap/>
            <w:vAlign w:val="bottom"/>
            <w:hideMark/>
          </w:tcPr>
          <w:p w14:paraId="3427E015"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£150</w:t>
            </w:r>
          </w:p>
        </w:tc>
        <w:tc>
          <w:tcPr>
            <w:tcW w:w="992" w:type="dxa"/>
            <w:shd w:val="clear" w:color="auto" w:fill="auto"/>
            <w:noWrap/>
            <w:vAlign w:val="bottom"/>
            <w:hideMark/>
          </w:tcPr>
          <w:p w14:paraId="78CC64C9"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£340</w:t>
            </w:r>
          </w:p>
        </w:tc>
        <w:tc>
          <w:tcPr>
            <w:tcW w:w="1134" w:type="dxa"/>
            <w:shd w:val="clear" w:color="auto" w:fill="auto"/>
            <w:noWrap/>
            <w:vAlign w:val="bottom"/>
            <w:hideMark/>
          </w:tcPr>
          <w:p w14:paraId="54436715" w14:textId="77777777" w:rsidR="007528E6" w:rsidRPr="007528E6" w:rsidRDefault="007528E6" w:rsidP="007528E6">
            <w:pPr>
              <w:keepNext/>
              <w:keepLines/>
              <w:jc w:val="right"/>
              <w:rPr>
                <w:rFonts w:ascii="Calibri" w:hAnsi="Calibri" w:cs="Calibri"/>
                <w:color w:val="000000"/>
                <w:lang w:eastAsia="en-GB"/>
              </w:rPr>
            </w:pPr>
            <w:r w:rsidRPr="007528E6">
              <w:rPr>
                <w:rFonts w:ascii="Calibri" w:hAnsi="Calibri" w:cs="Calibri"/>
                <w:color w:val="000000"/>
                <w:lang w:eastAsia="en-GB"/>
              </w:rPr>
              <w:t>£550</w:t>
            </w:r>
          </w:p>
        </w:tc>
      </w:tr>
      <w:tr w:rsidR="00BD3E7B" w:rsidRPr="007528E6" w14:paraId="4E5261BF" w14:textId="77777777" w:rsidTr="00CD49DF">
        <w:trPr>
          <w:trHeight w:val="315"/>
        </w:trPr>
        <w:tc>
          <w:tcPr>
            <w:tcW w:w="4531" w:type="dxa"/>
            <w:shd w:val="clear" w:color="auto" w:fill="auto"/>
            <w:noWrap/>
            <w:vAlign w:val="bottom"/>
          </w:tcPr>
          <w:p w14:paraId="02ADAAC2" w14:textId="33357E2B" w:rsidR="003A7D93" w:rsidRPr="007528E6" w:rsidRDefault="005B786F" w:rsidP="007528E6">
            <w:pPr>
              <w:keepNext/>
              <w:keepLines/>
              <w:ind w:firstLineChars="100" w:firstLine="240"/>
              <w:rPr>
                <w:rFonts w:ascii="Calibri" w:hAnsi="Calibri" w:cs="Calibri"/>
                <w:color w:val="000000"/>
                <w:lang w:eastAsia="en-GB"/>
              </w:rPr>
            </w:pPr>
            <w:r>
              <w:rPr>
                <w:rFonts w:ascii="Calibri" w:hAnsi="Calibri" w:cs="Calibri"/>
                <w:color w:val="000000"/>
                <w:lang w:eastAsia="en-GB"/>
              </w:rPr>
              <w:t>Translating DNT test result into dossier</w:t>
            </w:r>
          </w:p>
        </w:tc>
        <w:tc>
          <w:tcPr>
            <w:tcW w:w="851" w:type="dxa"/>
            <w:shd w:val="clear" w:color="auto" w:fill="auto"/>
            <w:noWrap/>
            <w:vAlign w:val="bottom"/>
          </w:tcPr>
          <w:p w14:paraId="5B7C8A33" w14:textId="0473A018" w:rsidR="003A7D93" w:rsidRPr="007528E6" w:rsidRDefault="005B786F" w:rsidP="007528E6">
            <w:pPr>
              <w:keepNext/>
              <w:keepLines/>
              <w:jc w:val="right"/>
              <w:rPr>
                <w:rFonts w:ascii="Calibri" w:hAnsi="Calibri" w:cs="Calibri"/>
                <w:color w:val="000000"/>
                <w:lang w:eastAsia="en-GB"/>
              </w:rPr>
            </w:pPr>
            <w:r>
              <w:rPr>
                <w:rFonts w:ascii="Calibri" w:hAnsi="Calibri" w:cs="Calibri"/>
                <w:color w:val="000000"/>
                <w:lang w:eastAsia="en-GB"/>
              </w:rPr>
              <w:t>NQ</w:t>
            </w:r>
          </w:p>
        </w:tc>
        <w:tc>
          <w:tcPr>
            <w:tcW w:w="992" w:type="dxa"/>
            <w:shd w:val="clear" w:color="auto" w:fill="auto"/>
            <w:noWrap/>
            <w:vAlign w:val="bottom"/>
          </w:tcPr>
          <w:p w14:paraId="53CEA96F" w14:textId="162257FF" w:rsidR="003A7D93" w:rsidRPr="007528E6" w:rsidRDefault="005B786F" w:rsidP="007528E6">
            <w:pPr>
              <w:keepNext/>
              <w:keepLines/>
              <w:jc w:val="right"/>
              <w:rPr>
                <w:rFonts w:ascii="Calibri" w:hAnsi="Calibri" w:cs="Calibri"/>
                <w:color w:val="000000"/>
                <w:lang w:eastAsia="en-GB"/>
              </w:rPr>
            </w:pPr>
            <w:r>
              <w:rPr>
                <w:rFonts w:ascii="Calibri" w:hAnsi="Calibri" w:cs="Calibri"/>
                <w:color w:val="000000"/>
                <w:lang w:eastAsia="en-GB"/>
              </w:rPr>
              <w:t>NQ</w:t>
            </w:r>
          </w:p>
        </w:tc>
        <w:tc>
          <w:tcPr>
            <w:tcW w:w="1134" w:type="dxa"/>
            <w:shd w:val="clear" w:color="auto" w:fill="auto"/>
            <w:noWrap/>
            <w:vAlign w:val="bottom"/>
          </w:tcPr>
          <w:p w14:paraId="3A46EF2D" w14:textId="2FFBF585" w:rsidR="003A7D93" w:rsidRPr="007528E6" w:rsidRDefault="005B786F" w:rsidP="007528E6">
            <w:pPr>
              <w:keepNext/>
              <w:keepLines/>
              <w:jc w:val="right"/>
              <w:rPr>
                <w:rFonts w:ascii="Calibri" w:hAnsi="Calibri" w:cs="Calibri"/>
                <w:color w:val="000000"/>
                <w:lang w:eastAsia="en-GB"/>
              </w:rPr>
            </w:pPr>
            <w:r>
              <w:rPr>
                <w:rFonts w:ascii="Calibri" w:hAnsi="Calibri" w:cs="Calibri"/>
                <w:color w:val="000000"/>
                <w:lang w:eastAsia="en-GB"/>
              </w:rPr>
              <w:t>NQ</w:t>
            </w:r>
          </w:p>
        </w:tc>
      </w:tr>
      <w:tr w:rsidR="007528E6" w:rsidRPr="007528E6" w14:paraId="61E942B2" w14:textId="77777777" w:rsidTr="00CD49DF">
        <w:trPr>
          <w:trHeight w:val="315"/>
        </w:trPr>
        <w:tc>
          <w:tcPr>
            <w:tcW w:w="4531" w:type="dxa"/>
            <w:shd w:val="clear" w:color="000000" w:fill="000000"/>
            <w:noWrap/>
            <w:vAlign w:val="bottom"/>
            <w:hideMark/>
          </w:tcPr>
          <w:p w14:paraId="16D5F737" w14:textId="77777777" w:rsidR="007528E6" w:rsidRPr="007528E6" w:rsidRDefault="007528E6" w:rsidP="007528E6">
            <w:pPr>
              <w:keepNext/>
              <w:keepLines/>
              <w:rPr>
                <w:rFonts w:ascii="Calibri" w:hAnsi="Calibri" w:cs="Calibri"/>
                <w:b/>
                <w:bCs/>
                <w:color w:val="FFFFFF"/>
                <w:lang w:eastAsia="en-GB"/>
              </w:rPr>
            </w:pPr>
            <w:r w:rsidRPr="007528E6">
              <w:rPr>
                <w:rFonts w:ascii="Calibri" w:hAnsi="Calibri" w:cs="Calibri"/>
                <w:b/>
                <w:bCs/>
                <w:color w:val="FFFFFF"/>
                <w:lang w:eastAsia="en-GB"/>
              </w:rPr>
              <w:t>Total</w:t>
            </w:r>
          </w:p>
        </w:tc>
        <w:tc>
          <w:tcPr>
            <w:tcW w:w="851" w:type="dxa"/>
            <w:shd w:val="clear" w:color="000000" w:fill="000000"/>
            <w:noWrap/>
            <w:vAlign w:val="bottom"/>
            <w:hideMark/>
          </w:tcPr>
          <w:p w14:paraId="2979ACC2" w14:textId="77777777" w:rsidR="007528E6" w:rsidRPr="007528E6" w:rsidRDefault="007528E6" w:rsidP="007528E6">
            <w:pPr>
              <w:keepNext/>
              <w:keepLines/>
              <w:jc w:val="right"/>
              <w:rPr>
                <w:rFonts w:ascii="Calibri" w:hAnsi="Calibri" w:cs="Calibri"/>
                <w:b/>
                <w:bCs/>
                <w:color w:val="FFFFFF"/>
                <w:lang w:eastAsia="en-GB"/>
              </w:rPr>
            </w:pPr>
            <w:r w:rsidRPr="007528E6">
              <w:rPr>
                <w:rFonts w:ascii="Calibri" w:hAnsi="Calibri" w:cs="Calibri"/>
                <w:b/>
                <w:bCs/>
                <w:color w:val="FFFFFF"/>
                <w:lang w:eastAsia="en-GB"/>
              </w:rPr>
              <w:t>£770</w:t>
            </w:r>
          </w:p>
        </w:tc>
        <w:tc>
          <w:tcPr>
            <w:tcW w:w="992" w:type="dxa"/>
            <w:shd w:val="clear" w:color="000000" w:fill="000000"/>
            <w:noWrap/>
            <w:vAlign w:val="bottom"/>
            <w:hideMark/>
          </w:tcPr>
          <w:p w14:paraId="3BE555A9" w14:textId="77777777" w:rsidR="007528E6" w:rsidRPr="007528E6" w:rsidRDefault="007528E6" w:rsidP="007528E6">
            <w:pPr>
              <w:keepNext/>
              <w:keepLines/>
              <w:jc w:val="right"/>
              <w:rPr>
                <w:rFonts w:ascii="Calibri" w:hAnsi="Calibri" w:cs="Calibri"/>
                <w:b/>
                <w:bCs/>
                <w:color w:val="FFFFFF"/>
                <w:lang w:eastAsia="en-GB"/>
              </w:rPr>
            </w:pPr>
            <w:r w:rsidRPr="007528E6">
              <w:rPr>
                <w:rFonts w:ascii="Calibri" w:hAnsi="Calibri" w:cs="Calibri"/>
                <w:b/>
                <w:bCs/>
                <w:color w:val="FFFFFF"/>
                <w:lang w:eastAsia="en-GB"/>
              </w:rPr>
              <w:t>£2,900</w:t>
            </w:r>
          </w:p>
        </w:tc>
        <w:tc>
          <w:tcPr>
            <w:tcW w:w="1134" w:type="dxa"/>
            <w:shd w:val="clear" w:color="000000" w:fill="000000"/>
            <w:noWrap/>
            <w:vAlign w:val="bottom"/>
            <w:hideMark/>
          </w:tcPr>
          <w:p w14:paraId="6813FD4C" w14:textId="77777777" w:rsidR="007528E6" w:rsidRPr="007528E6" w:rsidRDefault="007528E6" w:rsidP="007528E6">
            <w:pPr>
              <w:keepNext/>
              <w:keepLines/>
              <w:jc w:val="right"/>
              <w:rPr>
                <w:rFonts w:ascii="Calibri" w:hAnsi="Calibri" w:cs="Calibri"/>
                <w:b/>
                <w:bCs/>
                <w:color w:val="FFFFFF"/>
                <w:lang w:eastAsia="en-GB"/>
              </w:rPr>
            </w:pPr>
            <w:r w:rsidRPr="007528E6">
              <w:rPr>
                <w:rFonts w:ascii="Calibri" w:hAnsi="Calibri" w:cs="Calibri"/>
                <w:b/>
                <w:bCs/>
                <w:color w:val="FFFFFF"/>
                <w:lang w:eastAsia="en-GB"/>
              </w:rPr>
              <w:t>£5,100</w:t>
            </w:r>
          </w:p>
        </w:tc>
      </w:tr>
    </w:tbl>
    <w:p w14:paraId="558D35FE" w14:textId="02BDA5A4" w:rsidR="007528E6" w:rsidRPr="007528E6" w:rsidRDefault="007528E6" w:rsidP="00CD49DF">
      <w:pPr>
        <w:keepNext/>
        <w:keepLines/>
        <w:rPr>
          <w:sz w:val="22"/>
          <w:szCs w:val="22"/>
          <w:lang w:eastAsia="en-GB"/>
        </w:rPr>
      </w:pPr>
      <w:r w:rsidRPr="007528E6">
        <w:rPr>
          <w:b/>
          <w:bCs/>
          <w:sz w:val="22"/>
          <w:szCs w:val="22"/>
          <w:lang w:eastAsia="en-GB"/>
        </w:rPr>
        <w:t>Note:</w:t>
      </w:r>
      <w:r w:rsidRPr="007528E6">
        <w:rPr>
          <w:sz w:val="22"/>
          <w:szCs w:val="22"/>
          <w:lang w:eastAsia="en-GB"/>
        </w:rPr>
        <w:t xml:space="preserve"> totals may appear not to sum due to rounding</w:t>
      </w:r>
      <w:r w:rsidR="005B786F">
        <w:rPr>
          <w:sz w:val="22"/>
          <w:szCs w:val="22"/>
          <w:lang w:eastAsia="en-GB"/>
        </w:rPr>
        <w:t>. NQ = not yet quantified</w:t>
      </w:r>
    </w:p>
    <w:p w14:paraId="0117D467" w14:textId="3F58AF62" w:rsidR="006D54D7" w:rsidRDefault="006D54D7" w:rsidP="006D54D7">
      <w:pPr>
        <w:pStyle w:val="Heading3"/>
      </w:pPr>
      <w:r>
        <w:t>Familiarisation</w:t>
      </w:r>
    </w:p>
    <w:p w14:paraId="4EE1C866" w14:textId="3FAD5452" w:rsidR="006D54D7" w:rsidRPr="00F008FD" w:rsidRDefault="5F2186BD"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We anticipate that </w:t>
      </w:r>
      <w:proofErr w:type="spellStart"/>
      <w:r w:rsidRPr="00F008FD">
        <w:rPr>
          <w:rFonts w:eastAsia="Arial" w:cs="Arial"/>
          <w:sz w:val="22"/>
          <w:szCs w:val="22"/>
        </w:rPr>
        <w:t>dutyholders</w:t>
      </w:r>
      <w:proofErr w:type="spellEnd"/>
      <w:r w:rsidRPr="00F008FD">
        <w:rPr>
          <w:rFonts w:eastAsia="Arial" w:cs="Arial"/>
          <w:sz w:val="22"/>
          <w:szCs w:val="22"/>
        </w:rPr>
        <w:t xml:space="preserve"> would have to take some time to familiarise with the changes proposed to BPR</w:t>
      </w:r>
      <w:r w:rsidR="326ED573" w:rsidRPr="00F008FD">
        <w:rPr>
          <w:rFonts w:eastAsia="Arial" w:cs="Arial"/>
          <w:sz w:val="22"/>
          <w:szCs w:val="22"/>
        </w:rPr>
        <w:t xml:space="preserve"> (although, as discussed in paragraphs </w:t>
      </w:r>
      <w:r w:rsidR="002E0E22" w:rsidRPr="00F008FD">
        <w:rPr>
          <w:rFonts w:eastAsia="Arial" w:cs="Arial"/>
          <w:sz w:val="22"/>
          <w:szCs w:val="22"/>
        </w:rPr>
        <w:fldChar w:fldCharType="begin"/>
      </w:r>
      <w:r w:rsidR="002E0E22" w:rsidRPr="00F008FD">
        <w:rPr>
          <w:rFonts w:eastAsia="Arial" w:cs="Arial"/>
          <w:sz w:val="22"/>
          <w:szCs w:val="22"/>
        </w:rPr>
        <w:instrText xml:space="preserve"> REF _Ref111715535 \r \h </w:instrText>
      </w:r>
      <w:r w:rsidR="00481B20">
        <w:rPr>
          <w:rFonts w:eastAsia="Arial" w:cs="Arial"/>
          <w:sz w:val="22"/>
          <w:szCs w:val="22"/>
        </w:rPr>
        <w:instrText xml:space="preserve"> \* MERGEFORMAT </w:instrText>
      </w:r>
      <w:r w:rsidR="002E0E22" w:rsidRPr="00F008FD">
        <w:rPr>
          <w:rFonts w:eastAsia="Arial" w:cs="Arial"/>
          <w:sz w:val="22"/>
          <w:szCs w:val="22"/>
        </w:rPr>
      </w:r>
      <w:r w:rsidR="002E0E22" w:rsidRPr="00F008FD">
        <w:rPr>
          <w:rFonts w:eastAsia="Arial" w:cs="Arial"/>
          <w:sz w:val="22"/>
          <w:szCs w:val="22"/>
        </w:rPr>
        <w:fldChar w:fldCharType="separate"/>
      </w:r>
      <w:r w:rsidR="326ED573" w:rsidRPr="00F008FD">
        <w:rPr>
          <w:rFonts w:eastAsia="Arial" w:cs="Arial"/>
          <w:sz w:val="22"/>
          <w:szCs w:val="22"/>
        </w:rPr>
        <w:t>2</w:t>
      </w:r>
      <w:r w:rsidR="002E0E22" w:rsidRPr="00F008FD">
        <w:rPr>
          <w:rFonts w:eastAsia="Arial" w:cs="Arial"/>
          <w:sz w:val="22"/>
          <w:szCs w:val="22"/>
        </w:rPr>
        <w:fldChar w:fldCharType="end"/>
      </w:r>
      <w:r w:rsidR="326ED573" w:rsidRPr="00F008FD">
        <w:rPr>
          <w:rFonts w:eastAsia="Arial" w:cs="Arial"/>
          <w:sz w:val="22"/>
          <w:szCs w:val="22"/>
        </w:rPr>
        <w:t xml:space="preserve"> to </w:t>
      </w:r>
      <w:r w:rsidR="003A4D8A" w:rsidRPr="00F008FD">
        <w:rPr>
          <w:rFonts w:eastAsia="Arial" w:cs="Arial"/>
          <w:sz w:val="22"/>
          <w:szCs w:val="22"/>
        </w:rPr>
        <w:fldChar w:fldCharType="begin"/>
      </w:r>
      <w:r w:rsidR="003A4D8A" w:rsidRPr="00F008FD">
        <w:rPr>
          <w:rFonts w:eastAsia="Arial" w:cs="Arial"/>
          <w:sz w:val="22"/>
          <w:szCs w:val="22"/>
        </w:rPr>
        <w:instrText xml:space="preserve"> REF _Ref111715561 \r \h </w:instrText>
      </w:r>
      <w:r w:rsidR="00481B20">
        <w:rPr>
          <w:rFonts w:eastAsia="Arial" w:cs="Arial"/>
          <w:sz w:val="22"/>
          <w:szCs w:val="22"/>
        </w:rPr>
        <w:instrText xml:space="preserve"> \* MERGEFORMAT </w:instrText>
      </w:r>
      <w:r w:rsidR="003A4D8A" w:rsidRPr="00F008FD">
        <w:rPr>
          <w:rFonts w:eastAsia="Arial" w:cs="Arial"/>
          <w:sz w:val="22"/>
          <w:szCs w:val="22"/>
        </w:rPr>
      </w:r>
      <w:r w:rsidR="003A4D8A" w:rsidRPr="00F008FD">
        <w:rPr>
          <w:rFonts w:eastAsia="Arial" w:cs="Arial"/>
          <w:sz w:val="22"/>
          <w:szCs w:val="22"/>
        </w:rPr>
        <w:fldChar w:fldCharType="separate"/>
      </w:r>
      <w:r w:rsidR="02B132CD" w:rsidRPr="00F008FD">
        <w:rPr>
          <w:rFonts w:eastAsia="Arial" w:cs="Arial"/>
          <w:sz w:val="22"/>
          <w:szCs w:val="22"/>
        </w:rPr>
        <w:t>6</w:t>
      </w:r>
      <w:r w:rsidR="003A4D8A" w:rsidRPr="00F008FD">
        <w:rPr>
          <w:rFonts w:eastAsia="Arial" w:cs="Arial"/>
          <w:sz w:val="22"/>
          <w:szCs w:val="22"/>
        </w:rPr>
        <w:fldChar w:fldCharType="end"/>
      </w:r>
      <w:r w:rsidR="02B132CD" w:rsidRPr="00F008FD">
        <w:rPr>
          <w:rFonts w:eastAsia="Arial" w:cs="Arial"/>
          <w:sz w:val="22"/>
          <w:szCs w:val="22"/>
        </w:rPr>
        <w:t xml:space="preserve">, we anticipate that </w:t>
      </w:r>
      <w:proofErr w:type="spellStart"/>
      <w:r w:rsidR="02B132CD" w:rsidRPr="00F008FD">
        <w:rPr>
          <w:rFonts w:eastAsia="Arial" w:cs="Arial"/>
          <w:sz w:val="22"/>
          <w:szCs w:val="22"/>
        </w:rPr>
        <w:t>dutyholders</w:t>
      </w:r>
      <w:proofErr w:type="spellEnd"/>
      <w:r w:rsidR="02B132CD" w:rsidRPr="00F008FD">
        <w:rPr>
          <w:rFonts w:eastAsia="Arial" w:cs="Arial"/>
          <w:sz w:val="22"/>
          <w:szCs w:val="22"/>
        </w:rPr>
        <w:t xml:space="preserve"> will already be carrying out these tests for EU compliance in the majority of cases). </w:t>
      </w:r>
      <w:r w:rsidR="361E091A" w:rsidRPr="00F008FD">
        <w:rPr>
          <w:rFonts w:eastAsia="Arial" w:cs="Arial"/>
          <w:sz w:val="22"/>
          <w:szCs w:val="22"/>
        </w:rPr>
        <w:t xml:space="preserve">HSE policy leads estimate that </w:t>
      </w:r>
      <w:r w:rsidR="4A55B050" w:rsidRPr="00F008FD">
        <w:rPr>
          <w:rFonts w:eastAsia="Arial" w:cs="Arial"/>
          <w:sz w:val="22"/>
          <w:szCs w:val="22"/>
        </w:rPr>
        <w:t>it would take each organisation between around 3 and 9 hours to read and familiarise with the changes</w:t>
      </w:r>
      <w:r w:rsidR="08E6CE83" w:rsidRPr="00F008FD">
        <w:rPr>
          <w:rFonts w:eastAsia="Arial" w:cs="Arial"/>
          <w:sz w:val="22"/>
          <w:szCs w:val="22"/>
        </w:rPr>
        <w:t>, with a mid-estimate of around 6 hours. T</w:t>
      </w:r>
      <w:r w:rsidR="4A55B050" w:rsidRPr="00F008FD">
        <w:rPr>
          <w:rFonts w:eastAsia="Arial" w:cs="Arial"/>
          <w:sz w:val="22"/>
          <w:szCs w:val="22"/>
        </w:rPr>
        <w:t>his is based on expectations of the length of the guidance that would be issued b</w:t>
      </w:r>
      <w:r w:rsidR="08E6CE83" w:rsidRPr="00F008FD">
        <w:rPr>
          <w:rFonts w:eastAsia="Arial" w:cs="Arial"/>
          <w:sz w:val="22"/>
          <w:szCs w:val="22"/>
        </w:rPr>
        <w:t>y HSE.</w:t>
      </w:r>
    </w:p>
    <w:p w14:paraId="62484AAB" w14:textId="77777777" w:rsidR="00241BE6" w:rsidRPr="00F008FD" w:rsidRDefault="00241BE6" w:rsidP="00F008FD">
      <w:pPr>
        <w:pStyle w:val="ListParagraph"/>
        <w:spacing w:after="120"/>
        <w:ind w:left="473"/>
        <w:rPr>
          <w:rFonts w:eastAsia="Arial" w:cs="Arial"/>
          <w:sz w:val="22"/>
          <w:szCs w:val="22"/>
        </w:rPr>
      </w:pPr>
    </w:p>
    <w:p w14:paraId="284C2487" w14:textId="778893FE" w:rsidR="00241BE6" w:rsidRPr="00F008FD" w:rsidRDefault="00A30EA0" w:rsidP="00F008FD">
      <w:pPr>
        <w:pStyle w:val="ListParagraph"/>
        <w:numPr>
          <w:ilvl w:val="0"/>
          <w:numId w:val="34"/>
        </w:numPr>
        <w:spacing w:after="120"/>
        <w:rPr>
          <w:rFonts w:eastAsia="Arial" w:cs="Arial"/>
          <w:sz w:val="22"/>
          <w:szCs w:val="22"/>
        </w:rPr>
      </w:pPr>
      <w:bookmarkStart w:id="37" w:name="_Ref112059288"/>
      <w:r w:rsidRPr="00F008FD">
        <w:rPr>
          <w:rFonts w:eastAsia="Arial" w:cs="Arial"/>
          <w:sz w:val="22"/>
          <w:szCs w:val="22"/>
        </w:rPr>
        <w:t xml:space="preserve">Based on the </w:t>
      </w:r>
      <w:r w:rsidR="00905B8A" w:rsidRPr="00F008FD">
        <w:rPr>
          <w:rFonts w:eastAsia="Arial" w:cs="Arial"/>
          <w:sz w:val="22"/>
          <w:szCs w:val="22"/>
        </w:rPr>
        <w:t xml:space="preserve">data review discussed in paragraph </w:t>
      </w:r>
      <w:r w:rsidR="00905B8A" w:rsidRPr="00F008FD">
        <w:rPr>
          <w:rFonts w:eastAsia="Arial" w:cs="Arial"/>
          <w:sz w:val="22"/>
          <w:szCs w:val="22"/>
        </w:rPr>
        <w:fldChar w:fldCharType="begin"/>
      </w:r>
      <w:r w:rsidR="00905B8A" w:rsidRPr="00F008FD">
        <w:rPr>
          <w:rFonts w:eastAsia="Arial" w:cs="Arial"/>
          <w:sz w:val="22"/>
          <w:szCs w:val="22"/>
        </w:rPr>
        <w:instrText xml:space="preserve"> REF _Ref111727066 \r \h </w:instrText>
      </w:r>
      <w:r w:rsidR="00481B20">
        <w:rPr>
          <w:rFonts w:eastAsia="Arial" w:cs="Arial"/>
          <w:sz w:val="22"/>
          <w:szCs w:val="22"/>
        </w:rPr>
        <w:instrText xml:space="preserve"> \* MERGEFORMAT </w:instrText>
      </w:r>
      <w:r w:rsidR="00905B8A" w:rsidRPr="00F008FD">
        <w:rPr>
          <w:rFonts w:eastAsia="Arial" w:cs="Arial"/>
          <w:sz w:val="22"/>
          <w:szCs w:val="22"/>
        </w:rPr>
      </w:r>
      <w:r w:rsidR="00905B8A" w:rsidRPr="00F008FD">
        <w:rPr>
          <w:rFonts w:eastAsia="Arial" w:cs="Arial"/>
          <w:sz w:val="22"/>
          <w:szCs w:val="22"/>
        </w:rPr>
        <w:fldChar w:fldCharType="separate"/>
      </w:r>
      <w:r w:rsidR="00905B8A" w:rsidRPr="00F008FD">
        <w:rPr>
          <w:rFonts w:eastAsia="Arial" w:cs="Arial"/>
          <w:sz w:val="22"/>
          <w:szCs w:val="22"/>
        </w:rPr>
        <w:t>5</w:t>
      </w:r>
      <w:r w:rsidR="00905B8A" w:rsidRPr="00F008FD">
        <w:rPr>
          <w:rFonts w:eastAsia="Arial" w:cs="Arial"/>
          <w:sz w:val="22"/>
          <w:szCs w:val="22"/>
        </w:rPr>
        <w:fldChar w:fldCharType="end"/>
      </w:r>
      <w:r w:rsidR="00905B8A" w:rsidRPr="00F008FD">
        <w:rPr>
          <w:rFonts w:eastAsia="Arial" w:cs="Arial"/>
          <w:sz w:val="22"/>
          <w:szCs w:val="22"/>
        </w:rPr>
        <w:t xml:space="preserve">, we estimate that there are around </w:t>
      </w:r>
      <w:r w:rsidR="00291302" w:rsidRPr="00F008FD">
        <w:rPr>
          <w:rFonts w:eastAsia="Arial" w:cs="Arial"/>
          <w:sz w:val="22"/>
          <w:szCs w:val="22"/>
        </w:rPr>
        <w:t>1,140</w:t>
      </w:r>
      <w:r w:rsidR="000E12A6" w:rsidRPr="00F008FD">
        <w:rPr>
          <w:rFonts w:eastAsia="Arial" w:cs="Arial"/>
          <w:sz w:val="22"/>
          <w:szCs w:val="22"/>
        </w:rPr>
        <w:t xml:space="preserve"> manufacturers in GB </w:t>
      </w:r>
      <w:r w:rsidR="00291302" w:rsidRPr="00F008FD">
        <w:rPr>
          <w:rFonts w:eastAsia="Arial" w:cs="Arial"/>
          <w:sz w:val="22"/>
          <w:szCs w:val="22"/>
        </w:rPr>
        <w:t xml:space="preserve">that could need to familiarise. This gives a total </w:t>
      </w:r>
      <w:r w:rsidR="00320041" w:rsidRPr="00F008FD">
        <w:rPr>
          <w:rFonts w:eastAsia="Arial" w:cs="Arial"/>
          <w:sz w:val="22"/>
          <w:szCs w:val="22"/>
        </w:rPr>
        <w:t xml:space="preserve">of between around 3,400 and 10,300 hours </w:t>
      </w:r>
      <w:r w:rsidR="00DF7EDE" w:rsidRPr="00F008FD">
        <w:rPr>
          <w:rFonts w:eastAsia="Arial" w:cs="Arial"/>
          <w:sz w:val="22"/>
          <w:szCs w:val="22"/>
        </w:rPr>
        <w:t>spent</w:t>
      </w:r>
      <w:r w:rsidR="00320041" w:rsidRPr="00F008FD">
        <w:rPr>
          <w:rFonts w:eastAsia="Arial" w:cs="Arial"/>
          <w:sz w:val="22"/>
          <w:szCs w:val="22"/>
        </w:rPr>
        <w:t xml:space="preserve"> familiarising, with a mid-estimate of around </w:t>
      </w:r>
      <w:r w:rsidR="00DF7EDE" w:rsidRPr="00F008FD">
        <w:rPr>
          <w:rFonts w:eastAsia="Arial" w:cs="Arial"/>
          <w:sz w:val="22"/>
          <w:szCs w:val="22"/>
        </w:rPr>
        <w:t>6,800.</w:t>
      </w:r>
      <w:bookmarkEnd w:id="37"/>
      <w:r w:rsidR="00DF7EDE" w:rsidRPr="00F008FD">
        <w:rPr>
          <w:rFonts w:eastAsia="Arial" w:cs="Arial"/>
          <w:sz w:val="22"/>
          <w:szCs w:val="22"/>
        </w:rPr>
        <w:t xml:space="preserve"> </w:t>
      </w:r>
      <w:r w:rsidR="00082295" w:rsidRPr="00F008FD">
        <w:rPr>
          <w:rFonts w:eastAsia="Arial" w:cs="Arial"/>
          <w:sz w:val="22"/>
          <w:szCs w:val="22"/>
        </w:rPr>
        <w:t xml:space="preserve"> </w:t>
      </w:r>
      <w:r w:rsidR="00D03450" w:rsidRPr="00F008FD">
        <w:rPr>
          <w:rFonts w:eastAsia="Arial" w:cs="Arial"/>
          <w:sz w:val="22"/>
          <w:szCs w:val="22"/>
        </w:rPr>
        <w:t xml:space="preserve"> </w:t>
      </w:r>
    </w:p>
    <w:p w14:paraId="07EFC56F" w14:textId="77777777" w:rsidR="00DF7EDE" w:rsidRPr="00F008FD" w:rsidRDefault="00DF7EDE" w:rsidP="00F008FD">
      <w:pPr>
        <w:pStyle w:val="ListParagraph"/>
        <w:spacing w:after="120"/>
        <w:ind w:left="473"/>
        <w:rPr>
          <w:rFonts w:eastAsia="Arial" w:cs="Arial"/>
          <w:sz w:val="22"/>
          <w:szCs w:val="22"/>
        </w:rPr>
      </w:pPr>
    </w:p>
    <w:p w14:paraId="5F9F93A3" w14:textId="2536793F" w:rsidR="00DF7EDE" w:rsidRPr="00F008FD" w:rsidRDefault="00DF7EDE"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We estimate that this </w:t>
      </w:r>
      <w:r w:rsidR="00154359" w:rsidRPr="00F008FD">
        <w:rPr>
          <w:rFonts w:eastAsia="Arial" w:cs="Arial"/>
          <w:sz w:val="22"/>
          <w:szCs w:val="22"/>
        </w:rPr>
        <w:t xml:space="preserve">familiarisation would be undertaken by </w:t>
      </w:r>
      <w:r w:rsidR="00096EAC" w:rsidRPr="00F008FD">
        <w:rPr>
          <w:rFonts w:eastAsia="Arial" w:cs="Arial"/>
          <w:sz w:val="22"/>
          <w:szCs w:val="22"/>
        </w:rPr>
        <w:t xml:space="preserve">a science manager. To estimate the cost of their time, we have used the </w:t>
      </w:r>
      <w:r w:rsidR="007A7822" w:rsidRPr="00F008FD">
        <w:rPr>
          <w:rFonts w:eastAsia="Arial" w:cs="Arial"/>
          <w:sz w:val="22"/>
          <w:szCs w:val="22"/>
        </w:rPr>
        <w:t>average w</w:t>
      </w:r>
      <w:r w:rsidR="00096EAC" w:rsidRPr="00F008FD">
        <w:rPr>
          <w:rFonts w:eastAsia="Arial" w:cs="Arial"/>
          <w:sz w:val="22"/>
          <w:szCs w:val="22"/>
        </w:rPr>
        <w:t xml:space="preserve">age </w:t>
      </w:r>
      <w:r w:rsidR="00DF7344" w:rsidRPr="00F008FD">
        <w:rPr>
          <w:rFonts w:eastAsia="Arial" w:cs="Arial"/>
          <w:sz w:val="22"/>
          <w:szCs w:val="22"/>
        </w:rPr>
        <w:t>for Professional, Scientific And Technical Activities, Managers, Directors And Senior Officials (SOC code M1) from the Annual Survey of Hours and Earnings</w:t>
      </w:r>
      <w:r w:rsidR="004966AB" w:rsidRPr="00F008FD">
        <w:rPr>
          <w:rFonts w:eastAsia="Arial" w:cs="Arial"/>
          <w:sz w:val="22"/>
          <w:szCs w:val="22"/>
        </w:rPr>
        <w:t>.</w:t>
      </w:r>
      <w:r w:rsidR="004966AB" w:rsidRPr="33268A8E">
        <w:rPr>
          <w:rFonts w:eastAsia="Arial" w:cs="Arial"/>
        </w:rPr>
        <w:footnoteReference w:id="5"/>
      </w:r>
      <w:r w:rsidR="004966AB" w:rsidRPr="00F008FD">
        <w:rPr>
          <w:rFonts w:eastAsia="Arial" w:cs="Arial"/>
          <w:sz w:val="22"/>
          <w:szCs w:val="22"/>
        </w:rPr>
        <w:t xml:space="preserve"> This hourly wage is £36.46</w:t>
      </w:r>
      <w:r w:rsidR="00DA6B77" w:rsidRPr="00F008FD">
        <w:rPr>
          <w:rFonts w:eastAsia="Arial" w:cs="Arial"/>
          <w:sz w:val="22"/>
          <w:szCs w:val="22"/>
        </w:rPr>
        <w:t xml:space="preserve">. </w:t>
      </w:r>
      <w:r w:rsidR="008973FE" w:rsidRPr="00F008FD">
        <w:rPr>
          <w:rFonts w:eastAsia="Arial" w:cs="Arial"/>
          <w:sz w:val="22"/>
          <w:szCs w:val="22"/>
        </w:rPr>
        <w:t xml:space="preserve">The full value of the manager’s time to their employer will include additional ‘on-wage’ costs, such as pension, National Insurance and other costs. </w:t>
      </w:r>
      <w:r w:rsidR="00AF2AA6" w:rsidRPr="00F008FD">
        <w:rPr>
          <w:rFonts w:eastAsia="Arial" w:cs="Arial"/>
          <w:sz w:val="22"/>
          <w:szCs w:val="22"/>
        </w:rPr>
        <w:t xml:space="preserve">We estimate that these account for a further 20% on top of the wage. This gives a full economic cost of the manager’s time of </w:t>
      </w:r>
      <w:r w:rsidR="00E04B90" w:rsidRPr="00F008FD">
        <w:rPr>
          <w:rFonts w:eastAsia="Arial" w:cs="Arial"/>
          <w:sz w:val="22"/>
          <w:szCs w:val="22"/>
        </w:rPr>
        <w:t>£43.02 per hour.</w:t>
      </w:r>
    </w:p>
    <w:p w14:paraId="0C4011E7" w14:textId="77777777" w:rsidR="00E04B90" w:rsidRPr="00F008FD" w:rsidRDefault="00E04B90" w:rsidP="00F008FD">
      <w:pPr>
        <w:pStyle w:val="ListParagraph"/>
        <w:spacing w:after="120"/>
        <w:ind w:left="473"/>
        <w:rPr>
          <w:rFonts w:eastAsia="Arial" w:cs="Arial"/>
          <w:sz w:val="22"/>
          <w:szCs w:val="22"/>
        </w:rPr>
      </w:pPr>
    </w:p>
    <w:p w14:paraId="7307C5E7" w14:textId="6DA0599B" w:rsidR="00E04B90" w:rsidRPr="00F008FD" w:rsidRDefault="00E04B90"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This gives a </w:t>
      </w:r>
      <w:r w:rsidRPr="00F008FD">
        <w:rPr>
          <w:rFonts w:eastAsia="Arial" w:cs="Arial"/>
          <w:b/>
          <w:sz w:val="22"/>
          <w:szCs w:val="22"/>
        </w:rPr>
        <w:t>total one-off cost of familiarisation</w:t>
      </w:r>
      <w:r w:rsidRPr="00F008FD">
        <w:rPr>
          <w:rFonts w:eastAsia="Arial" w:cs="Arial"/>
          <w:sz w:val="22"/>
          <w:szCs w:val="22"/>
        </w:rPr>
        <w:t xml:space="preserve"> of between around </w:t>
      </w:r>
      <w:r w:rsidR="007C3A86" w:rsidRPr="00F008FD">
        <w:rPr>
          <w:rFonts w:eastAsia="Arial" w:cs="Arial"/>
          <w:sz w:val="22"/>
          <w:szCs w:val="22"/>
        </w:rPr>
        <w:t xml:space="preserve">£150,000 and £440,000, with a </w:t>
      </w:r>
      <w:r w:rsidR="007C3A86" w:rsidRPr="00F008FD">
        <w:rPr>
          <w:rFonts w:eastAsia="Arial" w:cs="Arial"/>
          <w:b/>
          <w:sz w:val="22"/>
          <w:szCs w:val="22"/>
        </w:rPr>
        <w:t>mid-estimate of around £290,000</w:t>
      </w:r>
      <w:r w:rsidR="007C3A86" w:rsidRPr="00F008FD">
        <w:rPr>
          <w:rFonts w:eastAsia="Arial" w:cs="Arial"/>
          <w:sz w:val="22"/>
          <w:szCs w:val="22"/>
        </w:rPr>
        <w:t xml:space="preserve">. </w:t>
      </w:r>
    </w:p>
    <w:p w14:paraId="6BA97AD8" w14:textId="1107078B" w:rsidR="00405A60" w:rsidRDefault="70C2E980" w:rsidP="18F7AA55">
      <w:pPr>
        <w:pStyle w:val="Heading3"/>
        <w:rPr>
          <w:sz w:val="24"/>
          <w:szCs w:val="24"/>
        </w:rPr>
      </w:pPr>
      <w:r>
        <w:t>Benefits</w:t>
      </w:r>
    </w:p>
    <w:p w14:paraId="1C917387" w14:textId="11177EB0" w:rsidR="4802BC67" w:rsidRPr="00F008FD" w:rsidRDefault="4802BC67" w:rsidP="00F008FD">
      <w:pPr>
        <w:pStyle w:val="ListParagraph"/>
        <w:numPr>
          <w:ilvl w:val="0"/>
          <w:numId w:val="34"/>
        </w:numPr>
        <w:spacing w:after="120"/>
        <w:rPr>
          <w:rFonts w:eastAsia="Arial" w:cs="Arial"/>
          <w:sz w:val="22"/>
          <w:szCs w:val="22"/>
        </w:rPr>
      </w:pPr>
      <w:bookmarkStart w:id="38" w:name="_Ref113877659"/>
      <w:r w:rsidRPr="00F008FD">
        <w:rPr>
          <w:rFonts w:eastAsia="Arial" w:cs="Arial"/>
          <w:sz w:val="22"/>
          <w:szCs w:val="22"/>
        </w:rPr>
        <w:t xml:space="preserve">These changes will bring the data requirements for biocidal active substances and products up to date in line with scientific and technical progress, </w:t>
      </w:r>
      <w:r w:rsidR="413E3F3D" w:rsidRPr="00F008FD">
        <w:rPr>
          <w:rFonts w:eastAsia="Arial" w:cs="Arial"/>
          <w:sz w:val="22"/>
          <w:szCs w:val="22"/>
        </w:rPr>
        <w:t>providing the most accurate and up to date information for regulators to base their decisions on</w:t>
      </w:r>
      <w:r w:rsidR="50B36888" w:rsidRPr="00F008FD">
        <w:rPr>
          <w:rFonts w:eastAsia="Arial" w:cs="Arial"/>
          <w:sz w:val="22"/>
          <w:szCs w:val="22"/>
        </w:rPr>
        <w:t>, leading to better protection of</w:t>
      </w:r>
      <w:r w:rsidR="3C4ED5C7" w:rsidRPr="00F008FD">
        <w:rPr>
          <w:rFonts w:eastAsia="Arial" w:cs="Arial"/>
          <w:sz w:val="22"/>
          <w:szCs w:val="22"/>
        </w:rPr>
        <w:t xml:space="preserve"> human </w:t>
      </w:r>
      <w:r w:rsidR="50B36888" w:rsidRPr="00F008FD">
        <w:rPr>
          <w:rFonts w:eastAsia="Arial" w:cs="Arial"/>
          <w:sz w:val="22"/>
          <w:szCs w:val="22"/>
        </w:rPr>
        <w:t>health and the environment.</w:t>
      </w:r>
      <w:bookmarkEnd w:id="38"/>
    </w:p>
    <w:p w14:paraId="2C33DE25" w14:textId="4A9D7799" w:rsidR="18F7AA55" w:rsidRPr="00F008FD" w:rsidRDefault="18F7AA55" w:rsidP="00F008FD">
      <w:pPr>
        <w:pStyle w:val="ListParagraph"/>
        <w:spacing w:after="120"/>
        <w:ind w:left="473"/>
        <w:rPr>
          <w:rFonts w:eastAsia="Arial" w:cs="Arial"/>
          <w:sz w:val="22"/>
          <w:szCs w:val="22"/>
        </w:rPr>
      </w:pPr>
    </w:p>
    <w:p w14:paraId="2665A09D" w14:textId="6A1DCB69" w:rsidR="413E3F3D" w:rsidRPr="00F008FD" w:rsidRDefault="413E3F3D" w:rsidP="00F008FD">
      <w:pPr>
        <w:pStyle w:val="ListParagraph"/>
        <w:numPr>
          <w:ilvl w:val="0"/>
          <w:numId w:val="34"/>
        </w:numPr>
        <w:spacing w:after="120"/>
        <w:rPr>
          <w:rFonts w:eastAsia="Arial" w:cs="Arial"/>
          <w:sz w:val="22"/>
          <w:szCs w:val="22"/>
        </w:rPr>
      </w:pPr>
      <w:r w:rsidRPr="00F008FD">
        <w:rPr>
          <w:rFonts w:eastAsia="Arial" w:cs="Arial"/>
          <w:sz w:val="22"/>
          <w:szCs w:val="22"/>
        </w:rPr>
        <w:lastRenderedPageBreak/>
        <w:t>The</w:t>
      </w:r>
      <w:r w:rsidR="44EEA004" w:rsidRPr="00F008FD">
        <w:rPr>
          <w:rFonts w:eastAsia="Arial" w:cs="Arial"/>
          <w:sz w:val="22"/>
          <w:szCs w:val="22"/>
        </w:rPr>
        <w:t xml:space="preserve"> change from in vivo to in vitro testing </w:t>
      </w:r>
      <w:r w:rsidR="7AF3BAF8" w:rsidRPr="00F008FD">
        <w:rPr>
          <w:rFonts w:eastAsia="Arial" w:cs="Arial"/>
          <w:sz w:val="22"/>
          <w:szCs w:val="22"/>
        </w:rPr>
        <w:t>for some requirements</w:t>
      </w:r>
      <w:r w:rsidR="44EEA004" w:rsidRPr="00F008FD">
        <w:rPr>
          <w:rFonts w:eastAsia="Arial" w:cs="Arial"/>
          <w:sz w:val="22"/>
          <w:szCs w:val="22"/>
        </w:rPr>
        <w:t xml:space="preserve"> </w:t>
      </w:r>
      <w:r w:rsidRPr="00F008FD">
        <w:rPr>
          <w:rFonts w:eastAsia="Arial" w:cs="Arial"/>
          <w:sz w:val="22"/>
          <w:szCs w:val="22"/>
        </w:rPr>
        <w:t>will lead to a reduction in animal testing in line with broader government polic</w:t>
      </w:r>
      <w:r w:rsidR="6AB9671D" w:rsidRPr="00F008FD">
        <w:rPr>
          <w:rFonts w:eastAsia="Arial" w:cs="Arial"/>
          <w:sz w:val="22"/>
          <w:szCs w:val="22"/>
        </w:rPr>
        <w:t>ies</w:t>
      </w:r>
      <w:r w:rsidRPr="00F008FD">
        <w:rPr>
          <w:rFonts w:eastAsia="Arial" w:cs="Arial"/>
          <w:sz w:val="22"/>
          <w:szCs w:val="22"/>
        </w:rPr>
        <w:t>.</w:t>
      </w:r>
    </w:p>
    <w:p w14:paraId="02FC3B6B" w14:textId="3A2CD3BD" w:rsidR="18F7AA55" w:rsidRPr="00F008FD" w:rsidRDefault="18F7AA55" w:rsidP="00F008FD">
      <w:pPr>
        <w:pStyle w:val="ListParagraph"/>
        <w:spacing w:after="120"/>
        <w:ind w:left="473"/>
        <w:rPr>
          <w:rFonts w:eastAsia="Arial" w:cs="Arial"/>
          <w:sz w:val="22"/>
          <w:szCs w:val="22"/>
        </w:rPr>
      </w:pPr>
    </w:p>
    <w:p w14:paraId="130CEC32" w14:textId="03C158EB" w:rsidR="310ECAFC" w:rsidRDefault="310ECAFC"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Clarity about the requirements being present in the legislation </w:t>
      </w:r>
      <w:r w:rsidR="00803DAC">
        <w:rPr>
          <w:rFonts w:eastAsia="Arial" w:cs="Arial"/>
          <w:sz w:val="22"/>
          <w:szCs w:val="22"/>
        </w:rPr>
        <w:t>should</w:t>
      </w:r>
      <w:r w:rsidR="00803DAC" w:rsidRPr="00F008FD">
        <w:rPr>
          <w:rFonts w:eastAsia="Arial" w:cs="Arial"/>
          <w:sz w:val="22"/>
          <w:szCs w:val="22"/>
        </w:rPr>
        <w:t xml:space="preserve"> </w:t>
      </w:r>
      <w:r w:rsidRPr="00F008FD">
        <w:rPr>
          <w:rFonts w:eastAsia="Arial" w:cs="Arial"/>
          <w:sz w:val="22"/>
          <w:szCs w:val="22"/>
        </w:rPr>
        <w:t>remove doubt over their applicability compared to the current system</w:t>
      </w:r>
      <w:r w:rsidR="578FF7F4" w:rsidRPr="00F008FD">
        <w:rPr>
          <w:rFonts w:eastAsia="Arial" w:cs="Arial"/>
          <w:sz w:val="22"/>
          <w:szCs w:val="22"/>
        </w:rPr>
        <w:t xml:space="preserve"> of the tests being recommended in guidance. This </w:t>
      </w:r>
      <w:r w:rsidR="008D399D">
        <w:rPr>
          <w:rFonts w:eastAsia="Arial" w:cs="Arial"/>
          <w:sz w:val="22"/>
          <w:szCs w:val="22"/>
        </w:rPr>
        <w:t>may</w:t>
      </w:r>
      <w:r w:rsidR="008D399D" w:rsidRPr="00F008FD">
        <w:rPr>
          <w:rFonts w:eastAsia="Arial" w:cs="Arial"/>
          <w:sz w:val="22"/>
          <w:szCs w:val="22"/>
        </w:rPr>
        <w:t xml:space="preserve"> </w:t>
      </w:r>
      <w:r w:rsidR="009D0F47">
        <w:rPr>
          <w:rFonts w:eastAsia="Arial" w:cs="Arial"/>
          <w:sz w:val="22"/>
          <w:szCs w:val="22"/>
        </w:rPr>
        <w:t xml:space="preserve">make the application process smoother </w:t>
      </w:r>
      <w:r w:rsidR="00A11CC4">
        <w:rPr>
          <w:rFonts w:eastAsia="Arial" w:cs="Arial"/>
          <w:sz w:val="22"/>
          <w:szCs w:val="22"/>
        </w:rPr>
        <w:t xml:space="preserve">by </w:t>
      </w:r>
      <w:r w:rsidR="00C96C0C">
        <w:rPr>
          <w:rFonts w:eastAsia="Arial" w:cs="Arial"/>
          <w:sz w:val="22"/>
          <w:szCs w:val="22"/>
        </w:rPr>
        <w:t xml:space="preserve">reducing </w:t>
      </w:r>
      <w:r w:rsidR="00D06C8D">
        <w:rPr>
          <w:rFonts w:eastAsia="Arial" w:cs="Arial"/>
          <w:sz w:val="22"/>
          <w:szCs w:val="22"/>
        </w:rPr>
        <w:t xml:space="preserve">the likelihood that HSE would need to request further information during the course of the evaluation </w:t>
      </w:r>
      <w:r w:rsidR="006E1BDC">
        <w:rPr>
          <w:rFonts w:eastAsia="Arial" w:cs="Arial"/>
          <w:sz w:val="22"/>
          <w:szCs w:val="22"/>
        </w:rPr>
        <w:t xml:space="preserve">in the areas covered by the changes, </w:t>
      </w:r>
      <w:r w:rsidR="00437CBF">
        <w:rPr>
          <w:rFonts w:eastAsia="Arial" w:cs="Arial"/>
          <w:sz w:val="22"/>
          <w:szCs w:val="22"/>
        </w:rPr>
        <w:t xml:space="preserve">by making the data requirements </w:t>
      </w:r>
      <w:r w:rsidR="001F4979">
        <w:rPr>
          <w:rFonts w:eastAsia="Arial" w:cs="Arial"/>
          <w:sz w:val="22"/>
          <w:szCs w:val="22"/>
        </w:rPr>
        <w:t>obligatory rather than stated in guidance.</w:t>
      </w:r>
    </w:p>
    <w:p w14:paraId="6F476107" w14:textId="77777777" w:rsidR="00522150" w:rsidRPr="004555A5" w:rsidRDefault="00522150" w:rsidP="004555A5">
      <w:pPr>
        <w:pStyle w:val="ListParagraph"/>
        <w:rPr>
          <w:rFonts w:eastAsia="Arial" w:cs="Arial"/>
          <w:sz w:val="22"/>
          <w:szCs w:val="22"/>
        </w:rPr>
      </w:pPr>
    </w:p>
    <w:p w14:paraId="4AE7FD0A" w14:textId="36E958C8" w:rsidR="00A404D9" w:rsidRDefault="00A404D9" w:rsidP="00A404D9">
      <w:pPr>
        <w:pStyle w:val="Heading3"/>
      </w:pPr>
      <w:r>
        <w:t xml:space="preserve">Summary of </w:t>
      </w:r>
      <w:r w:rsidR="00522150">
        <w:t xml:space="preserve">quantified </w:t>
      </w:r>
      <w:r>
        <w:t>costs and benefits</w:t>
      </w:r>
    </w:p>
    <w:p w14:paraId="73050E36" w14:textId="189E0CFB" w:rsidR="00BD345C" w:rsidRDefault="281AAF90"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The quantified </w:t>
      </w:r>
      <w:r w:rsidR="473302A9" w:rsidRPr="00F008FD">
        <w:rPr>
          <w:rFonts w:eastAsia="Arial" w:cs="Arial"/>
          <w:sz w:val="22"/>
          <w:szCs w:val="22"/>
        </w:rPr>
        <w:t>co</w:t>
      </w:r>
      <w:r w:rsidR="00FE5AD3">
        <w:rPr>
          <w:rFonts w:eastAsia="Arial" w:cs="Arial"/>
          <w:sz w:val="22"/>
          <w:szCs w:val="22"/>
        </w:rPr>
        <w:t>s</w:t>
      </w:r>
      <w:r w:rsidR="473302A9" w:rsidRPr="00F008FD">
        <w:rPr>
          <w:rFonts w:eastAsia="Arial" w:cs="Arial"/>
          <w:sz w:val="22"/>
          <w:szCs w:val="22"/>
        </w:rPr>
        <w:t xml:space="preserve">ts are summarised below in </w:t>
      </w:r>
      <w:r w:rsidR="005A7A37" w:rsidRPr="00F008FD">
        <w:rPr>
          <w:rFonts w:eastAsia="Arial" w:cs="Arial"/>
          <w:sz w:val="22"/>
          <w:szCs w:val="22"/>
        </w:rPr>
        <w:fldChar w:fldCharType="begin"/>
      </w:r>
      <w:r w:rsidR="005A7A37" w:rsidRPr="00F008FD">
        <w:rPr>
          <w:rFonts w:eastAsia="Arial" w:cs="Arial"/>
          <w:sz w:val="22"/>
          <w:szCs w:val="22"/>
        </w:rPr>
        <w:instrText xml:space="preserve"> REF _Ref111728252 \h </w:instrText>
      </w:r>
      <w:r w:rsidR="00F008FD">
        <w:rPr>
          <w:rFonts w:eastAsia="Arial" w:cs="Arial"/>
          <w:sz w:val="22"/>
          <w:szCs w:val="22"/>
        </w:rPr>
        <w:instrText xml:space="preserve"> \* MERGEFORMAT </w:instrText>
      </w:r>
      <w:r w:rsidR="005A7A37" w:rsidRPr="00F008FD">
        <w:rPr>
          <w:rFonts w:eastAsia="Arial" w:cs="Arial"/>
          <w:sz w:val="22"/>
          <w:szCs w:val="22"/>
        </w:rPr>
      </w:r>
      <w:r w:rsidR="005A7A37" w:rsidRPr="00F008FD">
        <w:rPr>
          <w:rFonts w:eastAsia="Arial" w:cs="Arial"/>
          <w:sz w:val="22"/>
          <w:szCs w:val="22"/>
        </w:rPr>
        <w:fldChar w:fldCharType="separate"/>
      </w:r>
      <w:r w:rsidR="3B945F04" w:rsidRPr="00F008FD">
        <w:rPr>
          <w:rFonts w:eastAsia="Arial" w:cs="Arial"/>
          <w:sz w:val="22"/>
          <w:szCs w:val="22"/>
        </w:rPr>
        <w:t>Table 4</w:t>
      </w:r>
      <w:r w:rsidR="005A7A37" w:rsidRPr="00F008FD">
        <w:rPr>
          <w:rFonts w:eastAsia="Arial" w:cs="Arial"/>
          <w:sz w:val="22"/>
          <w:szCs w:val="22"/>
        </w:rPr>
        <w:fldChar w:fldCharType="end"/>
      </w:r>
      <w:r w:rsidR="3B945F04" w:rsidRPr="00F008FD">
        <w:rPr>
          <w:rFonts w:eastAsia="Arial" w:cs="Arial"/>
          <w:sz w:val="22"/>
          <w:szCs w:val="22"/>
        </w:rPr>
        <w:t xml:space="preserve">. They come to a present value cost over ten years of between around </w:t>
      </w:r>
      <w:r w:rsidR="4AC24566" w:rsidRPr="00F008FD">
        <w:rPr>
          <w:rFonts w:eastAsia="Arial" w:cs="Arial"/>
          <w:sz w:val="22"/>
          <w:szCs w:val="22"/>
        </w:rPr>
        <w:t xml:space="preserve">£920,000 and £5.5 million, with a mid-estimate of around £3.2 million. These costs all fall directly to businesses. </w:t>
      </w:r>
    </w:p>
    <w:p w14:paraId="1AE33023" w14:textId="77777777" w:rsidR="00BD345C" w:rsidRDefault="00BD345C" w:rsidP="00C32049">
      <w:pPr>
        <w:pStyle w:val="ListParagraph"/>
        <w:spacing w:after="120"/>
        <w:ind w:left="473"/>
        <w:rPr>
          <w:rFonts w:eastAsia="Arial" w:cs="Arial"/>
          <w:sz w:val="22"/>
          <w:szCs w:val="22"/>
        </w:rPr>
      </w:pPr>
    </w:p>
    <w:p w14:paraId="13833A7A" w14:textId="22EC7485" w:rsidR="001321CB" w:rsidRDefault="00BD345C" w:rsidP="00F008FD">
      <w:pPr>
        <w:pStyle w:val="ListParagraph"/>
        <w:numPr>
          <w:ilvl w:val="0"/>
          <w:numId w:val="34"/>
        </w:numPr>
        <w:spacing w:after="120"/>
        <w:rPr>
          <w:rFonts w:eastAsia="Arial" w:cs="Arial"/>
          <w:sz w:val="22"/>
          <w:szCs w:val="22"/>
        </w:rPr>
      </w:pPr>
      <w:r>
        <w:rPr>
          <w:rFonts w:eastAsia="Arial" w:cs="Arial"/>
          <w:sz w:val="22"/>
          <w:szCs w:val="22"/>
        </w:rPr>
        <w:t>The equivalent annual net direct cost to business (estimated in 2019 prices and 2020 present value baseline) is £0.3 million</w:t>
      </w:r>
      <w:r w:rsidR="00693713">
        <w:rPr>
          <w:rFonts w:eastAsia="Arial" w:cs="Arial"/>
          <w:sz w:val="22"/>
          <w:szCs w:val="22"/>
        </w:rPr>
        <w:t xml:space="preserve">, well below the £5.0 million de minimis for the Business Impact Target. </w:t>
      </w:r>
    </w:p>
    <w:p w14:paraId="6BF7867F" w14:textId="77777777" w:rsidR="00C638DD" w:rsidRDefault="00C638DD" w:rsidP="004555A5">
      <w:pPr>
        <w:pStyle w:val="ListParagraph"/>
        <w:spacing w:after="120"/>
        <w:ind w:left="473"/>
        <w:rPr>
          <w:rFonts w:eastAsia="Arial" w:cs="Arial"/>
          <w:sz w:val="22"/>
          <w:szCs w:val="22"/>
        </w:rPr>
      </w:pPr>
    </w:p>
    <w:p w14:paraId="0AA33D4B" w14:textId="394BE64A" w:rsidR="00C638DD" w:rsidRPr="00F008FD" w:rsidRDefault="00C638DD" w:rsidP="00F008FD">
      <w:pPr>
        <w:pStyle w:val="ListParagraph"/>
        <w:numPr>
          <w:ilvl w:val="0"/>
          <w:numId w:val="34"/>
        </w:numPr>
        <w:spacing w:after="120"/>
        <w:rPr>
          <w:rFonts w:eastAsia="Arial" w:cs="Arial"/>
          <w:sz w:val="22"/>
          <w:szCs w:val="22"/>
        </w:rPr>
      </w:pPr>
      <w:r>
        <w:rPr>
          <w:rFonts w:eastAsia="Arial" w:cs="Arial"/>
          <w:sz w:val="22"/>
          <w:szCs w:val="22"/>
        </w:rPr>
        <w:t xml:space="preserve">As discussed in paragraphs </w:t>
      </w:r>
      <w:r>
        <w:rPr>
          <w:rFonts w:eastAsia="Arial" w:cs="Arial"/>
          <w:sz w:val="22"/>
          <w:szCs w:val="22"/>
        </w:rPr>
        <w:fldChar w:fldCharType="begin"/>
      </w:r>
      <w:r>
        <w:rPr>
          <w:rFonts w:eastAsia="Arial" w:cs="Arial"/>
          <w:sz w:val="22"/>
          <w:szCs w:val="22"/>
        </w:rPr>
        <w:instrText xml:space="preserve"> REF _Ref113877659 \r \h </w:instrText>
      </w:r>
      <w:r>
        <w:rPr>
          <w:rFonts w:eastAsia="Arial" w:cs="Arial"/>
          <w:sz w:val="22"/>
          <w:szCs w:val="22"/>
        </w:rPr>
      </w:r>
      <w:r>
        <w:rPr>
          <w:rFonts w:eastAsia="Arial" w:cs="Arial"/>
          <w:sz w:val="22"/>
          <w:szCs w:val="22"/>
        </w:rPr>
        <w:fldChar w:fldCharType="separate"/>
      </w:r>
      <w:r>
        <w:rPr>
          <w:rFonts w:eastAsia="Arial" w:cs="Arial"/>
          <w:sz w:val="22"/>
          <w:szCs w:val="22"/>
        </w:rPr>
        <w:t>51</w:t>
      </w:r>
      <w:r>
        <w:rPr>
          <w:rFonts w:eastAsia="Arial" w:cs="Arial"/>
          <w:sz w:val="22"/>
          <w:szCs w:val="22"/>
        </w:rPr>
        <w:fldChar w:fldCharType="end"/>
      </w:r>
      <w:r>
        <w:rPr>
          <w:rFonts w:eastAsia="Arial" w:cs="Arial"/>
          <w:sz w:val="22"/>
          <w:szCs w:val="22"/>
        </w:rPr>
        <w:t xml:space="preserve"> to </w:t>
      </w:r>
      <w:r>
        <w:rPr>
          <w:rFonts w:eastAsia="Arial" w:cs="Arial"/>
          <w:sz w:val="22"/>
          <w:szCs w:val="22"/>
        </w:rPr>
        <w:fldChar w:fldCharType="begin"/>
      </w:r>
      <w:r>
        <w:rPr>
          <w:rFonts w:eastAsia="Arial" w:cs="Arial"/>
          <w:sz w:val="22"/>
          <w:szCs w:val="22"/>
        </w:rPr>
        <w:instrText xml:space="preserve"> REF _Ref113877667 \r \h </w:instrText>
      </w:r>
      <w:r>
        <w:rPr>
          <w:rFonts w:eastAsia="Arial" w:cs="Arial"/>
          <w:sz w:val="22"/>
          <w:szCs w:val="22"/>
        </w:rPr>
      </w:r>
      <w:r>
        <w:rPr>
          <w:rFonts w:eastAsia="Arial" w:cs="Arial"/>
          <w:sz w:val="22"/>
          <w:szCs w:val="22"/>
        </w:rPr>
        <w:fldChar w:fldCharType="separate"/>
      </w:r>
      <w:r>
        <w:rPr>
          <w:rFonts w:eastAsia="Arial" w:cs="Arial"/>
          <w:sz w:val="22"/>
          <w:szCs w:val="22"/>
        </w:rPr>
        <w:t>55</w:t>
      </w:r>
      <w:r>
        <w:rPr>
          <w:rFonts w:eastAsia="Arial" w:cs="Arial"/>
          <w:sz w:val="22"/>
          <w:szCs w:val="22"/>
        </w:rPr>
        <w:fldChar w:fldCharType="end"/>
      </w:r>
      <w:r>
        <w:rPr>
          <w:rFonts w:eastAsia="Arial" w:cs="Arial"/>
          <w:sz w:val="22"/>
          <w:szCs w:val="22"/>
        </w:rPr>
        <w:t xml:space="preserve">, there are </w:t>
      </w:r>
      <w:r w:rsidR="00C55939">
        <w:rPr>
          <w:rFonts w:eastAsia="Arial" w:cs="Arial"/>
          <w:sz w:val="22"/>
          <w:szCs w:val="22"/>
        </w:rPr>
        <w:t xml:space="preserve">accompanying benefits that it has not been possible to quantify. </w:t>
      </w:r>
    </w:p>
    <w:p w14:paraId="2A9ED059" w14:textId="77777777" w:rsidR="00286F63" w:rsidRPr="00286F63" w:rsidRDefault="00286F63" w:rsidP="00286F63">
      <w:pPr>
        <w:jc w:val="both"/>
        <w:rPr>
          <w:b/>
          <w:i/>
          <w:lang w:eastAsia="en-GB"/>
        </w:rPr>
      </w:pPr>
    </w:p>
    <w:p w14:paraId="7803ED8B" w14:textId="759034CF" w:rsidR="00286F63" w:rsidRPr="00803DAC" w:rsidRDefault="00286F63" w:rsidP="00856AC4">
      <w:pPr>
        <w:pStyle w:val="Caption"/>
        <w:keepNext/>
        <w:keepLines/>
      </w:pPr>
      <w:bookmarkStart w:id="39" w:name="_Ref111728252"/>
      <w:r>
        <w:t xml:space="preserve">Table </w:t>
      </w:r>
      <w:r>
        <w:fldChar w:fldCharType="begin"/>
      </w:r>
      <w:r>
        <w:instrText>SEQ Table \* ARABIC</w:instrText>
      </w:r>
      <w:r>
        <w:fldChar w:fldCharType="separate"/>
      </w:r>
      <w:r>
        <w:t>4</w:t>
      </w:r>
      <w:r>
        <w:fldChar w:fldCharType="end"/>
      </w:r>
      <w:bookmarkEnd w:id="39"/>
      <w:r>
        <w:t xml:space="preserve">: Summary of </w:t>
      </w:r>
      <w:r w:rsidR="005A7A37">
        <w:t>quantified</w:t>
      </w:r>
      <w:r>
        <w:t xml:space="preserve"> costs (</w:t>
      </w:r>
      <w:r w:rsidR="005A7A37">
        <w:t>ten-year present values, £thousands)</w:t>
      </w:r>
    </w:p>
    <w:tbl>
      <w:tblPr>
        <w:tblW w:w="0" w:type="auto"/>
        <w:tblLook w:val="04A0" w:firstRow="1" w:lastRow="0" w:firstColumn="1" w:lastColumn="0" w:noHBand="0" w:noVBand="1"/>
      </w:tblPr>
      <w:tblGrid>
        <w:gridCol w:w="2440"/>
        <w:gridCol w:w="703"/>
        <w:gridCol w:w="887"/>
        <w:gridCol w:w="887"/>
      </w:tblGrid>
      <w:tr w:rsidR="00286F63" w:rsidRPr="00286F63" w14:paraId="7BCB2F69" w14:textId="77777777" w:rsidTr="00803DAC">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626D594D" w14:textId="77777777" w:rsidR="00286F63" w:rsidRPr="00286F63" w:rsidRDefault="00286F63" w:rsidP="005A7A37">
            <w:pPr>
              <w:keepNext/>
              <w:keepLines/>
              <w:jc w:val="center"/>
              <w:rPr>
                <w:rFonts w:ascii="Calibri" w:hAnsi="Calibri" w:cs="Calibri"/>
                <w:color w:val="000000"/>
                <w:lang w:eastAsia="en-GB"/>
              </w:rPr>
            </w:pPr>
            <w:r w:rsidRPr="00286F63">
              <w:rPr>
                <w:rFonts w:ascii="Calibri" w:hAnsi="Calibri" w:cs="Calibri"/>
                <w:color w:val="000000"/>
                <w:lang w:eastAsia="en-GB"/>
              </w:rPr>
              <w:t> </w:t>
            </w:r>
          </w:p>
        </w:tc>
        <w:tc>
          <w:tcPr>
            <w:tcW w:w="0" w:type="auto"/>
            <w:gridSpan w:val="3"/>
            <w:tcBorders>
              <w:top w:val="single" w:sz="8" w:space="0" w:color="auto"/>
              <w:left w:val="nil"/>
              <w:bottom w:val="single" w:sz="4" w:space="0" w:color="auto"/>
              <w:right w:val="single" w:sz="8" w:space="0" w:color="000000"/>
            </w:tcBorders>
            <w:shd w:val="clear" w:color="auto" w:fill="auto"/>
            <w:noWrap/>
            <w:vAlign w:val="bottom"/>
            <w:hideMark/>
          </w:tcPr>
          <w:p w14:paraId="1807BC30" w14:textId="77777777" w:rsidR="00286F63" w:rsidRPr="00286F63" w:rsidRDefault="00286F63" w:rsidP="005A7A37">
            <w:pPr>
              <w:keepNext/>
              <w:keepLines/>
              <w:jc w:val="center"/>
              <w:rPr>
                <w:rFonts w:ascii="Calibri" w:hAnsi="Calibri" w:cs="Calibri"/>
                <w:b/>
                <w:bCs/>
                <w:color w:val="000000"/>
                <w:lang w:eastAsia="en-GB"/>
              </w:rPr>
            </w:pPr>
            <w:r w:rsidRPr="00286F63">
              <w:rPr>
                <w:rFonts w:ascii="Calibri" w:hAnsi="Calibri" w:cs="Calibri"/>
                <w:b/>
                <w:bCs/>
                <w:color w:val="000000"/>
                <w:lang w:eastAsia="en-GB"/>
              </w:rPr>
              <w:t>£thousands</w:t>
            </w:r>
          </w:p>
        </w:tc>
      </w:tr>
      <w:tr w:rsidR="00286F63" w:rsidRPr="00286F63" w14:paraId="38113BA8" w14:textId="77777777" w:rsidTr="00803DAC">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E6D544" w14:textId="77777777" w:rsidR="00286F63" w:rsidRPr="00286F63" w:rsidRDefault="00286F63" w:rsidP="005A7A37">
            <w:pPr>
              <w:keepNext/>
              <w:keepLines/>
              <w:rPr>
                <w:rFonts w:ascii="Calibri" w:hAnsi="Calibri" w:cs="Calibri"/>
                <w:color w:val="000000"/>
                <w:lang w:eastAsia="en-GB"/>
              </w:rPr>
            </w:pPr>
          </w:p>
        </w:tc>
        <w:tc>
          <w:tcPr>
            <w:tcW w:w="0" w:type="auto"/>
            <w:tcBorders>
              <w:top w:val="nil"/>
              <w:left w:val="nil"/>
              <w:bottom w:val="single" w:sz="8" w:space="0" w:color="auto"/>
              <w:right w:val="single" w:sz="4" w:space="0" w:color="auto"/>
            </w:tcBorders>
            <w:shd w:val="clear" w:color="auto" w:fill="auto"/>
            <w:noWrap/>
            <w:vAlign w:val="bottom"/>
            <w:hideMark/>
          </w:tcPr>
          <w:p w14:paraId="7E9070EF" w14:textId="77777777" w:rsidR="00286F63" w:rsidRPr="00286F63" w:rsidRDefault="00286F63" w:rsidP="005A7A37">
            <w:pPr>
              <w:keepNext/>
              <w:keepLines/>
              <w:jc w:val="right"/>
              <w:rPr>
                <w:rFonts w:ascii="Calibri" w:hAnsi="Calibri" w:cs="Calibri"/>
                <w:b/>
                <w:bCs/>
                <w:color w:val="000000"/>
                <w:lang w:eastAsia="en-GB"/>
              </w:rPr>
            </w:pPr>
            <w:r w:rsidRPr="00286F63">
              <w:rPr>
                <w:rFonts w:ascii="Calibri" w:hAnsi="Calibri" w:cs="Calibri"/>
                <w:b/>
                <w:bCs/>
                <w:color w:val="000000"/>
                <w:lang w:eastAsia="en-GB"/>
              </w:rPr>
              <w:t>Low</w:t>
            </w:r>
          </w:p>
        </w:tc>
        <w:tc>
          <w:tcPr>
            <w:tcW w:w="0" w:type="auto"/>
            <w:tcBorders>
              <w:top w:val="nil"/>
              <w:left w:val="nil"/>
              <w:bottom w:val="single" w:sz="8" w:space="0" w:color="auto"/>
              <w:right w:val="single" w:sz="4" w:space="0" w:color="auto"/>
            </w:tcBorders>
            <w:shd w:val="clear" w:color="auto" w:fill="auto"/>
            <w:noWrap/>
            <w:vAlign w:val="bottom"/>
            <w:hideMark/>
          </w:tcPr>
          <w:p w14:paraId="06497BDC" w14:textId="77777777" w:rsidR="00286F63" w:rsidRPr="00286F63" w:rsidRDefault="00286F63" w:rsidP="005A7A37">
            <w:pPr>
              <w:keepNext/>
              <w:keepLines/>
              <w:jc w:val="right"/>
              <w:rPr>
                <w:rFonts w:ascii="Calibri" w:hAnsi="Calibri" w:cs="Calibri"/>
                <w:b/>
                <w:bCs/>
                <w:color w:val="000000"/>
                <w:lang w:eastAsia="en-GB"/>
              </w:rPr>
            </w:pPr>
            <w:r w:rsidRPr="00286F63">
              <w:rPr>
                <w:rFonts w:ascii="Calibri" w:hAnsi="Calibri" w:cs="Calibri"/>
                <w:b/>
                <w:bCs/>
                <w:color w:val="000000"/>
                <w:lang w:eastAsia="en-GB"/>
              </w:rPr>
              <w:t>Mid</w:t>
            </w:r>
          </w:p>
        </w:tc>
        <w:tc>
          <w:tcPr>
            <w:tcW w:w="0" w:type="auto"/>
            <w:tcBorders>
              <w:top w:val="nil"/>
              <w:left w:val="nil"/>
              <w:bottom w:val="single" w:sz="8" w:space="0" w:color="auto"/>
              <w:right w:val="single" w:sz="8" w:space="0" w:color="auto"/>
            </w:tcBorders>
            <w:shd w:val="clear" w:color="auto" w:fill="auto"/>
            <w:noWrap/>
            <w:vAlign w:val="bottom"/>
            <w:hideMark/>
          </w:tcPr>
          <w:p w14:paraId="4C21644A" w14:textId="77777777" w:rsidR="00286F63" w:rsidRPr="00286F63" w:rsidRDefault="00286F63" w:rsidP="005A7A37">
            <w:pPr>
              <w:keepNext/>
              <w:keepLines/>
              <w:jc w:val="right"/>
              <w:rPr>
                <w:rFonts w:ascii="Calibri" w:hAnsi="Calibri" w:cs="Calibri"/>
                <w:b/>
                <w:bCs/>
                <w:color w:val="000000"/>
                <w:lang w:eastAsia="en-GB"/>
              </w:rPr>
            </w:pPr>
            <w:r w:rsidRPr="00286F63">
              <w:rPr>
                <w:rFonts w:ascii="Calibri" w:hAnsi="Calibri" w:cs="Calibri"/>
                <w:b/>
                <w:bCs/>
                <w:color w:val="000000"/>
                <w:lang w:eastAsia="en-GB"/>
              </w:rPr>
              <w:t>High</w:t>
            </w:r>
          </w:p>
        </w:tc>
      </w:tr>
      <w:tr w:rsidR="00286F63" w:rsidRPr="00286F63" w14:paraId="6A38D098" w14:textId="77777777" w:rsidTr="00803DAC">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082A6E88" w14:textId="77777777" w:rsidR="00286F63" w:rsidRPr="00286F63" w:rsidRDefault="00286F63" w:rsidP="005A7A37">
            <w:pPr>
              <w:keepNext/>
              <w:keepLines/>
              <w:ind w:firstLineChars="100" w:firstLine="240"/>
              <w:rPr>
                <w:rFonts w:ascii="Calibri" w:hAnsi="Calibri" w:cs="Calibri"/>
                <w:color w:val="000000"/>
                <w:lang w:eastAsia="en-GB"/>
              </w:rPr>
            </w:pPr>
            <w:r w:rsidRPr="00286F63">
              <w:rPr>
                <w:rFonts w:ascii="Calibri" w:hAnsi="Calibri" w:cs="Calibri"/>
                <w:color w:val="000000"/>
                <w:lang w:eastAsia="en-GB"/>
              </w:rPr>
              <w:t>Additional test costs</w:t>
            </w:r>
          </w:p>
        </w:tc>
        <w:tc>
          <w:tcPr>
            <w:tcW w:w="0" w:type="auto"/>
            <w:tcBorders>
              <w:top w:val="nil"/>
              <w:left w:val="nil"/>
              <w:bottom w:val="single" w:sz="4" w:space="0" w:color="auto"/>
              <w:right w:val="single" w:sz="4" w:space="0" w:color="auto"/>
            </w:tcBorders>
            <w:shd w:val="clear" w:color="auto" w:fill="auto"/>
            <w:noWrap/>
            <w:vAlign w:val="bottom"/>
            <w:hideMark/>
          </w:tcPr>
          <w:p w14:paraId="5EDF0A5B" w14:textId="77777777" w:rsidR="00286F63" w:rsidRPr="00286F63" w:rsidRDefault="00286F63" w:rsidP="005A7A37">
            <w:pPr>
              <w:keepNext/>
              <w:keepLines/>
              <w:jc w:val="right"/>
              <w:rPr>
                <w:rFonts w:ascii="Calibri" w:hAnsi="Calibri" w:cs="Calibri"/>
                <w:color w:val="000000"/>
                <w:lang w:eastAsia="en-GB"/>
              </w:rPr>
            </w:pPr>
            <w:r w:rsidRPr="00286F63">
              <w:rPr>
                <w:rFonts w:ascii="Calibri" w:hAnsi="Calibri" w:cs="Calibri"/>
                <w:color w:val="000000"/>
                <w:lang w:eastAsia="en-GB"/>
              </w:rPr>
              <w:t>£770</w:t>
            </w:r>
          </w:p>
        </w:tc>
        <w:tc>
          <w:tcPr>
            <w:tcW w:w="0" w:type="auto"/>
            <w:tcBorders>
              <w:top w:val="nil"/>
              <w:left w:val="nil"/>
              <w:bottom w:val="single" w:sz="4" w:space="0" w:color="auto"/>
              <w:right w:val="single" w:sz="4" w:space="0" w:color="auto"/>
            </w:tcBorders>
            <w:shd w:val="clear" w:color="auto" w:fill="auto"/>
            <w:noWrap/>
            <w:vAlign w:val="bottom"/>
            <w:hideMark/>
          </w:tcPr>
          <w:p w14:paraId="2D9D32AE" w14:textId="77777777" w:rsidR="00286F63" w:rsidRPr="00286F63" w:rsidRDefault="00286F63" w:rsidP="005A7A37">
            <w:pPr>
              <w:keepNext/>
              <w:keepLines/>
              <w:jc w:val="right"/>
              <w:rPr>
                <w:rFonts w:ascii="Calibri" w:hAnsi="Calibri" w:cs="Calibri"/>
                <w:color w:val="000000"/>
                <w:lang w:eastAsia="en-GB"/>
              </w:rPr>
            </w:pPr>
            <w:r w:rsidRPr="00286F63">
              <w:rPr>
                <w:rFonts w:ascii="Calibri" w:hAnsi="Calibri" w:cs="Calibri"/>
                <w:color w:val="000000"/>
                <w:lang w:eastAsia="en-GB"/>
              </w:rPr>
              <w:t>£2,900</w:t>
            </w:r>
          </w:p>
        </w:tc>
        <w:tc>
          <w:tcPr>
            <w:tcW w:w="0" w:type="auto"/>
            <w:tcBorders>
              <w:top w:val="nil"/>
              <w:left w:val="nil"/>
              <w:bottom w:val="single" w:sz="4" w:space="0" w:color="auto"/>
              <w:right w:val="single" w:sz="8" w:space="0" w:color="auto"/>
            </w:tcBorders>
            <w:shd w:val="clear" w:color="auto" w:fill="auto"/>
            <w:noWrap/>
            <w:vAlign w:val="bottom"/>
            <w:hideMark/>
          </w:tcPr>
          <w:p w14:paraId="02AE0D17" w14:textId="77777777" w:rsidR="00286F63" w:rsidRPr="00286F63" w:rsidRDefault="00286F63" w:rsidP="005A7A37">
            <w:pPr>
              <w:keepNext/>
              <w:keepLines/>
              <w:jc w:val="right"/>
              <w:rPr>
                <w:rFonts w:ascii="Calibri" w:hAnsi="Calibri" w:cs="Calibri"/>
                <w:color w:val="000000"/>
                <w:lang w:eastAsia="en-GB"/>
              </w:rPr>
            </w:pPr>
            <w:r w:rsidRPr="00286F63">
              <w:rPr>
                <w:rFonts w:ascii="Calibri" w:hAnsi="Calibri" w:cs="Calibri"/>
                <w:color w:val="000000"/>
                <w:lang w:eastAsia="en-GB"/>
              </w:rPr>
              <w:t>£5,100</w:t>
            </w:r>
          </w:p>
        </w:tc>
      </w:tr>
      <w:tr w:rsidR="00286F63" w:rsidRPr="00286F63" w14:paraId="3A0B3239" w14:textId="77777777" w:rsidTr="00803DAC">
        <w:trPr>
          <w:trHeight w:val="315"/>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14:paraId="20A73BA1" w14:textId="77777777" w:rsidR="00286F63" w:rsidRPr="00286F63" w:rsidRDefault="00286F63" w:rsidP="005A7A37">
            <w:pPr>
              <w:keepNext/>
              <w:keepLines/>
              <w:ind w:firstLineChars="100" w:firstLine="240"/>
              <w:rPr>
                <w:rFonts w:ascii="Calibri" w:hAnsi="Calibri" w:cs="Calibri"/>
                <w:color w:val="000000"/>
                <w:lang w:eastAsia="en-GB"/>
              </w:rPr>
            </w:pPr>
            <w:r w:rsidRPr="00286F63">
              <w:rPr>
                <w:rFonts w:ascii="Calibri" w:hAnsi="Calibri" w:cs="Calibri"/>
                <w:color w:val="000000"/>
                <w:lang w:eastAsia="en-GB"/>
              </w:rPr>
              <w:t>Familiarisation</w:t>
            </w:r>
          </w:p>
        </w:tc>
        <w:tc>
          <w:tcPr>
            <w:tcW w:w="0" w:type="auto"/>
            <w:tcBorders>
              <w:top w:val="nil"/>
              <w:left w:val="nil"/>
              <w:bottom w:val="single" w:sz="4" w:space="0" w:color="auto"/>
              <w:right w:val="single" w:sz="4" w:space="0" w:color="auto"/>
            </w:tcBorders>
            <w:shd w:val="clear" w:color="auto" w:fill="auto"/>
            <w:noWrap/>
            <w:vAlign w:val="bottom"/>
            <w:hideMark/>
          </w:tcPr>
          <w:p w14:paraId="4AA742E4" w14:textId="77777777" w:rsidR="00286F63" w:rsidRPr="00286F63" w:rsidRDefault="00286F63" w:rsidP="005A7A37">
            <w:pPr>
              <w:keepNext/>
              <w:keepLines/>
              <w:jc w:val="right"/>
              <w:rPr>
                <w:rFonts w:ascii="Calibri" w:hAnsi="Calibri" w:cs="Calibri"/>
                <w:color w:val="000000"/>
                <w:lang w:eastAsia="en-GB"/>
              </w:rPr>
            </w:pPr>
            <w:r w:rsidRPr="00286F63">
              <w:rPr>
                <w:rFonts w:ascii="Calibri" w:hAnsi="Calibri" w:cs="Calibri"/>
                <w:color w:val="000000"/>
                <w:lang w:eastAsia="en-GB"/>
              </w:rPr>
              <w:t>£150</w:t>
            </w:r>
          </w:p>
        </w:tc>
        <w:tc>
          <w:tcPr>
            <w:tcW w:w="0" w:type="auto"/>
            <w:tcBorders>
              <w:top w:val="nil"/>
              <w:left w:val="nil"/>
              <w:bottom w:val="single" w:sz="4" w:space="0" w:color="auto"/>
              <w:right w:val="single" w:sz="4" w:space="0" w:color="auto"/>
            </w:tcBorders>
            <w:shd w:val="clear" w:color="auto" w:fill="auto"/>
            <w:noWrap/>
            <w:vAlign w:val="bottom"/>
            <w:hideMark/>
          </w:tcPr>
          <w:p w14:paraId="0DBDEF89" w14:textId="77777777" w:rsidR="00286F63" w:rsidRPr="00286F63" w:rsidRDefault="00286F63" w:rsidP="005A7A37">
            <w:pPr>
              <w:keepNext/>
              <w:keepLines/>
              <w:jc w:val="right"/>
              <w:rPr>
                <w:rFonts w:ascii="Calibri" w:hAnsi="Calibri" w:cs="Calibri"/>
                <w:color w:val="000000"/>
                <w:lang w:eastAsia="en-GB"/>
              </w:rPr>
            </w:pPr>
            <w:r w:rsidRPr="00286F63">
              <w:rPr>
                <w:rFonts w:ascii="Calibri" w:hAnsi="Calibri" w:cs="Calibri"/>
                <w:color w:val="000000"/>
                <w:lang w:eastAsia="en-GB"/>
              </w:rPr>
              <w:t>£290</w:t>
            </w:r>
          </w:p>
        </w:tc>
        <w:tc>
          <w:tcPr>
            <w:tcW w:w="0" w:type="auto"/>
            <w:tcBorders>
              <w:top w:val="nil"/>
              <w:left w:val="nil"/>
              <w:bottom w:val="single" w:sz="4" w:space="0" w:color="auto"/>
              <w:right w:val="single" w:sz="8" w:space="0" w:color="auto"/>
            </w:tcBorders>
            <w:shd w:val="clear" w:color="auto" w:fill="auto"/>
            <w:noWrap/>
            <w:vAlign w:val="bottom"/>
            <w:hideMark/>
          </w:tcPr>
          <w:p w14:paraId="4A9B11EB" w14:textId="77777777" w:rsidR="00286F63" w:rsidRPr="00286F63" w:rsidRDefault="00286F63" w:rsidP="005A7A37">
            <w:pPr>
              <w:keepNext/>
              <w:keepLines/>
              <w:jc w:val="right"/>
              <w:rPr>
                <w:rFonts w:ascii="Calibri" w:hAnsi="Calibri" w:cs="Calibri"/>
                <w:color w:val="000000"/>
                <w:lang w:eastAsia="en-GB"/>
              </w:rPr>
            </w:pPr>
            <w:r w:rsidRPr="00286F63">
              <w:rPr>
                <w:rFonts w:ascii="Calibri" w:hAnsi="Calibri" w:cs="Calibri"/>
                <w:color w:val="000000"/>
                <w:lang w:eastAsia="en-GB"/>
              </w:rPr>
              <w:t>£440</w:t>
            </w:r>
          </w:p>
        </w:tc>
      </w:tr>
      <w:tr w:rsidR="00286F63" w:rsidRPr="00286F63" w14:paraId="1A3E640B" w14:textId="77777777" w:rsidTr="00803DAC">
        <w:trPr>
          <w:trHeight w:val="315"/>
        </w:trPr>
        <w:tc>
          <w:tcPr>
            <w:tcW w:w="0" w:type="auto"/>
            <w:tcBorders>
              <w:top w:val="single" w:sz="8" w:space="0" w:color="auto"/>
              <w:left w:val="single" w:sz="8" w:space="0" w:color="auto"/>
              <w:bottom w:val="single" w:sz="8" w:space="0" w:color="auto"/>
              <w:right w:val="single" w:sz="8" w:space="0" w:color="auto"/>
            </w:tcBorders>
            <w:shd w:val="clear" w:color="000000" w:fill="000000"/>
            <w:noWrap/>
            <w:vAlign w:val="bottom"/>
            <w:hideMark/>
          </w:tcPr>
          <w:p w14:paraId="5A9283FB" w14:textId="77777777" w:rsidR="00286F63" w:rsidRPr="00286F63" w:rsidRDefault="00286F63" w:rsidP="00803DAC">
            <w:pPr>
              <w:keepNext/>
              <w:keepLines/>
              <w:rPr>
                <w:rFonts w:ascii="Calibri" w:hAnsi="Calibri" w:cs="Calibri"/>
                <w:b/>
                <w:bCs/>
                <w:color w:val="FFFFFF"/>
                <w:lang w:eastAsia="en-GB"/>
              </w:rPr>
            </w:pPr>
            <w:r w:rsidRPr="00286F63">
              <w:rPr>
                <w:rFonts w:ascii="Calibri" w:hAnsi="Calibri" w:cs="Calibri"/>
                <w:b/>
                <w:bCs/>
                <w:color w:val="FFFFFF"/>
                <w:lang w:eastAsia="en-GB"/>
              </w:rPr>
              <w:t>Total</w:t>
            </w:r>
          </w:p>
        </w:tc>
        <w:tc>
          <w:tcPr>
            <w:tcW w:w="0" w:type="auto"/>
            <w:tcBorders>
              <w:top w:val="single" w:sz="8" w:space="0" w:color="auto"/>
              <w:left w:val="nil"/>
              <w:bottom w:val="single" w:sz="8" w:space="0" w:color="auto"/>
              <w:right w:val="single" w:sz="4" w:space="0" w:color="auto"/>
            </w:tcBorders>
            <w:shd w:val="clear" w:color="000000" w:fill="000000"/>
            <w:noWrap/>
            <w:vAlign w:val="bottom"/>
            <w:hideMark/>
          </w:tcPr>
          <w:p w14:paraId="41DE14C4" w14:textId="77777777" w:rsidR="00286F63" w:rsidRPr="00286F63" w:rsidRDefault="00286F63" w:rsidP="00803DAC">
            <w:pPr>
              <w:keepNext/>
              <w:keepLines/>
              <w:jc w:val="right"/>
              <w:rPr>
                <w:rFonts w:ascii="Calibri" w:hAnsi="Calibri" w:cs="Calibri"/>
                <w:b/>
                <w:bCs/>
                <w:color w:val="FFFFFF"/>
                <w:lang w:eastAsia="en-GB"/>
              </w:rPr>
            </w:pPr>
            <w:r w:rsidRPr="00286F63">
              <w:rPr>
                <w:rFonts w:ascii="Calibri" w:hAnsi="Calibri" w:cs="Calibri"/>
                <w:b/>
                <w:bCs/>
                <w:color w:val="FFFFFF"/>
                <w:lang w:eastAsia="en-GB"/>
              </w:rPr>
              <w:t>£920</w:t>
            </w:r>
          </w:p>
        </w:tc>
        <w:tc>
          <w:tcPr>
            <w:tcW w:w="0" w:type="auto"/>
            <w:tcBorders>
              <w:top w:val="single" w:sz="8" w:space="0" w:color="auto"/>
              <w:left w:val="nil"/>
              <w:bottom w:val="single" w:sz="8" w:space="0" w:color="auto"/>
              <w:right w:val="single" w:sz="4" w:space="0" w:color="auto"/>
            </w:tcBorders>
            <w:shd w:val="clear" w:color="000000" w:fill="000000"/>
            <w:noWrap/>
            <w:vAlign w:val="bottom"/>
            <w:hideMark/>
          </w:tcPr>
          <w:p w14:paraId="7FCF8235" w14:textId="77777777" w:rsidR="00286F63" w:rsidRPr="00286F63" w:rsidRDefault="00286F63" w:rsidP="00803DAC">
            <w:pPr>
              <w:keepNext/>
              <w:keepLines/>
              <w:jc w:val="right"/>
              <w:rPr>
                <w:rFonts w:ascii="Calibri" w:hAnsi="Calibri" w:cs="Calibri"/>
                <w:b/>
                <w:bCs/>
                <w:color w:val="FFFFFF"/>
                <w:lang w:eastAsia="en-GB"/>
              </w:rPr>
            </w:pPr>
            <w:r w:rsidRPr="00286F63">
              <w:rPr>
                <w:rFonts w:ascii="Calibri" w:hAnsi="Calibri" w:cs="Calibri"/>
                <w:b/>
                <w:bCs/>
                <w:color w:val="FFFFFF"/>
                <w:lang w:eastAsia="en-GB"/>
              </w:rPr>
              <w:t>£3,200</w:t>
            </w:r>
          </w:p>
        </w:tc>
        <w:tc>
          <w:tcPr>
            <w:tcW w:w="0" w:type="auto"/>
            <w:tcBorders>
              <w:top w:val="single" w:sz="8" w:space="0" w:color="auto"/>
              <w:left w:val="nil"/>
              <w:bottom w:val="single" w:sz="8" w:space="0" w:color="auto"/>
              <w:right w:val="single" w:sz="8" w:space="0" w:color="auto"/>
            </w:tcBorders>
            <w:shd w:val="clear" w:color="000000" w:fill="000000"/>
            <w:noWrap/>
            <w:vAlign w:val="bottom"/>
            <w:hideMark/>
          </w:tcPr>
          <w:p w14:paraId="56C337BE" w14:textId="77777777" w:rsidR="00286F63" w:rsidRPr="00286F63" w:rsidRDefault="00286F63" w:rsidP="00803DAC">
            <w:pPr>
              <w:keepNext/>
              <w:keepLines/>
              <w:jc w:val="right"/>
              <w:rPr>
                <w:rFonts w:ascii="Calibri" w:hAnsi="Calibri" w:cs="Calibri"/>
                <w:b/>
                <w:bCs/>
                <w:color w:val="FFFFFF"/>
                <w:lang w:eastAsia="en-GB"/>
              </w:rPr>
            </w:pPr>
            <w:r w:rsidRPr="00286F63">
              <w:rPr>
                <w:rFonts w:ascii="Calibri" w:hAnsi="Calibri" w:cs="Calibri"/>
                <w:b/>
                <w:bCs/>
                <w:color w:val="FFFFFF"/>
                <w:lang w:eastAsia="en-GB"/>
              </w:rPr>
              <w:t>£5,600</w:t>
            </w:r>
          </w:p>
        </w:tc>
      </w:tr>
    </w:tbl>
    <w:p w14:paraId="10C30535" w14:textId="77777777" w:rsidR="005A7A37" w:rsidRPr="007528E6" w:rsidRDefault="005A7A37" w:rsidP="00803DAC">
      <w:pPr>
        <w:keepNext/>
        <w:keepLines/>
        <w:rPr>
          <w:sz w:val="22"/>
          <w:szCs w:val="22"/>
          <w:lang w:eastAsia="en-GB"/>
        </w:rPr>
      </w:pPr>
      <w:r w:rsidRPr="007528E6">
        <w:rPr>
          <w:b/>
          <w:bCs/>
          <w:sz w:val="22"/>
          <w:szCs w:val="22"/>
          <w:lang w:eastAsia="en-GB"/>
        </w:rPr>
        <w:t>Note:</w:t>
      </w:r>
      <w:r w:rsidRPr="007528E6">
        <w:rPr>
          <w:sz w:val="22"/>
          <w:szCs w:val="22"/>
          <w:lang w:eastAsia="en-GB"/>
        </w:rPr>
        <w:t xml:space="preserve"> totals may appear not to sum due to rounding</w:t>
      </w:r>
    </w:p>
    <w:p w14:paraId="7945EB73" w14:textId="77777777" w:rsidR="00286F63" w:rsidRDefault="00286F63" w:rsidP="00286F63">
      <w:pPr>
        <w:jc w:val="both"/>
        <w:rPr>
          <w:b/>
          <w:i/>
          <w:lang w:eastAsia="en-GB"/>
        </w:rPr>
      </w:pPr>
    </w:p>
    <w:p w14:paraId="2885CF8B" w14:textId="3BF47549" w:rsidR="00E636AA" w:rsidRPr="00F008FD" w:rsidRDefault="70B60884"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We will seek to develop these estimates during consultation, exploring the </w:t>
      </w:r>
      <w:r w:rsidR="24A5BFAF" w:rsidRPr="00F008FD">
        <w:rPr>
          <w:rFonts w:eastAsia="Arial" w:cs="Arial"/>
          <w:sz w:val="22"/>
          <w:szCs w:val="22"/>
        </w:rPr>
        <w:t>views of</w:t>
      </w:r>
      <w:r w:rsidRPr="00F008FD">
        <w:rPr>
          <w:rFonts w:eastAsia="Arial" w:cs="Arial"/>
          <w:sz w:val="22"/>
          <w:szCs w:val="22"/>
        </w:rPr>
        <w:t xml:space="preserve"> industry on the test costs we have estimated</w:t>
      </w:r>
      <w:r w:rsidR="24A5BFAF" w:rsidRPr="00F008FD">
        <w:rPr>
          <w:rFonts w:eastAsia="Arial" w:cs="Arial"/>
          <w:sz w:val="22"/>
          <w:szCs w:val="22"/>
        </w:rPr>
        <w:t xml:space="preserve">; and to explore methods to triangulate and refine the estimates of the proportion of </w:t>
      </w:r>
      <w:r w:rsidR="5C320D6F" w:rsidRPr="00F008FD">
        <w:rPr>
          <w:rFonts w:eastAsia="Arial" w:cs="Arial"/>
          <w:sz w:val="22"/>
          <w:szCs w:val="22"/>
        </w:rPr>
        <w:t xml:space="preserve">HSE dossiers that </w:t>
      </w:r>
      <w:r w:rsidR="00333749">
        <w:rPr>
          <w:rFonts w:eastAsia="Arial" w:cs="Arial"/>
          <w:sz w:val="22"/>
          <w:szCs w:val="22"/>
        </w:rPr>
        <w:t>should</w:t>
      </w:r>
      <w:r w:rsidR="00333749" w:rsidRPr="00F008FD">
        <w:rPr>
          <w:rFonts w:eastAsia="Arial" w:cs="Arial"/>
          <w:sz w:val="22"/>
          <w:szCs w:val="22"/>
        </w:rPr>
        <w:t xml:space="preserve"> </w:t>
      </w:r>
      <w:r w:rsidR="5C320D6F" w:rsidRPr="00F008FD">
        <w:rPr>
          <w:rFonts w:eastAsia="Arial" w:cs="Arial"/>
          <w:sz w:val="22"/>
          <w:szCs w:val="22"/>
        </w:rPr>
        <w:t>incur no additional test costs due to baseline EU complianc</w:t>
      </w:r>
      <w:r w:rsidR="4004C405" w:rsidRPr="00F008FD">
        <w:rPr>
          <w:rFonts w:eastAsia="Arial" w:cs="Arial"/>
          <w:sz w:val="22"/>
          <w:szCs w:val="22"/>
        </w:rPr>
        <w:t>e</w:t>
      </w:r>
      <w:r w:rsidR="5C320D6F" w:rsidRPr="00F008FD">
        <w:rPr>
          <w:rFonts w:eastAsia="Arial" w:cs="Arial"/>
          <w:sz w:val="22"/>
          <w:szCs w:val="22"/>
        </w:rPr>
        <w:t xml:space="preserve">. </w:t>
      </w:r>
    </w:p>
    <w:p w14:paraId="12567A4A" w14:textId="1631A62D" w:rsidR="00D64409" w:rsidRPr="00D769D0" w:rsidRDefault="00D64409" w:rsidP="00835811">
      <w:pPr>
        <w:pStyle w:val="Heading2"/>
      </w:pPr>
      <w:r>
        <w:t>Risks and assumptions</w:t>
      </w:r>
    </w:p>
    <w:p w14:paraId="1C6AB290" w14:textId="481E277C" w:rsidR="006656EB" w:rsidRPr="00F008FD" w:rsidRDefault="5C4D54AA"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In the analysis, we have assumed that recent observation of the numbers of submissions will serve as a useful guide to </w:t>
      </w:r>
      <w:r w:rsidR="3543B737" w:rsidRPr="00F008FD">
        <w:rPr>
          <w:rFonts w:eastAsia="Arial" w:cs="Arial"/>
          <w:sz w:val="22"/>
          <w:szCs w:val="22"/>
        </w:rPr>
        <w:t xml:space="preserve">submission numbers over the appraisal period of this assessment. </w:t>
      </w:r>
      <w:r w:rsidR="6775725C" w:rsidRPr="00F008FD">
        <w:rPr>
          <w:rFonts w:eastAsia="Arial" w:cs="Arial"/>
          <w:sz w:val="22"/>
          <w:szCs w:val="22"/>
        </w:rPr>
        <w:t>In reality</w:t>
      </w:r>
      <w:r w:rsidR="3D040D11" w:rsidRPr="00F008FD">
        <w:rPr>
          <w:rFonts w:eastAsia="Arial" w:cs="Arial"/>
          <w:sz w:val="22"/>
          <w:szCs w:val="22"/>
        </w:rPr>
        <w:t xml:space="preserve">, future figures could vary in unpredictable ways, such as due to long-term market changes, such as Brexit; and </w:t>
      </w:r>
      <w:r w:rsidR="3B6A46B3" w:rsidRPr="00F008FD">
        <w:rPr>
          <w:rFonts w:eastAsia="Arial" w:cs="Arial"/>
          <w:sz w:val="22"/>
          <w:szCs w:val="22"/>
        </w:rPr>
        <w:t xml:space="preserve">shorter-term market shifts, such as changes in </w:t>
      </w:r>
      <w:r w:rsidR="67A9E4C3" w:rsidRPr="00F008FD">
        <w:rPr>
          <w:rFonts w:eastAsia="Arial" w:cs="Arial"/>
          <w:sz w:val="22"/>
          <w:szCs w:val="22"/>
        </w:rPr>
        <w:t xml:space="preserve">product uses due to the pandemic. </w:t>
      </w:r>
    </w:p>
    <w:p w14:paraId="008B04B8" w14:textId="77777777" w:rsidR="00F322EA" w:rsidRPr="00F008FD" w:rsidRDefault="00F322EA" w:rsidP="00F008FD">
      <w:pPr>
        <w:pStyle w:val="ListParagraph"/>
        <w:spacing w:after="120"/>
        <w:ind w:left="473"/>
        <w:rPr>
          <w:rFonts w:eastAsia="Arial" w:cs="Arial"/>
          <w:sz w:val="22"/>
          <w:szCs w:val="22"/>
        </w:rPr>
      </w:pPr>
    </w:p>
    <w:p w14:paraId="1A90B4B6" w14:textId="7560BC72" w:rsidR="00F322EA" w:rsidRPr="00F008FD" w:rsidRDefault="67A9E4C3"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Estimates </w:t>
      </w:r>
      <w:r w:rsidR="32A20681" w:rsidRPr="00F008FD">
        <w:rPr>
          <w:rFonts w:eastAsia="Arial" w:cs="Arial"/>
          <w:sz w:val="22"/>
          <w:szCs w:val="22"/>
        </w:rPr>
        <w:t>of</w:t>
      </w:r>
      <w:r w:rsidRPr="00F008FD">
        <w:rPr>
          <w:rFonts w:eastAsia="Arial" w:cs="Arial"/>
          <w:sz w:val="22"/>
          <w:szCs w:val="22"/>
        </w:rPr>
        <w:t xml:space="preserve"> test costs</w:t>
      </w:r>
      <w:r w:rsidR="32A20681" w:rsidRPr="00F008FD">
        <w:rPr>
          <w:rFonts w:eastAsia="Arial" w:cs="Arial"/>
          <w:sz w:val="22"/>
          <w:szCs w:val="22"/>
        </w:rPr>
        <w:t xml:space="preserve"> (both for the baseline and for the proposed changes) are based on best available data. We will seek to refine these estimates during consultation. </w:t>
      </w:r>
    </w:p>
    <w:p w14:paraId="3B237E90" w14:textId="77777777" w:rsidR="002932AD" w:rsidRPr="00856AC4" w:rsidRDefault="002932AD" w:rsidP="00856AC4">
      <w:pPr>
        <w:pStyle w:val="ListParagraph"/>
        <w:rPr>
          <w:rFonts w:eastAsia="Arial" w:cs="Arial"/>
          <w:sz w:val="22"/>
          <w:szCs w:val="22"/>
        </w:rPr>
      </w:pPr>
    </w:p>
    <w:p w14:paraId="4D69FCC9" w14:textId="08F8DE53" w:rsidR="71D5C268" w:rsidRDefault="71D5C268" w:rsidP="63D0B838">
      <w:pPr>
        <w:pStyle w:val="ListParagraph"/>
        <w:numPr>
          <w:ilvl w:val="0"/>
          <w:numId w:val="34"/>
        </w:numPr>
        <w:spacing w:after="120"/>
        <w:rPr>
          <w:sz w:val="22"/>
          <w:szCs w:val="22"/>
        </w:rPr>
      </w:pPr>
      <w:r w:rsidRPr="63D0B838">
        <w:rPr>
          <w:rFonts w:eastAsia="Arial" w:cs="Arial"/>
          <w:sz w:val="22"/>
          <w:szCs w:val="22"/>
        </w:rPr>
        <w:t xml:space="preserve">Limitations of the social research analysis of published sources </w:t>
      </w:r>
      <w:r w:rsidR="19D33BB1" w:rsidRPr="63D0B838">
        <w:rPr>
          <w:rFonts w:eastAsia="Arial" w:cs="Arial"/>
          <w:sz w:val="22"/>
          <w:szCs w:val="22"/>
        </w:rPr>
        <w:t xml:space="preserve">and rationale for analytical decisions </w:t>
      </w:r>
      <w:r w:rsidRPr="63D0B838">
        <w:rPr>
          <w:rFonts w:eastAsia="Arial" w:cs="Arial"/>
          <w:sz w:val="22"/>
          <w:szCs w:val="22"/>
        </w:rPr>
        <w:t xml:space="preserve">are outlined in detail in Annex </w:t>
      </w:r>
      <w:r w:rsidR="00C471F2">
        <w:rPr>
          <w:rFonts w:eastAsia="Arial" w:cs="Arial"/>
          <w:sz w:val="22"/>
          <w:szCs w:val="22"/>
        </w:rPr>
        <w:t>1</w:t>
      </w:r>
      <w:r w:rsidRPr="63D0B838">
        <w:rPr>
          <w:rFonts w:eastAsia="Arial" w:cs="Arial"/>
          <w:sz w:val="22"/>
          <w:szCs w:val="22"/>
        </w:rPr>
        <w:t xml:space="preserve">. </w:t>
      </w:r>
    </w:p>
    <w:p w14:paraId="2E74660C" w14:textId="77777777" w:rsidR="007B11EE" w:rsidRDefault="007B11EE" w:rsidP="007B11EE">
      <w:pPr>
        <w:pStyle w:val="ListParagraph"/>
        <w:ind w:left="357"/>
        <w:jc w:val="both"/>
        <w:rPr>
          <w:bCs/>
          <w:i/>
          <w:iCs/>
          <w:lang w:eastAsia="en-GB"/>
        </w:rPr>
      </w:pPr>
    </w:p>
    <w:p w14:paraId="5BD7581F" w14:textId="77777777" w:rsidR="00D34F4F" w:rsidRPr="00EA4E7B" w:rsidRDefault="00D34F4F" w:rsidP="00835811">
      <w:pPr>
        <w:pStyle w:val="Heading2"/>
      </w:pPr>
      <w:r>
        <w:t>Impact on small and micro businesses</w:t>
      </w:r>
    </w:p>
    <w:p w14:paraId="4728D5BE" w14:textId="1B1FF1C3" w:rsidR="00D32D0D" w:rsidRPr="00F008FD" w:rsidRDefault="1408287C" w:rsidP="00F008FD">
      <w:pPr>
        <w:pStyle w:val="ListParagraph"/>
        <w:numPr>
          <w:ilvl w:val="0"/>
          <w:numId w:val="34"/>
        </w:numPr>
        <w:spacing w:after="120"/>
        <w:rPr>
          <w:rFonts w:eastAsia="Arial" w:cs="Arial"/>
          <w:sz w:val="22"/>
          <w:szCs w:val="22"/>
        </w:rPr>
      </w:pPr>
      <w:r w:rsidRPr="00F008FD">
        <w:rPr>
          <w:rFonts w:eastAsia="Arial" w:cs="Arial"/>
          <w:sz w:val="22"/>
          <w:szCs w:val="22"/>
        </w:rPr>
        <w:t>We do not propose to exempt small and micro businesses (</w:t>
      </w:r>
      <w:r w:rsidR="64CB56FB" w:rsidRPr="00F008FD">
        <w:rPr>
          <w:rFonts w:eastAsia="Arial" w:cs="Arial"/>
          <w:sz w:val="22"/>
          <w:szCs w:val="22"/>
        </w:rPr>
        <w:t xml:space="preserve">i.e., </w:t>
      </w:r>
      <w:r w:rsidRPr="00F008FD">
        <w:rPr>
          <w:rFonts w:eastAsia="Arial" w:cs="Arial"/>
          <w:sz w:val="22"/>
          <w:szCs w:val="22"/>
        </w:rPr>
        <w:t xml:space="preserve">those employing </w:t>
      </w:r>
      <w:r w:rsidR="64CB56FB" w:rsidRPr="00F008FD">
        <w:rPr>
          <w:rFonts w:eastAsia="Arial" w:cs="Arial"/>
          <w:sz w:val="22"/>
          <w:szCs w:val="22"/>
        </w:rPr>
        <w:t xml:space="preserve">fewer than 50 employees) from these requirements. The hazards that BPR </w:t>
      </w:r>
      <w:r w:rsidR="6B478CDE" w:rsidRPr="00F008FD">
        <w:rPr>
          <w:rFonts w:eastAsia="Arial" w:cs="Arial"/>
          <w:sz w:val="22"/>
          <w:szCs w:val="22"/>
        </w:rPr>
        <w:t xml:space="preserve">exists to regulate </w:t>
      </w:r>
      <w:r w:rsidR="5DFD95AC" w:rsidRPr="00F008FD">
        <w:rPr>
          <w:rFonts w:eastAsia="Arial" w:cs="Arial"/>
          <w:sz w:val="22"/>
          <w:szCs w:val="22"/>
        </w:rPr>
        <w:t xml:space="preserve">relate to the properties of the </w:t>
      </w:r>
      <w:r w:rsidR="33FF4652" w:rsidRPr="00F008FD">
        <w:rPr>
          <w:rFonts w:eastAsia="Arial" w:cs="Arial"/>
          <w:sz w:val="22"/>
          <w:szCs w:val="22"/>
        </w:rPr>
        <w:t xml:space="preserve">hazardous substances that manufacturers produce and these are no less hazardous for having been produced by a smaller company. </w:t>
      </w:r>
      <w:r w:rsidR="65122006" w:rsidRPr="00F008FD">
        <w:rPr>
          <w:rFonts w:eastAsia="Arial" w:cs="Arial"/>
          <w:sz w:val="22"/>
          <w:szCs w:val="22"/>
        </w:rPr>
        <w:t xml:space="preserve"> </w:t>
      </w:r>
    </w:p>
    <w:p w14:paraId="7B68765D" w14:textId="77777777" w:rsidR="00F3410D" w:rsidRPr="00F008FD" w:rsidRDefault="00F3410D" w:rsidP="00F008FD">
      <w:pPr>
        <w:pStyle w:val="ListParagraph"/>
        <w:spacing w:after="120"/>
        <w:ind w:left="473"/>
        <w:rPr>
          <w:rFonts w:eastAsia="Arial" w:cs="Arial"/>
          <w:sz w:val="22"/>
          <w:szCs w:val="22"/>
        </w:rPr>
      </w:pPr>
    </w:p>
    <w:p w14:paraId="3B3CEFD3" w14:textId="1431DAA5" w:rsidR="00E13CEC" w:rsidRPr="00F008FD" w:rsidRDefault="13BE3DDA" w:rsidP="00F008FD">
      <w:pPr>
        <w:pStyle w:val="ListParagraph"/>
        <w:numPr>
          <w:ilvl w:val="0"/>
          <w:numId w:val="34"/>
        </w:numPr>
        <w:spacing w:after="120"/>
        <w:rPr>
          <w:rFonts w:eastAsia="Arial" w:cs="Arial"/>
          <w:sz w:val="22"/>
          <w:szCs w:val="22"/>
        </w:rPr>
      </w:pPr>
      <w:r w:rsidRPr="00F008FD">
        <w:rPr>
          <w:rFonts w:eastAsia="Arial" w:cs="Arial"/>
          <w:sz w:val="22"/>
          <w:szCs w:val="22"/>
        </w:rPr>
        <w:lastRenderedPageBreak/>
        <w:t xml:space="preserve">Data on the </w:t>
      </w:r>
      <w:r w:rsidR="40FA20B5" w:rsidRPr="00F008FD">
        <w:rPr>
          <w:rFonts w:eastAsia="Arial" w:cs="Arial"/>
          <w:sz w:val="22"/>
          <w:szCs w:val="22"/>
        </w:rPr>
        <w:t xml:space="preserve">size distribution of biocidal active substance and product manufacturers is incomplete. </w:t>
      </w:r>
      <w:r w:rsidR="6DC2B599" w:rsidRPr="00F008FD">
        <w:rPr>
          <w:rFonts w:eastAsia="Arial" w:cs="Arial"/>
          <w:sz w:val="22"/>
          <w:szCs w:val="22"/>
        </w:rPr>
        <w:t>HSE understands that for m</w:t>
      </w:r>
      <w:r w:rsidR="40FA20B5" w:rsidRPr="00F008FD">
        <w:rPr>
          <w:rFonts w:eastAsia="Arial" w:cs="Arial"/>
          <w:sz w:val="22"/>
          <w:szCs w:val="22"/>
        </w:rPr>
        <w:t xml:space="preserve">any </w:t>
      </w:r>
      <w:r w:rsidR="6DC2B599" w:rsidRPr="00F008FD">
        <w:rPr>
          <w:rFonts w:eastAsia="Arial" w:cs="Arial"/>
          <w:sz w:val="22"/>
          <w:szCs w:val="22"/>
        </w:rPr>
        <w:t xml:space="preserve">such manufacturers, biocidal products could be only a small part of their production, making them hard to </w:t>
      </w:r>
      <w:r w:rsidR="2A3910A4" w:rsidRPr="00F008FD">
        <w:rPr>
          <w:rFonts w:eastAsia="Arial" w:cs="Arial"/>
          <w:sz w:val="22"/>
          <w:szCs w:val="22"/>
        </w:rPr>
        <w:t>identify</w:t>
      </w:r>
      <w:r w:rsidR="6DC2B599" w:rsidRPr="00F008FD">
        <w:rPr>
          <w:rFonts w:eastAsia="Arial" w:cs="Arial"/>
          <w:sz w:val="22"/>
          <w:szCs w:val="22"/>
        </w:rPr>
        <w:t xml:space="preserve"> </w:t>
      </w:r>
      <w:r w:rsidR="7B21E563" w:rsidRPr="00F008FD">
        <w:rPr>
          <w:rFonts w:eastAsia="Arial" w:cs="Arial"/>
          <w:sz w:val="22"/>
          <w:szCs w:val="22"/>
        </w:rPr>
        <w:t xml:space="preserve">in the published data. </w:t>
      </w:r>
      <w:r w:rsidR="14A3455F" w:rsidRPr="00F008FD">
        <w:rPr>
          <w:rFonts w:eastAsia="Arial" w:cs="Arial"/>
          <w:sz w:val="22"/>
          <w:szCs w:val="22"/>
        </w:rPr>
        <w:t xml:space="preserve">We are currently commissioning market research into the biocides industry, which we hope </w:t>
      </w:r>
      <w:r w:rsidR="004E2E6A">
        <w:rPr>
          <w:rFonts w:eastAsia="Arial" w:cs="Arial"/>
          <w:sz w:val="22"/>
          <w:szCs w:val="22"/>
        </w:rPr>
        <w:t>improves</w:t>
      </w:r>
      <w:r w:rsidR="14A3455F" w:rsidRPr="00F008FD">
        <w:rPr>
          <w:rFonts w:eastAsia="Arial" w:cs="Arial"/>
          <w:sz w:val="22"/>
          <w:szCs w:val="22"/>
        </w:rPr>
        <w:t xml:space="preserve"> the data</w:t>
      </w:r>
      <w:r w:rsidR="770C3640" w:rsidRPr="00F008FD">
        <w:rPr>
          <w:rFonts w:eastAsia="Arial" w:cs="Arial"/>
          <w:sz w:val="22"/>
          <w:szCs w:val="22"/>
        </w:rPr>
        <w:t xml:space="preserve"> – it is not currently clear whether this will be ready in time to refine these figures for the final stage impact assessment. </w:t>
      </w:r>
    </w:p>
    <w:p w14:paraId="2BC94978" w14:textId="77777777" w:rsidR="00E13CEC" w:rsidRPr="00F008FD" w:rsidRDefault="00E13CEC" w:rsidP="00F008FD">
      <w:pPr>
        <w:pStyle w:val="ListParagraph"/>
        <w:spacing w:after="120"/>
        <w:ind w:left="473"/>
        <w:rPr>
          <w:rFonts w:eastAsia="Arial" w:cs="Arial"/>
          <w:sz w:val="22"/>
          <w:szCs w:val="22"/>
        </w:rPr>
      </w:pPr>
    </w:p>
    <w:p w14:paraId="20F3CD34" w14:textId="579DAAA8" w:rsidR="00F3410D" w:rsidRPr="00F008FD" w:rsidRDefault="67924804" w:rsidP="00F008FD">
      <w:pPr>
        <w:pStyle w:val="ListParagraph"/>
        <w:numPr>
          <w:ilvl w:val="0"/>
          <w:numId w:val="34"/>
        </w:numPr>
        <w:spacing w:after="120"/>
        <w:rPr>
          <w:rFonts w:eastAsia="Arial" w:cs="Arial"/>
          <w:sz w:val="22"/>
          <w:szCs w:val="22"/>
        </w:rPr>
      </w:pPr>
      <w:r w:rsidRPr="00F008FD">
        <w:rPr>
          <w:rFonts w:eastAsia="Arial" w:cs="Arial"/>
          <w:sz w:val="22"/>
          <w:szCs w:val="22"/>
        </w:rPr>
        <w:t>According to the Interdepartmental Business Register</w:t>
      </w:r>
      <w:r w:rsidR="0F6B5D02" w:rsidRPr="00F008FD">
        <w:rPr>
          <w:rFonts w:eastAsia="Arial" w:cs="Arial"/>
          <w:sz w:val="22"/>
          <w:szCs w:val="22"/>
        </w:rPr>
        <w:t xml:space="preserve"> (IDBR)</w:t>
      </w:r>
      <w:r w:rsidR="00612F14" w:rsidRPr="00691E48">
        <w:rPr>
          <w:rFonts w:eastAsia="Arial" w:cs="Arial"/>
          <w:sz w:val="22"/>
          <w:szCs w:val="22"/>
          <w:vertAlign w:val="superscript"/>
        </w:rPr>
        <w:footnoteReference w:id="6"/>
      </w:r>
      <w:r w:rsidR="63B65FCA" w:rsidRPr="00F008FD">
        <w:rPr>
          <w:rFonts w:eastAsia="Arial" w:cs="Arial"/>
          <w:sz w:val="22"/>
          <w:szCs w:val="22"/>
        </w:rPr>
        <w:t xml:space="preserve">, </w:t>
      </w:r>
      <w:r w:rsidR="44DE745B" w:rsidRPr="00F008FD">
        <w:rPr>
          <w:rFonts w:eastAsia="Arial" w:cs="Arial"/>
          <w:sz w:val="22"/>
          <w:szCs w:val="22"/>
        </w:rPr>
        <w:t>t</w:t>
      </w:r>
      <w:r w:rsidR="63B65FCA" w:rsidRPr="00F008FD">
        <w:rPr>
          <w:rFonts w:eastAsia="Arial" w:cs="Arial"/>
          <w:sz w:val="22"/>
          <w:szCs w:val="22"/>
        </w:rPr>
        <w:t xml:space="preserve">here are 85 businesses </w:t>
      </w:r>
      <w:r w:rsidR="44DE745B" w:rsidRPr="00F008FD">
        <w:rPr>
          <w:rFonts w:eastAsia="Arial" w:cs="Arial"/>
          <w:sz w:val="22"/>
          <w:szCs w:val="22"/>
        </w:rPr>
        <w:t xml:space="preserve">in SOC code 2020 ‘Manufacture of pesticides and other agrochemical products’. This is well below the </w:t>
      </w:r>
      <w:r w:rsidR="2341B143" w:rsidRPr="00F008FD">
        <w:rPr>
          <w:rFonts w:eastAsia="Arial" w:cs="Arial"/>
          <w:sz w:val="22"/>
          <w:szCs w:val="22"/>
        </w:rPr>
        <w:t xml:space="preserve">approximately 1,140 manufacturers HSE policy estimate are in scope of these regulations (see paragraph </w:t>
      </w:r>
      <w:r w:rsidR="00DB7B04" w:rsidRPr="00F008FD">
        <w:rPr>
          <w:rFonts w:eastAsia="Arial" w:cs="Arial"/>
          <w:sz w:val="22"/>
          <w:szCs w:val="22"/>
        </w:rPr>
        <w:fldChar w:fldCharType="begin"/>
      </w:r>
      <w:r w:rsidR="00DB7B04" w:rsidRPr="00F008FD">
        <w:rPr>
          <w:rFonts w:eastAsia="Arial" w:cs="Arial"/>
          <w:sz w:val="22"/>
          <w:szCs w:val="22"/>
        </w:rPr>
        <w:instrText xml:space="preserve"> REF _Ref112059288 \r \h </w:instrText>
      </w:r>
      <w:r w:rsidR="00F008FD">
        <w:rPr>
          <w:rFonts w:eastAsia="Arial" w:cs="Arial"/>
          <w:sz w:val="22"/>
          <w:szCs w:val="22"/>
        </w:rPr>
        <w:instrText xml:space="preserve"> \* MERGEFORMAT </w:instrText>
      </w:r>
      <w:r w:rsidR="00DB7B04" w:rsidRPr="00F008FD">
        <w:rPr>
          <w:rFonts w:eastAsia="Arial" w:cs="Arial"/>
          <w:sz w:val="22"/>
          <w:szCs w:val="22"/>
        </w:rPr>
      </w:r>
      <w:r w:rsidR="00DB7B04" w:rsidRPr="00F008FD">
        <w:rPr>
          <w:rFonts w:eastAsia="Arial" w:cs="Arial"/>
          <w:sz w:val="22"/>
          <w:szCs w:val="22"/>
        </w:rPr>
        <w:fldChar w:fldCharType="separate"/>
      </w:r>
      <w:r w:rsidR="000E0375">
        <w:rPr>
          <w:rFonts w:eastAsia="Arial" w:cs="Arial"/>
          <w:sz w:val="22"/>
          <w:szCs w:val="22"/>
        </w:rPr>
        <w:t>53</w:t>
      </w:r>
      <w:r w:rsidR="00DB7B04" w:rsidRPr="00F008FD">
        <w:rPr>
          <w:rFonts w:eastAsia="Arial" w:cs="Arial"/>
          <w:sz w:val="22"/>
          <w:szCs w:val="22"/>
        </w:rPr>
        <w:fldChar w:fldCharType="end"/>
      </w:r>
      <w:r w:rsidR="2341B143" w:rsidRPr="00F008FD">
        <w:rPr>
          <w:rFonts w:eastAsia="Arial" w:cs="Arial"/>
          <w:sz w:val="22"/>
          <w:szCs w:val="22"/>
        </w:rPr>
        <w:t xml:space="preserve">). </w:t>
      </w:r>
      <w:r w:rsidR="000E0375">
        <w:rPr>
          <w:rFonts w:eastAsia="Arial" w:cs="Arial"/>
          <w:sz w:val="22"/>
          <w:szCs w:val="22"/>
        </w:rPr>
        <w:t xml:space="preserve">This could be due to not all </w:t>
      </w:r>
      <w:r w:rsidR="001C1CD3">
        <w:rPr>
          <w:rFonts w:eastAsia="Arial" w:cs="Arial"/>
          <w:sz w:val="22"/>
          <w:szCs w:val="22"/>
        </w:rPr>
        <w:t xml:space="preserve">businesses in the chemical supply chain </w:t>
      </w:r>
      <w:r w:rsidR="00D35EAF">
        <w:rPr>
          <w:rFonts w:eastAsia="Arial" w:cs="Arial"/>
          <w:sz w:val="22"/>
          <w:szCs w:val="22"/>
        </w:rPr>
        <w:t xml:space="preserve">being involved in the making and submitting of </w:t>
      </w:r>
      <w:r w:rsidR="00DB3913">
        <w:rPr>
          <w:rFonts w:eastAsia="Arial" w:cs="Arial"/>
          <w:sz w:val="22"/>
          <w:szCs w:val="22"/>
        </w:rPr>
        <w:t xml:space="preserve">submissions to </w:t>
      </w:r>
      <w:r w:rsidR="006A392A">
        <w:rPr>
          <w:rFonts w:eastAsia="Arial" w:cs="Arial"/>
          <w:sz w:val="22"/>
          <w:szCs w:val="22"/>
        </w:rPr>
        <w:t xml:space="preserve">GB BPR. </w:t>
      </w:r>
      <w:r w:rsidR="1F64F58D" w:rsidRPr="00F008FD">
        <w:rPr>
          <w:rFonts w:eastAsia="Arial" w:cs="Arial"/>
          <w:sz w:val="22"/>
          <w:szCs w:val="22"/>
        </w:rPr>
        <w:t xml:space="preserve">According to IDBR, </w:t>
      </w:r>
      <w:r w:rsidR="5256329C" w:rsidRPr="00F008FD">
        <w:rPr>
          <w:rFonts w:eastAsia="Arial" w:cs="Arial"/>
          <w:sz w:val="22"/>
          <w:szCs w:val="22"/>
        </w:rPr>
        <w:t xml:space="preserve">88% of </w:t>
      </w:r>
      <w:r w:rsidR="00B54E6C">
        <w:rPr>
          <w:rFonts w:eastAsia="Arial" w:cs="Arial"/>
          <w:sz w:val="22"/>
          <w:szCs w:val="22"/>
        </w:rPr>
        <w:t xml:space="preserve">these </w:t>
      </w:r>
      <w:r w:rsidR="5256329C" w:rsidRPr="00F008FD">
        <w:rPr>
          <w:rFonts w:eastAsia="Arial" w:cs="Arial"/>
          <w:sz w:val="22"/>
          <w:szCs w:val="22"/>
        </w:rPr>
        <w:t>businesses are small or micro.</w:t>
      </w:r>
    </w:p>
    <w:p w14:paraId="49D6FB7F" w14:textId="77777777" w:rsidR="008C2407" w:rsidRPr="00F008FD" w:rsidRDefault="008C2407" w:rsidP="00F008FD">
      <w:pPr>
        <w:pStyle w:val="ListParagraph"/>
        <w:spacing w:after="120"/>
        <w:ind w:left="473"/>
        <w:rPr>
          <w:rFonts w:eastAsia="Arial" w:cs="Arial"/>
          <w:sz w:val="22"/>
          <w:szCs w:val="22"/>
        </w:rPr>
      </w:pPr>
    </w:p>
    <w:p w14:paraId="5A0696E0" w14:textId="4E75DA09" w:rsidR="008C2407" w:rsidRPr="00F008FD" w:rsidRDefault="01F6DC20" w:rsidP="00F008FD">
      <w:pPr>
        <w:pStyle w:val="ListParagraph"/>
        <w:numPr>
          <w:ilvl w:val="0"/>
          <w:numId w:val="34"/>
        </w:numPr>
        <w:spacing w:after="120"/>
        <w:rPr>
          <w:rFonts w:eastAsia="Arial" w:cs="Arial"/>
          <w:sz w:val="22"/>
          <w:szCs w:val="22"/>
        </w:rPr>
      </w:pPr>
      <w:r w:rsidRPr="00F008FD">
        <w:rPr>
          <w:rFonts w:eastAsia="Arial" w:cs="Arial"/>
          <w:sz w:val="22"/>
          <w:szCs w:val="22"/>
        </w:rPr>
        <w:t>Looking more widely at chemical manufacturers, SOC code 20</w:t>
      </w:r>
      <w:r w:rsidR="0F6B5D02" w:rsidRPr="00F008FD">
        <w:rPr>
          <w:rFonts w:eastAsia="Arial" w:cs="Arial"/>
          <w:sz w:val="22"/>
          <w:szCs w:val="22"/>
        </w:rPr>
        <w:t xml:space="preserve"> in IDBR</w:t>
      </w:r>
      <w:r w:rsidRPr="00F008FD">
        <w:rPr>
          <w:rFonts w:eastAsia="Arial" w:cs="Arial"/>
          <w:sz w:val="22"/>
          <w:szCs w:val="22"/>
        </w:rPr>
        <w:t xml:space="preserve"> ‘Manufacture of chemical</w:t>
      </w:r>
      <w:r w:rsidR="3B526C3E" w:rsidRPr="00F008FD">
        <w:rPr>
          <w:rFonts w:eastAsia="Arial" w:cs="Arial"/>
          <w:sz w:val="22"/>
          <w:szCs w:val="22"/>
        </w:rPr>
        <w:t>s</w:t>
      </w:r>
      <w:r w:rsidRPr="00F008FD">
        <w:rPr>
          <w:rFonts w:eastAsia="Arial" w:cs="Arial"/>
          <w:sz w:val="22"/>
          <w:szCs w:val="22"/>
        </w:rPr>
        <w:t xml:space="preserve"> and </w:t>
      </w:r>
      <w:r w:rsidR="3B526C3E" w:rsidRPr="00F008FD">
        <w:rPr>
          <w:rFonts w:eastAsia="Arial" w:cs="Arial"/>
          <w:sz w:val="22"/>
          <w:szCs w:val="22"/>
        </w:rPr>
        <w:t>chemical products’ contains 3,230 businesses</w:t>
      </w:r>
      <w:r w:rsidR="5256329C" w:rsidRPr="00F008FD">
        <w:rPr>
          <w:rFonts w:eastAsia="Arial" w:cs="Arial"/>
          <w:sz w:val="22"/>
          <w:szCs w:val="22"/>
        </w:rPr>
        <w:t xml:space="preserve">; and 82% are small or micro. </w:t>
      </w:r>
      <w:r w:rsidR="1594574B" w:rsidRPr="63D0B838">
        <w:rPr>
          <w:rFonts w:eastAsia="Arial" w:cs="Arial"/>
          <w:sz w:val="22"/>
          <w:szCs w:val="22"/>
        </w:rPr>
        <w:t>Further</w:t>
      </w:r>
      <w:r w:rsidR="7993116F" w:rsidRPr="63D0B838">
        <w:rPr>
          <w:rFonts w:eastAsia="Arial" w:cs="Arial"/>
          <w:sz w:val="22"/>
          <w:szCs w:val="22"/>
        </w:rPr>
        <w:t xml:space="preserve"> social research</w:t>
      </w:r>
      <w:r w:rsidR="1594574B" w:rsidRPr="63D0B838">
        <w:rPr>
          <w:rFonts w:eastAsia="Arial" w:cs="Arial"/>
          <w:sz w:val="22"/>
          <w:szCs w:val="22"/>
        </w:rPr>
        <w:t xml:space="preserve"> analysis is included in Annex </w:t>
      </w:r>
      <w:r w:rsidR="001F05F3">
        <w:rPr>
          <w:rFonts w:eastAsia="Arial" w:cs="Arial"/>
          <w:sz w:val="22"/>
          <w:szCs w:val="22"/>
        </w:rPr>
        <w:t>1</w:t>
      </w:r>
      <w:r w:rsidR="1594574B" w:rsidRPr="63D0B838">
        <w:rPr>
          <w:rFonts w:eastAsia="Arial" w:cs="Arial"/>
          <w:sz w:val="22"/>
          <w:szCs w:val="22"/>
        </w:rPr>
        <w:t xml:space="preserve">. </w:t>
      </w:r>
    </w:p>
    <w:p w14:paraId="521F1D43" w14:textId="77777777" w:rsidR="00911250" w:rsidRPr="00F008FD" w:rsidRDefault="00911250" w:rsidP="00F008FD">
      <w:pPr>
        <w:pStyle w:val="ListParagraph"/>
        <w:spacing w:after="120"/>
        <w:ind w:left="473"/>
        <w:rPr>
          <w:rFonts w:eastAsia="Arial" w:cs="Arial"/>
          <w:sz w:val="22"/>
          <w:szCs w:val="22"/>
        </w:rPr>
      </w:pPr>
    </w:p>
    <w:p w14:paraId="347A47BE" w14:textId="67080772" w:rsidR="00911250" w:rsidRPr="00F008FD" w:rsidRDefault="7E485AD9" w:rsidP="00F008FD">
      <w:pPr>
        <w:pStyle w:val="ListParagraph"/>
        <w:numPr>
          <w:ilvl w:val="0"/>
          <w:numId w:val="34"/>
        </w:numPr>
        <w:spacing w:after="120"/>
        <w:rPr>
          <w:rFonts w:eastAsia="Arial" w:cs="Arial"/>
          <w:sz w:val="22"/>
          <w:szCs w:val="22"/>
        </w:rPr>
      </w:pPr>
      <w:r w:rsidRPr="00F008FD">
        <w:rPr>
          <w:rFonts w:eastAsia="Arial" w:cs="Arial"/>
          <w:sz w:val="22"/>
          <w:szCs w:val="22"/>
        </w:rPr>
        <w:t>While these two IDBR estimates are not a perfect read for the biocides</w:t>
      </w:r>
      <w:r w:rsidR="5C1C0540" w:rsidRPr="00F008FD">
        <w:rPr>
          <w:rFonts w:eastAsia="Arial" w:cs="Arial"/>
          <w:sz w:val="22"/>
          <w:szCs w:val="22"/>
        </w:rPr>
        <w:t xml:space="preserve"> industry, they do imply that it is likely that the proportion of small and micro biocidal active substance and product manufacturers is </w:t>
      </w:r>
      <w:r w:rsidR="7B3E560C" w:rsidRPr="00F008FD">
        <w:rPr>
          <w:rFonts w:eastAsia="Arial" w:cs="Arial"/>
          <w:sz w:val="22"/>
          <w:szCs w:val="22"/>
        </w:rPr>
        <w:t xml:space="preserve">very high. </w:t>
      </w:r>
      <w:r w:rsidR="1FD5C7F5" w:rsidRPr="00F008FD">
        <w:rPr>
          <w:rFonts w:eastAsia="Arial" w:cs="Arial"/>
          <w:sz w:val="22"/>
          <w:szCs w:val="22"/>
        </w:rPr>
        <w:t>Although the number of manufacturers is not synonymous wit</w:t>
      </w:r>
      <w:r w:rsidR="4E212E57" w:rsidRPr="00F008FD">
        <w:rPr>
          <w:rFonts w:eastAsia="Arial" w:cs="Arial"/>
          <w:sz w:val="22"/>
          <w:szCs w:val="22"/>
        </w:rPr>
        <w:t>h</w:t>
      </w:r>
      <w:r w:rsidR="1FD5C7F5" w:rsidRPr="00F008FD">
        <w:rPr>
          <w:rFonts w:eastAsia="Arial" w:cs="Arial"/>
          <w:sz w:val="22"/>
          <w:szCs w:val="22"/>
        </w:rPr>
        <w:t xml:space="preserve"> the </w:t>
      </w:r>
      <w:r w:rsidR="4E212E57" w:rsidRPr="00F008FD">
        <w:rPr>
          <w:rFonts w:eastAsia="Arial" w:cs="Arial"/>
          <w:sz w:val="22"/>
          <w:szCs w:val="22"/>
        </w:rPr>
        <w:t>number of products</w:t>
      </w:r>
      <w:r w:rsidR="25C2BF5B" w:rsidRPr="00F008FD">
        <w:rPr>
          <w:rFonts w:eastAsia="Arial" w:cs="Arial"/>
          <w:sz w:val="22"/>
          <w:szCs w:val="22"/>
        </w:rPr>
        <w:t>, this would seem to imply that exempting small and micro businesses from the BPR requirements would leave a large proportion of the market unregulated.</w:t>
      </w:r>
      <w:r w:rsidR="411CCBC3" w:rsidRPr="00F008FD">
        <w:rPr>
          <w:rFonts w:eastAsia="Arial" w:cs="Arial"/>
          <w:sz w:val="22"/>
          <w:szCs w:val="22"/>
        </w:rPr>
        <w:t xml:space="preserve"> For the specific </w:t>
      </w:r>
      <w:r w:rsidR="5559B64D" w:rsidRPr="00F008FD">
        <w:rPr>
          <w:rFonts w:eastAsia="Arial" w:cs="Arial"/>
          <w:sz w:val="22"/>
          <w:szCs w:val="22"/>
        </w:rPr>
        <w:t xml:space="preserve">changes that this impact assessment appraises, exempting so large a portion of the market from the new requirements </w:t>
      </w:r>
      <w:r w:rsidR="05653C29" w:rsidRPr="00F008FD">
        <w:rPr>
          <w:rFonts w:eastAsia="Arial" w:cs="Arial"/>
          <w:sz w:val="22"/>
          <w:szCs w:val="22"/>
        </w:rPr>
        <w:t xml:space="preserve">would mean HSE failed to deliver on the strategic objectives of maintaining world-leading safety standards and limiting the scope of in vivo testing. </w:t>
      </w:r>
    </w:p>
    <w:p w14:paraId="283C455A" w14:textId="77777777" w:rsidR="007A6BF0" w:rsidRPr="00F008FD" w:rsidRDefault="007A6BF0" w:rsidP="00F008FD">
      <w:pPr>
        <w:pStyle w:val="ListParagraph"/>
        <w:spacing w:after="120"/>
        <w:ind w:left="473"/>
        <w:rPr>
          <w:rFonts w:eastAsia="Arial" w:cs="Arial"/>
          <w:sz w:val="22"/>
          <w:szCs w:val="22"/>
        </w:rPr>
      </w:pPr>
    </w:p>
    <w:p w14:paraId="37DCAF42" w14:textId="48525667" w:rsidR="007A6BF0" w:rsidRPr="00D32D0D" w:rsidRDefault="518ECE46" w:rsidP="00F008FD">
      <w:pPr>
        <w:pStyle w:val="ListParagraph"/>
        <w:numPr>
          <w:ilvl w:val="0"/>
          <w:numId w:val="34"/>
        </w:numPr>
        <w:spacing w:after="120"/>
        <w:rPr>
          <w:lang w:eastAsia="en-GB"/>
        </w:rPr>
      </w:pPr>
      <w:r w:rsidRPr="00F008FD">
        <w:rPr>
          <w:rFonts w:eastAsia="Arial" w:cs="Arial"/>
          <w:sz w:val="22"/>
          <w:szCs w:val="22"/>
        </w:rPr>
        <w:t xml:space="preserve">There is no reason to believe that the costs enumerated in this impact assessment would be disproportionate for small and micro businesses. </w:t>
      </w:r>
      <w:r w:rsidR="7820881C" w:rsidRPr="00F008FD">
        <w:rPr>
          <w:rFonts w:eastAsia="Arial" w:cs="Arial"/>
          <w:sz w:val="22"/>
          <w:szCs w:val="22"/>
        </w:rPr>
        <w:t xml:space="preserve">The costs of the tests </w:t>
      </w:r>
      <w:r w:rsidR="2A6E9070" w:rsidRPr="00F008FD">
        <w:rPr>
          <w:rFonts w:eastAsia="Arial" w:cs="Arial"/>
          <w:sz w:val="22"/>
          <w:szCs w:val="22"/>
        </w:rPr>
        <w:t xml:space="preserve">are expected to be the same (on average) for each substance. Costs </w:t>
      </w:r>
      <w:r w:rsidR="69D6AB08" w:rsidRPr="00F008FD">
        <w:rPr>
          <w:rFonts w:eastAsia="Arial" w:cs="Arial"/>
          <w:sz w:val="22"/>
          <w:szCs w:val="22"/>
        </w:rPr>
        <w:t>for a business will vary based on the number of biocidal active substances and products for which they apply for approval</w:t>
      </w:r>
      <w:r w:rsidR="02BC4269" w:rsidRPr="00F008FD">
        <w:rPr>
          <w:rFonts w:eastAsia="Arial" w:cs="Arial"/>
          <w:sz w:val="22"/>
          <w:szCs w:val="22"/>
        </w:rPr>
        <w:t xml:space="preserve"> or authorisation; and the hazard that they present (e.g., </w:t>
      </w:r>
      <w:r w:rsidR="336915AA" w:rsidRPr="00F008FD">
        <w:rPr>
          <w:rFonts w:eastAsia="Arial" w:cs="Arial"/>
          <w:sz w:val="22"/>
          <w:szCs w:val="22"/>
        </w:rPr>
        <w:t>whether they present a genotoxicity or developmental</w:t>
      </w:r>
      <w:r w:rsidR="6CCC3E3B" w:rsidRPr="00F008FD">
        <w:rPr>
          <w:rFonts w:eastAsia="Arial" w:cs="Arial"/>
          <w:sz w:val="22"/>
          <w:szCs w:val="22"/>
        </w:rPr>
        <w:t xml:space="preserve"> </w:t>
      </w:r>
      <w:r w:rsidR="336915AA" w:rsidRPr="00F008FD">
        <w:rPr>
          <w:rFonts w:eastAsia="Arial" w:cs="Arial"/>
          <w:sz w:val="22"/>
          <w:szCs w:val="22"/>
        </w:rPr>
        <w:t>neuro</w:t>
      </w:r>
      <w:r w:rsidR="6CCC3E3B" w:rsidRPr="00F008FD">
        <w:rPr>
          <w:rFonts w:eastAsia="Arial" w:cs="Arial"/>
          <w:sz w:val="22"/>
          <w:szCs w:val="22"/>
        </w:rPr>
        <w:t xml:space="preserve">toxicity hazard). </w:t>
      </w:r>
    </w:p>
    <w:p w14:paraId="0CE05D9D" w14:textId="77777777" w:rsidR="00D32D0D" w:rsidRDefault="00D32D0D" w:rsidP="00D32D0D">
      <w:pPr>
        <w:ind w:left="567"/>
        <w:rPr>
          <w:bCs/>
          <w:i/>
          <w:iCs/>
          <w:lang w:eastAsia="en-GB"/>
        </w:rPr>
      </w:pPr>
    </w:p>
    <w:p w14:paraId="76993FE5" w14:textId="0264C996" w:rsidR="00D64409" w:rsidRPr="00D769D0" w:rsidRDefault="00D64409" w:rsidP="00835811">
      <w:pPr>
        <w:pStyle w:val="Heading2"/>
      </w:pPr>
      <w:r>
        <w:t>Wider impacts (consider the impacts of your proposals)</w:t>
      </w:r>
    </w:p>
    <w:p w14:paraId="548EC9B0" w14:textId="77777777" w:rsidR="001B4A0E" w:rsidRDefault="6F2E0084" w:rsidP="00F008FD">
      <w:pPr>
        <w:pStyle w:val="ListParagraph"/>
        <w:numPr>
          <w:ilvl w:val="0"/>
          <w:numId w:val="34"/>
        </w:numPr>
        <w:spacing w:after="120"/>
        <w:rPr>
          <w:rFonts w:eastAsia="Arial" w:cs="Arial"/>
          <w:sz w:val="22"/>
          <w:szCs w:val="22"/>
        </w:rPr>
      </w:pPr>
      <w:r w:rsidRPr="00F05038">
        <w:rPr>
          <w:rFonts w:eastAsia="Arial" w:cs="Arial"/>
          <w:sz w:val="22"/>
          <w:szCs w:val="22"/>
        </w:rPr>
        <w:t>We do not assess that the proposed changes would have any wider effects</w:t>
      </w:r>
      <w:r w:rsidR="001B4A0E">
        <w:rPr>
          <w:rFonts w:eastAsia="Arial" w:cs="Arial"/>
          <w:sz w:val="22"/>
          <w:szCs w:val="22"/>
        </w:rPr>
        <w:t>:</w:t>
      </w:r>
    </w:p>
    <w:p w14:paraId="3D929C61" w14:textId="3956F676" w:rsidR="0001689C" w:rsidRDefault="145C71B6" w:rsidP="001B4A0E">
      <w:pPr>
        <w:pStyle w:val="Heading4"/>
        <w:numPr>
          <w:ilvl w:val="0"/>
          <w:numId w:val="37"/>
        </w:numPr>
        <w:rPr>
          <w:b w:val="0"/>
        </w:rPr>
      </w:pPr>
      <w:r w:rsidRPr="004555A5">
        <w:rPr>
          <w:b w:val="0"/>
        </w:rPr>
        <w:t>The changes should not affect equalities.</w:t>
      </w:r>
    </w:p>
    <w:p w14:paraId="55F0AB10" w14:textId="0D55462B" w:rsidR="00F26518" w:rsidRPr="008A6007" w:rsidRDefault="0638E1F4" w:rsidP="004555A5">
      <w:pPr>
        <w:pStyle w:val="Heading4"/>
        <w:numPr>
          <w:ilvl w:val="0"/>
          <w:numId w:val="37"/>
        </w:numPr>
      </w:pPr>
      <w:r w:rsidRPr="004555A5">
        <w:rPr>
          <w:b w:val="0"/>
        </w:rPr>
        <w:t xml:space="preserve">The changes will not affect incentives for businesses to compete, nor their ability to do so. </w:t>
      </w:r>
    </w:p>
    <w:p w14:paraId="49194630" w14:textId="77777777" w:rsidR="00B061A7" w:rsidRPr="00B061A7" w:rsidRDefault="00B061A7" w:rsidP="00B061A7">
      <w:pPr>
        <w:pStyle w:val="ListParagraph"/>
        <w:rPr>
          <w:bCs/>
          <w:lang w:eastAsia="en-GB"/>
        </w:rPr>
      </w:pPr>
    </w:p>
    <w:p w14:paraId="5020ADE5" w14:textId="4304A4E5" w:rsidR="00D64409" w:rsidRDefault="00D64409" w:rsidP="00835811">
      <w:pPr>
        <w:pStyle w:val="Heading2"/>
      </w:pPr>
      <w:r>
        <w:t>A summary of the potential trade implications of measure</w:t>
      </w:r>
    </w:p>
    <w:p w14:paraId="4DB781E3" w14:textId="77777777" w:rsidR="00B97A96" w:rsidRPr="00F008FD" w:rsidRDefault="00E019F3" w:rsidP="00F008FD">
      <w:pPr>
        <w:pStyle w:val="ListParagraph"/>
        <w:numPr>
          <w:ilvl w:val="0"/>
          <w:numId w:val="34"/>
        </w:numPr>
        <w:spacing w:after="120"/>
        <w:rPr>
          <w:rFonts w:eastAsia="Arial" w:cs="Arial"/>
          <w:sz w:val="22"/>
          <w:szCs w:val="22"/>
        </w:rPr>
      </w:pPr>
      <w:r w:rsidRPr="00F008FD">
        <w:rPr>
          <w:rFonts w:eastAsia="Arial" w:cs="Arial"/>
          <w:sz w:val="22"/>
          <w:szCs w:val="22"/>
        </w:rPr>
        <w:t>No impacts on trade are anticipated.</w:t>
      </w:r>
    </w:p>
    <w:p w14:paraId="69223272" w14:textId="77777777" w:rsidR="007150AF" w:rsidRPr="00F008FD" w:rsidRDefault="007150AF" w:rsidP="00F008FD">
      <w:pPr>
        <w:pStyle w:val="ListParagraph"/>
        <w:spacing w:after="120"/>
        <w:ind w:left="473"/>
        <w:rPr>
          <w:rFonts w:eastAsia="Arial" w:cs="Arial"/>
          <w:sz w:val="22"/>
          <w:szCs w:val="22"/>
        </w:rPr>
      </w:pPr>
    </w:p>
    <w:p w14:paraId="4A4D3505" w14:textId="276DCB47" w:rsidR="002214AE" w:rsidRPr="00F008FD" w:rsidRDefault="00B97A96" w:rsidP="00F008FD">
      <w:pPr>
        <w:pStyle w:val="ListParagraph"/>
        <w:numPr>
          <w:ilvl w:val="0"/>
          <w:numId w:val="34"/>
        </w:numPr>
        <w:spacing w:after="120"/>
        <w:rPr>
          <w:rFonts w:eastAsia="Arial" w:cs="Arial"/>
          <w:sz w:val="22"/>
          <w:szCs w:val="22"/>
        </w:rPr>
      </w:pPr>
      <w:r w:rsidRPr="00F008FD">
        <w:rPr>
          <w:rFonts w:eastAsia="Arial" w:cs="Arial"/>
          <w:sz w:val="22"/>
          <w:szCs w:val="22"/>
        </w:rPr>
        <w:t xml:space="preserve">Under BPR, businesses must be established in the UK to hold biocides authorisations or to be on the ‘Article 95 List’ of approved active substance suppliers.  </w:t>
      </w:r>
      <w:r w:rsidR="007150AF" w:rsidRPr="00F008FD">
        <w:rPr>
          <w:rFonts w:eastAsia="Arial" w:cs="Arial"/>
          <w:sz w:val="22"/>
          <w:szCs w:val="22"/>
        </w:rPr>
        <w:t xml:space="preserve">This is unaffected by these changes.  </w:t>
      </w:r>
      <w:r w:rsidRPr="00F008FD">
        <w:rPr>
          <w:rFonts w:eastAsia="Arial" w:cs="Arial"/>
          <w:sz w:val="22"/>
          <w:szCs w:val="22"/>
        </w:rPr>
        <w:t>To the extent that non-UK businesses can apply for biocides product authorisations and approvals (</w:t>
      </w:r>
      <w:r w:rsidR="00327F3C" w:rsidRPr="00F008FD">
        <w:rPr>
          <w:rFonts w:eastAsia="Arial" w:cs="Arial"/>
          <w:sz w:val="22"/>
          <w:szCs w:val="22"/>
        </w:rPr>
        <w:t>e.g.</w:t>
      </w:r>
      <w:r w:rsidR="00327F3C">
        <w:rPr>
          <w:rFonts w:eastAsia="Arial" w:cs="Arial"/>
          <w:sz w:val="22"/>
          <w:szCs w:val="22"/>
        </w:rPr>
        <w:t>,</w:t>
      </w:r>
      <w:r w:rsidRPr="00F008FD">
        <w:rPr>
          <w:rFonts w:eastAsia="Arial" w:cs="Arial"/>
          <w:sz w:val="22"/>
          <w:szCs w:val="22"/>
        </w:rPr>
        <w:t xml:space="preserve"> if a foreign company has a subsidiary based in the UK), the requirements will be the same for UK and foreign businesses</w:t>
      </w:r>
      <w:r w:rsidR="007150AF" w:rsidRPr="00F008FD">
        <w:rPr>
          <w:rFonts w:eastAsia="Arial" w:cs="Arial"/>
          <w:sz w:val="22"/>
          <w:szCs w:val="22"/>
        </w:rPr>
        <w:t xml:space="preserve"> both before and after these changes</w:t>
      </w:r>
      <w:r w:rsidRPr="00F008FD">
        <w:rPr>
          <w:rFonts w:eastAsia="Arial" w:cs="Arial"/>
          <w:sz w:val="22"/>
          <w:szCs w:val="22"/>
        </w:rPr>
        <w:t>.</w:t>
      </w:r>
    </w:p>
    <w:p w14:paraId="6EC60DA3" w14:textId="77777777" w:rsidR="007150AF" w:rsidRPr="00F008FD" w:rsidRDefault="007150AF" w:rsidP="00F008FD">
      <w:pPr>
        <w:pStyle w:val="ListParagraph"/>
        <w:spacing w:after="120"/>
        <w:ind w:left="473"/>
        <w:rPr>
          <w:rFonts w:eastAsia="Arial" w:cs="Arial"/>
          <w:sz w:val="22"/>
          <w:szCs w:val="22"/>
        </w:rPr>
      </w:pPr>
    </w:p>
    <w:p w14:paraId="653AE589" w14:textId="088B9B00" w:rsidR="00E019F3" w:rsidRPr="00F008FD" w:rsidRDefault="00EE4F57" w:rsidP="00F008FD">
      <w:pPr>
        <w:pStyle w:val="ListParagraph"/>
        <w:numPr>
          <w:ilvl w:val="0"/>
          <w:numId w:val="34"/>
        </w:numPr>
        <w:spacing w:after="120"/>
        <w:rPr>
          <w:rFonts w:eastAsia="Arial" w:cs="Arial"/>
          <w:sz w:val="22"/>
          <w:szCs w:val="22"/>
        </w:rPr>
      </w:pPr>
      <w:r w:rsidRPr="00F008FD">
        <w:rPr>
          <w:rFonts w:eastAsia="Arial" w:cs="Arial"/>
          <w:sz w:val="22"/>
          <w:szCs w:val="22"/>
        </w:rPr>
        <w:t>B</w:t>
      </w:r>
      <w:r w:rsidR="00F563F6" w:rsidRPr="00F008FD">
        <w:rPr>
          <w:rFonts w:eastAsia="Arial" w:cs="Arial"/>
          <w:sz w:val="22"/>
          <w:szCs w:val="22"/>
        </w:rPr>
        <w:t xml:space="preserve">oth before and after these changes, </w:t>
      </w:r>
      <w:r w:rsidRPr="00F008FD">
        <w:rPr>
          <w:rFonts w:eastAsia="Arial" w:cs="Arial"/>
          <w:sz w:val="22"/>
          <w:szCs w:val="22"/>
        </w:rPr>
        <w:t xml:space="preserve">UK </w:t>
      </w:r>
      <w:r w:rsidR="00F563F6" w:rsidRPr="00F008FD">
        <w:rPr>
          <w:rFonts w:eastAsia="Arial" w:cs="Arial"/>
          <w:sz w:val="22"/>
          <w:szCs w:val="22"/>
        </w:rPr>
        <w:t>companies will still have to comply with the local requirements of the different countries in which they wish to trade (including GB, EU and rest of the world)</w:t>
      </w:r>
      <w:r w:rsidR="009642CA" w:rsidRPr="00F008FD">
        <w:rPr>
          <w:rFonts w:eastAsia="Arial" w:cs="Arial"/>
          <w:sz w:val="22"/>
          <w:szCs w:val="22"/>
        </w:rPr>
        <w:t>.</w:t>
      </w:r>
    </w:p>
    <w:p w14:paraId="637B3420" w14:textId="77777777" w:rsidR="007150AF" w:rsidRPr="00F008FD" w:rsidRDefault="007150AF" w:rsidP="00F008FD">
      <w:pPr>
        <w:pStyle w:val="ListParagraph"/>
        <w:spacing w:after="120"/>
        <w:ind w:left="473"/>
        <w:rPr>
          <w:rFonts w:eastAsia="Arial" w:cs="Arial"/>
          <w:sz w:val="22"/>
          <w:szCs w:val="22"/>
        </w:rPr>
      </w:pPr>
    </w:p>
    <w:p w14:paraId="765A4743" w14:textId="58BCD144" w:rsidR="007B5893" w:rsidRPr="00F008FD" w:rsidRDefault="00C66474" w:rsidP="00F008FD">
      <w:pPr>
        <w:pStyle w:val="ListParagraph"/>
        <w:numPr>
          <w:ilvl w:val="0"/>
          <w:numId w:val="34"/>
        </w:numPr>
        <w:spacing w:after="120"/>
        <w:rPr>
          <w:rFonts w:eastAsia="Arial" w:cs="Arial"/>
          <w:sz w:val="22"/>
          <w:szCs w:val="22"/>
        </w:rPr>
      </w:pPr>
      <w:r>
        <w:rPr>
          <w:rFonts w:eastAsia="Arial" w:cs="Arial"/>
          <w:sz w:val="22"/>
          <w:szCs w:val="22"/>
        </w:rPr>
        <w:lastRenderedPageBreak/>
        <w:t>Overall</w:t>
      </w:r>
      <w:r w:rsidR="00110842">
        <w:rPr>
          <w:rFonts w:eastAsia="Arial" w:cs="Arial"/>
          <w:sz w:val="22"/>
          <w:szCs w:val="22"/>
        </w:rPr>
        <w:t>,</w:t>
      </w:r>
      <w:r>
        <w:rPr>
          <w:rFonts w:eastAsia="Arial" w:cs="Arial"/>
          <w:sz w:val="22"/>
          <w:szCs w:val="22"/>
        </w:rPr>
        <w:t xml:space="preserve"> the changes will bring </w:t>
      </w:r>
      <w:r w:rsidR="00110842">
        <w:rPr>
          <w:rFonts w:eastAsia="Arial" w:cs="Arial"/>
          <w:sz w:val="22"/>
          <w:szCs w:val="22"/>
        </w:rPr>
        <w:t>GB requirements closer to those in place in the EU than they are at present</w:t>
      </w:r>
      <w:r w:rsidR="00660417">
        <w:rPr>
          <w:rFonts w:eastAsia="Arial" w:cs="Arial"/>
          <w:sz w:val="22"/>
          <w:szCs w:val="22"/>
        </w:rPr>
        <w:t xml:space="preserve"> </w:t>
      </w:r>
      <w:r w:rsidR="00EE330F">
        <w:rPr>
          <w:rFonts w:eastAsia="Arial" w:cs="Arial"/>
          <w:sz w:val="22"/>
          <w:szCs w:val="22"/>
        </w:rPr>
        <w:t>and</w:t>
      </w:r>
      <w:r w:rsidR="00660417">
        <w:rPr>
          <w:rFonts w:eastAsia="Arial" w:cs="Arial"/>
          <w:sz w:val="22"/>
          <w:szCs w:val="22"/>
        </w:rPr>
        <w:t xml:space="preserve"> in most cases the </w:t>
      </w:r>
      <w:r w:rsidR="004B5F80">
        <w:rPr>
          <w:rFonts w:eastAsia="Arial" w:cs="Arial"/>
          <w:sz w:val="22"/>
          <w:szCs w:val="22"/>
        </w:rPr>
        <w:t>new</w:t>
      </w:r>
      <w:r w:rsidR="00660417">
        <w:rPr>
          <w:rFonts w:eastAsia="Arial" w:cs="Arial"/>
          <w:sz w:val="22"/>
          <w:szCs w:val="22"/>
        </w:rPr>
        <w:t xml:space="preserve"> requirements</w:t>
      </w:r>
      <w:r w:rsidR="00110842">
        <w:rPr>
          <w:rFonts w:eastAsia="Arial" w:cs="Arial"/>
          <w:sz w:val="22"/>
          <w:szCs w:val="22"/>
        </w:rPr>
        <w:t xml:space="preserve"> will be </w:t>
      </w:r>
      <w:r w:rsidR="00660417">
        <w:rPr>
          <w:rFonts w:eastAsia="Arial" w:cs="Arial"/>
          <w:sz w:val="22"/>
          <w:szCs w:val="22"/>
        </w:rPr>
        <w:t xml:space="preserve">identical </w:t>
      </w:r>
      <w:r w:rsidR="004B5F80">
        <w:rPr>
          <w:rFonts w:eastAsia="Arial" w:cs="Arial"/>
          <w:sz w:val="22"/>
          <w:szCs w:val="22"/>
        </w:rPr>
        <w:t>those in the EU, which also apply in Northern Ireland under the Northern Ireland Protocol</w:t>
      </w:r>
      <w:r w:rsidR="00110842">
        <w:rPr>
          <w:rFonts w:eastAsia="Arial" w:cs="Arial"/>
          <w:sz w:val="22"/>
          <w:szCs w:val="22"/>
        </w:rPr>
        <w:t xml:space="preserve">.  </w:t>
      </w:r>
      <w:r w:rsidR="00F62637" w:rsidRPr="00F008FD">
        <w:rPr>
          <w:rFonts w:eastAsia="Arial" w:cs="Arial"/>
          <w:sz w:val="22"/>
          <w:szCs w:val="22"/>
        </w:rPr>
        <w:t xml:space="preserve">However, this is not expected to lead to divergent regulatory outcomes </w:t>
      </w:r>
      <w:r w:rsidR="006F30F0">
        <w:rPr>
          <w:rFonts w:eastAsia="Arial" w:cs="Arial"/>
          <w:sz w:val="22"/>
          <w:szCs w:val="22"/>
        </w:rPr>
        <w:t xml:space="preserve">between GB and the EU or Northern Ireland, </w:t>
      </w:r>
      <w:r w:rsidR="00F62637" w:rsidRPr="00F008FD">
        <w:rPr>
          <w:rFonts w:eastAsia="Arial" w:cs="Arial"/>
          <w:sz w:val="22"/>
          <w:szCs w:val="22"/>
        </w:rPr>
        <w:t>or to have any impact on trade</w:t>
      </w:r>
      <w:r w:rsidR="00687DB9">
        <w:rPr>
          <w:rFonts w:eastAsia="Arial" w:cs="Arial"/>
          <w:sz w:val="22"/>
          <w:szCs w:val="22"/>
        </w:rPr>
        <w:t xml:space="preserve">.  This is because </w:t>
      </w:r>
      <w:r w:rsidR="002A7C28">
        <w:rPr>
          <w:rFonts w:eastAsia="Arial" w:cs="Arial"/>
          <w:sz w:val="22"/>
          <w:szCs w:val="22"/>
        </w:rPr>
        <w:t xml:space="preserve">the scientific criteria for </w:t>
      </w:r>
      <w:r w:rsidR="00E86D32">
        <w:rPr>
          <w:rFonts w:eastAsia="Arial" w:cs="Arial"/>
          <w:sz w:val="22"/>
          <w:szCs w:val="22"/>
        </w:rPr>
        <w:t xml:space="preserve">assessing biocides will remain the same </w:t>
      </w:r>
      <w:r w:rsidR="0088306F">
        <w:rPr>
          <w:rFonts w:eastAsia="Arial" w:cs="Arial"/>
          <w:sz w:val="22"/>
          <w:szCs w:val="22"/>
        </w:rPr>
        <w:t xml:space="preserve">as </w:t>
      </w:r>
      <w:r w:rsidR="006F30F0">
        <w:rPr>
          <w:rFonts w:eastAsia="Arial" w:cs="Arial"/>
          <w:sz w:val="22"/>
          <w:szCs w:val="22"/>
        </w:rPr>
        <w:t xml:space="preserve">those applying in the EU and Northern Ireland </w:t>
      </w:r>
      <w:r w:rsidR="0088306F">
        <w:rPr>
          <w:rFonts w:eastAsia="Arial" w:cs="Arial"/>
          <w:sz w:val="22"/>
          <w:szCs w:val="22"/>
        </w:rPr>
        <w:t xml:space="preserve">with only minor differences in evidence requirements against </w:t>
      </w:r>
      <w:r w:rsidR="006F30F0">
        <w:rPr>
          <w:rFonts w:eastAsia="Arial" w:cs="Arial"/>
          <w:sz w:val="22"/>
          <w:szCs w:val="22"/>
        </w:rPr>
        <w:t xml:space="preserve">a small number of </w:t>
      </w:r>
      <w:r w:rsidR="0088306F">
        <w:rPr>
          <w:rFonts w:eastAsia="Arial" w:cs="Arial"/>
          <w:sz w:val="22"/>
          <w:szCs w:val="22"/>
        </w:rPr>
        <w:t xml:space="preserve">those criteria which are not expected to affect </w:t>
      </w:r>
      <w:r w:rsidR="00EE330F">
        <w:rPr>
          <w:rFonts w:eastAsia="Arial" w:cs="Arial"/>
          <w:sz w:val="22"/>
          <w:szCs w:val="22"/>
        </w:rPr>
        <w:t>regulatory decision</w:t>
      </w:r>
      <w:r w:rsidR="006F30F0">
        <w:rPr>
          <w:rFonts w:eastAsia="Arial" w:cs="Arial"/>
          <w:sz w:val="22"/>
          <w:szCs w:val="22"/>
        </w:rPr>
        <w:t>-making</w:t>
      </w:r>
      <w:r w:rsidR="00EE330F">
        <w:rPr>
          <w:rFonts w:eastAsia="Arial" w:cs="Arial"/>
          <w:sz w:val="22"/>
          <w:szCs w:val="22"/>
        </w:rPr>
        <w:t>.</w:t>
      </w:r>
    </w:p>
    <w:p w14:paraId="5E34DFA8" w14:textId="77777777" w:rsidR="002C582B" w:rsidRPr="00C02780" w:rsidRDefault="002C582B" w:rsidP="00C02780">
      <w:pPr>
        <w:pStyle w:val="ListParagraph"/>
        <w:rPr>
          <w:b/>
          <w:bCs/>
          <w:lang w:eastAsia="en-GB"/>
        </w:rPr>
      </w:pPr>
    </w:p>
    <w:p w14:paraId="4E56E167" w14:textId="4FC8B771" w:rsidR="00D64409" w:rsidRPr="00D769D0" w:rsidRDefault="00D64409" w:rsidP="00835811">
      <w:pPr>
        <w:pStyle w:val="Heading2"/>
      </w:pPr>
      <w:r w:rsidRPr="00D3755A">
        <w:t>Monitoring and Evaluation</w:t>
      </w:r>
    </w:p>
    <w:p w14:paraId="6F33B8A5" w14:textId="111853FA" w:rsidR="009F1E00" w:rsidRPr="009F1E00" w:rsidRDefault="009F1E00" w:rsidP="00DD0B30">
      <w:pPr>
        <w:pStyle w:val="Heading2"/>
        <w:numPr>
          <w:ilvl w:val="0"/>
          <w:numId w:val="34"/>
        </w:numPr>
        <w:rPr>
          <w:rFonts w:ascii="Arial" w:eastAsia="Arial" w:hAnsi="Arial"/>
          <w:b w:val="0"/>
          <w:bCs w:val="0"/>
          <w:color w:val="auto"/>
          <w:sz w:val="22"/>
          <w:lang w:eastAsia="en-US"/>
        </w:rPr>
      </w:pPr>
      <w:r w:rsidRPr="009F1E00">
        <w:rPr>
          <w:rFonts w:ascii="Arial" w:eastAsia="Arial" w:hAnsi="Arial"/>
          <w:b w:val="0"/>
          <w:bCs w:val="0"/>
          <w:color w:val="auto"/>
          <w:sz w:val="22"/>
          <w:lang w:eastAsia="en-US"/>
        </w:rPr>
        <w:t xml:space="preserve">HSE’s </w:t>
      </w:r>
      <w:r w:rsidR="009E2E88">
        <w:rPr>
          <w:rFonts w:ascii="Arial" w:eastAsia="Arial" w:hAnsi="Arial"/>
          <w:b w:val="0"/>
          <w:bCs w:val="0"/>
          <w:color w:val="auto"/>
          <w:sz w:val="22"/>
          <w:lang w:eastAsia="en-US"/>
        </w:rPr>
        <w:t>b</w:t>
      </w:r>
      <w:r w:rsidRPr="009F1E00">
        <w:rPr>
          <w:rFonts w:ascii="Arial" w:eastAsia="Arial" w:hAnsi="Arial"/>
          <w:b w:val="0"/>
          <w:bCs w:val="0"/>
          <w:color w:val="auto"/>
          <w:sz w:val="22"/>
          <w:lang w:eastAsia="en-US"/>
        </w:rPr>
        <w:t xml:space="preserve">iocides policy and specialist operational teams have regular contact with </w:t>
      </w:r>
      <w:r w:rsidR="009E2E88">
        <w:rPr>
          <w:rFonts w:ascii="Arial" w:eastAsia="Arial" w:hAnsi="Arial"/>
          <w:b w:val="0"/>
          <w:bCs w:val="0"/>
          <w:color w:val="auto"/>
          <w:sz w:val="22"/>
          <w:lang w:eastAsia="en-US"/>
        </w:rPr>
        <w:t xml:space="preserve">businesses in </w:t>
      </w:r>
      <w:r w:rsidRPr="009F1E00">
        <w:rPr>
          <w:rFonts w:ascii="Arial" w:eastAsia="Arial" w:hAnsi="Arial"/>
          <w:b w:val="0"/>
          <w:bCs w:val="0"/>
          <w:color w:val="auto"/>
          <w:sz w:val="22"/>
          <w:lang w:eastAsia="en-US"/>
        </w:rPr>
        <w:t xml:space="preserve">the </w:t>
      </w:r>
      <w:r w:rsidR="009E2E88">
        <w:rPr>
          <w:rFonts w:ascii="Arial" w:eastAsia="Arial" w:hAnsi="Arial"/>
          <w:b w:val="0"/>
          <w:bCs w:val="0"/>
          <w:color w:val="auto"/>
          <w:sz w:val="22"/>
          <w:lang w:eastAsia="en-US"/>
        </w:rPr>
        <w:t>b</w:t>
      </w:r>
      <w:r w:rsidRPr="009F1E00">
        <w:rPr>
          <w:rFonts w:ascii="Arial" w:eastAsia="Arial" w:hAnsi="Arial"/>
          <w:b w:val="0"/>
          <w:bCs w:val="0"/>
          <w:color w:val="auto"/>
          <w:sz w:val="22"/>
          <w:lang w:eastAsia="en-US"/>
        </w:rPr>
        <w:t>iocides sector and will monitor through formal and informal meetings</w:t>
      </w:r>
      <w:r w:rsidR="00E10B5E">
        <w:rPr>
          <w:rFonts w:ascii="Arial" w:eastAsia="Arial" w:hAnsi="Arial"/>
          <w:b w:val="0"/>
          <w:bCs w:val="0"/>
          <w:color w:val="auto"/>
          <w:sz w:val="22"/>
          <w:lang w:eastAsia="en-US"/>
        </w:rPr>
        <w:t xml:space="preserve">, </w:t>
      </w:r>
      <w:r w:rsidR="00103675">
        <w:rPr>
          <w:rFonts w:ascii="Arial" w:eastAsia="Arial" w:hAnsi="Arial"/>
          <w:b w:val="0"/>
          <w:bCs w:val="0"/>
          <w:color w:val="auto"/>
          <w:sz w:val="22"/>
          <w:lang w:eastAsia="en-US"/>
        </w:rPr>
        <w:t>interactions with applicants</w:t>
      </w:r>
      <w:r w:rsidR="00E10B5E">
        <w:rPr>
          <w:rFonts w:ascii="Arial" w:eastAsia="Arial" w:hAnsi="Arial"/>
          <w:b w:val="0"/>
          <w:bCs w:val="0"/>
          <w:color w:val="auto"/>
          <w:sz w:val="22"/>
          <w:lang w:eastAsia="en-US"/>
        </w:rPr>
        <w:t xml:space="preserve"> and</w:t>
      </w:r>
      <w:r w:rsidR="00103675">
        <w:rPr>
          <w:rFonts w:ascii="Arial" w:eastAsia="Arial" w:hAnsi="Arial"/>
          <w:b w:val="0"/>
          <w:bCs w:val="0"/>
          <w:color w:val="auto"/>
          <w:sz w:val="22"/>
          <w:lang w:eastAsia="en-US"/>
        </w:rPr>
        <w:t xml:space="preserve"> </w:t>
      </w:r>
      <w:r w:rsidRPr="009F1E00">
        <w:rPr>
          <w:rFonts w:ascii="Arial" w:eastAsia="Arial" w:hAnsi="Arial"/>
          <w:b w:val="0"/>
          <w:bCs w:val="0"/>
          <w:color w:val="auto"/>
          <w:sz w:val="22"/>
          <w:lang w:eastAsia="en-US"/>
        </w:rPr>
        <w:t xml:space="preserve">engagement with trade bodies how the changes are being implemented. </w:t>
      </w:r>
      <w:r w:rsidR="00463897">
        <w:rPr>
          <w:rFonts w:ascii="Arial" w:eastAsia="Arial" w:hAnsi="Arial"/>
          <w:b w:val="0"/>
          <w:bCs w:val="0"/>
          <w:color w:val="auto"/>
          <w:sz w:val="22"/>
          <w:lang w:eastAsia="en-US"/>
        </w:rPr>
        <w:t xml:space="preserve"> HSE will also monitor the experiences of its regulatory scientists in undertaking biocidal active substance and product evaluations using data submitted under the new requirements.  </w:t>
      </w:r>
      <w:r w:rsidRPr="009F1E00">
        <w:rPr>
          <w:rFonts w:ascii="Arial" w:eastAsia="Arial" w:hAnsi="Arial"/>
          <w:b w:val="0"/>
          <w:bCs w:val="0"/>
          <w:color w:val="auto"/>
          <w:sz w:val="22"/>
          <w:lang w:eastAsia="en-US"/>
        </w:rPr>
        <w:t>Feedback via these various channels will allow HSE to assess the impact of the changes against the original objectives and whether there are any changes required in future.</w:t>
      </w:r>
    </w:p>
    <w:p w14:paraId="53098E70" w14:textId="537FD1AD" w:rsidR="009F1E00" w:rsidRPr="009F1E00" w:rsidRDefault="009F1E00" w:rsidP="00DD0B30">
      <w:pPr>
        <w:pStyle w:val="Heading2"/>
        <w:numPr>
          <w:ilvl w:val="0"/>
          <w:numId w:val="34"/>
        </w:numPr>
        <w:rPr>
          <w:rFonts w:ascii="Arial" w:eastAsia="Arial" w:hAnsi="Arial"/>
          <w:b w:val="0"/>
          <w:bCs w:val="0"/>
          <w:color w:val="auto"/>
          <w:sz w:val="22"/>
          <w:lang w:eastAsia="en-US"/>
        </w:rPr>
      </w:pPr>
      <w:r w:rsidRPr="009F1E00">
        <w:rPr>
          <w:rFonts w:ascii="Arial" w:eastAsia="Arial" w:hAnsi="Arial"/>
          <w:b w:val="0"/>
          <w:bCs w:val="0"/>
          <w:color w:val="auto"/>
          <w:sz w:val="22"/>
          <w:lang w:eastAsia="en-US"/>
        </w:rPr>
        <w:t>The bespoke and specific nature of the proposed change</w:t>
      </w:r>
      <w:r w:rsidR="00B51611">
        <w:rPr>
          <w:rFonts w:ascii="Arial" w:eastAsia="Arial" w:hAnsi="Arial"/>
          <w:b w:val="0"/>
          <w:bCs w:val="0"/>
          <w:color w:val="auto"/>
          <w:sz w:val="22"/>
          <w:lang w:eastAsia="en-US"/>
        </w:rPr>
        <w:t>s</w:t>
      </w:r>
      <w:r w:rsidRPr="009F1E00">
        <w:rPr>
          <w:rFonts w:ascii="Arial" w:eastAsia="Arial" w:hAnsi="Arial"/>
          <w:b w:val="0"/>
          <w:bCs w:val="0"/>
          <w:color w:val="auto"/>
          <w:sz w:val="22"/>
          <w:lang w:eastAsia="en-US"/>
        </w:rPr>
        <w:t xml:space="preserve"> to the </w:t>
      </w:r>
      <w:r w:rsidR="00E57295">
        <w:rPr>
          <w:rFonts w:ascii="Arial" w:eastAsia="Arial" w:hAnsi="Arial"/>
          <w:b w:val="0"/>
          <w:bCs w:val="0"/>
          <w:color w:val="auto"/>
          <w:sz w:val="22"/>
          <w:lang w:eastAsia="en-US"/>
        </w:rPr>
        <w:t>b</w:t>
      </w:r>
      <w:r w:rsidRPr="009F1E00">
        <w:rPr>
          <w:rFonts w:ascii="Arial" w:eastAsia="Arial" w:hAnsi="Arial"/>
          <w:b w:val="0"/>
          <w:bCs w:val="0"/>
          <w:color w:val="auto"/>
          <w:sz w:val="22"/>
          <w:lang w:eastAsia="en-US"/>
        </w:rPr>
        <w:t xml:space="preserve">iocides regulatory regime </w:t>
      </w:r>
      <w:r w:rsidR="00281331">
        <w:rPr>
          <w:rFonts w:ascii="Arial" w:eastAsia="Arial" w:hAnsi="Arial"/>
          <w:b w:val="0"/>
          <w:bCs w:val="0"/>
          <w:color w:val="auto"/>
          <w:sz w:val="22"/>
          <w:lang w:eastAsia="en-US"/>
        </w:rPr>
        <w:t xml:space="preserve">is likely to </w:t>
      </w:r>
      <w:r w:rsidR="00B51611">
        <w:rPr>
          <w:rFonts w:ascii="Arial" w:eastAsia="Arial" w:hAnsi="Arial"/>
          <w:b w:val="0"/>
          <w:bCs w:val="0"/>
          <w:color w:val="auto"/>
          <w:sz w:val="22"/>
          <w:lang w:eastAsia="en-US"/>
        </w:rPr>
        <w:t xml:space="preserve">mean </w:t>
      </w:r>
      <w:r w:rsidRPr="009F1E00">
        <w:rPr>
          <w:rFonts w:ascii="Arial" w:eastAsia="Arial" w:hAnsi="Arial"/>
          <w:b w:val="0"/>
          <w:bCs w:val="0"/>
          <w:color w:val="auto"/>
          <w:sz w:val="22"/>
          <w:lang w:eastAsia="en-US"/>
        </w:rPr>
        <w:t xml:space="preserve">that undertaking a separate evaluation </w:t>
      </w:r>
      <w:r w:rsidR="00B51611">
        <w:rPr>
          <w:rFonts w:ascii="Arial" w:eastAsia="Arial" w:hAnsi="Arial"/>
          <w:b w:val="0"/>
          <w:bCs w:val="0"/>
          <w:color w:val="auto"/>
          <w:sz w:val="22"/>
          <w:lang w:eastAsia="en-US"/>
        </w:rPr>
        <w:t xml:space="preserve">is </w:t>
      </w:r>
      <w:r w:rsidRPr="009F1E00">
        <w:rPr>
          <w:rFonts w:ascii="Arial" w:eastAsia="Arial" w:hAnsi="Arial"/>
          <w:b w:val="0"/>
          <w:bCs w:val="0"/>
          <w:color w:val="auto"/>
          <w:sz w:val="22"/>
          <w:lang w:eastAsia="en-US"/>
        </w:rPr>
        <w:t xml:space="preserve">disproportionate and not cost effective. HSE is therefore </w:t>
      </w:r>
      <w:r w:rsidR="00B51611">
        <w:rPr>
          <w:rFonts w:ascii="Arial" w:eastAsia="Arial" w:hAnsi="Arial"/>
          <w:b w:val="0"/>
          <w:bCs w:val="0"/>
          <w:color w:val="auto"/>
          <w:sz w:val="22"/>
          <w:lang w:eastAsia="en-US"/>
        </w:rPr>
        <w:t xml:space="preserve">considering </w:t>
      </w:r>
      <w:r w:rsidR="00A33FCB">
        <w:rPr>
          <w:rFonts w:ascii="Arial" w:eastAsia="Arial" w:hAnsi="Arial"/>
          <w:b w:val="0"/>
          <w:bCs w:val="0"/>
          <w:color w:val="auto"/>
          <w:sz w:val="22"/>
          <w:lang w:eastAsia="en-US"/>
        </w:rPr>
        <w:t xml:space="preserve">whether it is appropriate </w:t>
      </w:r>
      <w:r w:rsidR="00281331">
        <w:rPr>
          <w:rFonts w:ascii="Arial" w:eastAsia="Arial" w:hAnsi="Arial"/>
          <w:b w:val="0"/>
          <w:bCs w:val="0"/>
          <w:color w:val="auto"/>
          <w:sz w:val="22"/>
          <w:lang w:eastAsia="en-US"/>
        </w:rPr>
        <w:t xml:space="preserve">not </w:t>
      </w:r>
      <w:r w:rsidR="00A33FCB">
        <w:rPr>
          <w:rFonts w:ascii="Arial" w:eastAsia="Arial" w:hAnsi="Arial"/>
          <w:b w:val="0"/>
          <w:bCs w:val="0"/>
          <w:color w:val="auto"/>
          <w:sz w:val="22"/>
          <w:lang w:eastAsia="en-US"/>
        </w:rPr>
        <w:t xml:space="preserve">to include </w:t>
      </w:r>
      <w:r w:rsidRPr="009F1E00">
        <w:rPr>
          <w:rFonts w:ascii="Arial" w:eastAsia="Arial" w:hAnsi="Arial"/>
          <w:b w:val="0"/>
          <w:bCs w:val="0"/>
          <w:color w:val="auto"/>
          <w:sz w:val="22"/>
          <w:lang w:eastAsia="en-US"/>
        </w:rPr>
        <w:t xml:space="preserve">a review clause </w:t>
      </w:r>
      <w:r w:rsidR="00A33FCB">
        <w:rPr>
          <w:rFonts w:ascii="Arial" w:eastAsia="Arial" w:hAnsi="Arial"/>
          <w:b w:val="0"/>
          <w:bCs w:val="0"/>
          <w:color w:val="auto"/>
          <w:sz w:val="22"/>
          <w:lang w:eastAsia="en-US"/>
        </w:rPr>
        <w:t xml:space="preserve">in </w:t>
      </w:r>
      <w:r w:rsidRPr="009F1E00">
        <w:rPr>
          <w:rFonts w:ascii="Arial" w:eastAsia="Arial" w:hAnsi="Arial"/>
          <w:b w:val="0"/>
          <w:bCs w:val="0"/>
          <w:color w:val="auto"/>
          <w:sz w:val="22"/>
          <w:lang w:eastAsia="en-US"/>
        </w:rPr>
        <w:t>the final Statutory Instrument (SI) following the consultation</w:t>
      </w:r>
      <w:r w:rsidR="00A33FCB">
        <w:rPr>
          <w:rFonts w:ascii="Arial" w:eastAsia="Arial" w:hAnsi="Arial"/>
          <w:b w:val="0"/>
          <w:bCs w:val="0"/>
          <w:color w:val="auto"/>
          <w:sz w:val="22"/>
          <w:lang w:eastAsia="en-US"/>
        </w:rPr>
        <w:t xml:space="preserve">.  If no review clause is included </w:t>
      </w:r>
      <w:r w:rsidRPr="009F1E00">
        <w:rPr>
          <w:rFonts w:ascii="Arial" w:eastAsia="Arial" w:hAnsi="Arial"/>
          <w:b w:val="0"/>
          <w:bCs w:val="0"/>
          <w:color w:val="auto"/>
          <w:sz w:val="22"/>
          <w:lang w:eastAsia="en-US"/>
        </w:rPr>
        <w:t>this would remove the requirement for a post-implementation review (PIR) five years after the SI’s implementation. This will be confirmed in the Final Stage Impact Assessment (IA).</w:t>
      </w:r>
    </w:p>
    <w:p w14:paraId="30AA389A" w14:textId="28AB1B09" w:rsidR="009F1E00" w:rsidRPr="009F1E00" w:rsidRDefault="009F1E00" w:rsidP="00DD0B30">
      <w:pPr>
        <w:pStyle w:val="Heading2"/>
        <w:numPr>
          <w:ilvl w:val="0"/>
          <w:numId w:val="34"/>
        </w:numPr>
        <w:rPr>
          <w:rFonts w:ascii="Arial" w:eastAsia="Arial" w:hAnsi="Arial"/>
          <w:b w:val="0"/>
          <w:bCs w:val="0"/>
          <w:color w:val="auto"/>
          <w:sz w:val="22"/>
          <w:lang w:eastAsia="en-US"/>
        </w:rPr>
      </w:pPr>
      <w:r w:rsidRPr="009F1E00">
        <w:rPr>
          <w:rFonts w:ascii="Arial" w:eastAsia="Arial" w:hAnsi="Arial"/>
          <w:b w:val="0"/>
          <w:bCs w:val="0"/>
          <w:color w:val="auto"/>
          <w:sz w:val="22"/>
          <w:lang w:eastAsia="en-US"/>
        </w:rPr>
        <w:t xml:space="preserve">Irrespective of whether a review clause is added, the changes will be closely monitored by HSE’s </w:t>
      </w:r>
      <w:r w:rsidR="00FE4931">
        <w:rPr>
          <w:rFonts w:ascii="Arial" w:eastAsia="Arial" w:hAnsi="Arial"/>
          <w:b w:val="0"/>
          <w:bCs w:val="0"/>
          <w:color w:val="auto"/>
          <w:sz w:val="22"/>
          <w:lang w:eastAsia="en-US"/>
        </w:rPr>
        <w:t xml:space="preserve">biocides staff </w:t>
      </w:r>
      <w:r w:rsidRPr="009F1E00">
        <w:rPr>
          <w:rFonts w:ascii="Arial" w:eastAsia="Arial" w:hAnsi="Arial"/>
          <w:b w:val="0"/>
          <w:bCs w:val="0"/>
          <w:color w:val="auto"/>
          <w:sz w:val="22"/>
          <w:lang w:eastAsia="en-US"/>
        </w:rPr>
        <w:t xml:space="preserve">on an informal and ongoing basis. This approach will allow the maximum flexibility, with issues being captured </w:t>
      </w:r>
      <w:r w:rsidR="00686036">
        <w:rPr>
          <w:rFonts w:ascii="Arial" w:eastAsia="Arial" w:hAnsi="Arial"/>
          <w:b w:val="0"/>
          <w:bCs w:val="0"/>
          <w:color w:val="auto"/>
          <w:sz w:val="22"/>
          <w:lang w:eastAsia="en-US"/>
        </w:rPr>
        <w:t>as and when they arise</w:t>
      </w:r>
      <w:r w:rsidRPr="009F1E00">
        <w:rPr>
          <w:rFonts w:ascii="Arial" w:eastAsia="Arial" w:hAnsi="Arial"/>
          <w:b w:val="0"/>
          <w:bCs w:val="0"/>
          <w:color w:val="auto"/>
          <w:sz w:val="22"/>
          <w:lang w:eastAsia="en-US"/>
        </w:rPr>
        <w:t>. If no review clause is added, then any changes and amendments which are needed would not have to wait until the five</w:t>
      </w:r>
      <w:r w:rsidR="00686036">
        <w:rPr>
          <w:rFonts w:ascii="Arial" w:eastAsia="Arial" w:hAnsi="Arial"/>
          <w:b w:val="0"/>
          <w:bCs w:val="0"/>
          <w:color w:val="auto"/>
          <w:sz w:val="22"/>
          <w:lang w:eastAsia="en-US"/>
        </w:rPr>
        <w:t>-</w:t>
      </w:r>
      <w:r w:rsidRPr="009F1E00">
        <w:rPr>
          <w:rFonts w:ascii="Arial" w:eastAsia="Arial" w:hAnsi="Arial"/>
          <w:b w:val="0"/>
          <w:bCs w:val="0"/>
          <w:color w:val="auto"/>
          <w:sz w:val="22"/>
          <w:lang w:eastAsia="en-US"/>
        </w:rPr>
        <w:t xml:space="preserve">year PIR deadline. The need to monitor for issues and concerns will be clearly communicated both to HSE’s </w:t>
      </w:r>
      <w:r w:rsidR="00686036">
        <w:rPr>
          <w:rFonts w:ascii="Arial" w:eastAsia="Arial" w:hAnsi="Arial"/>
          <w:b w:val="0"/>
          <w:bCs w:val="0"/>
          <w:color w:val="auto"/>
          <w:sz w:val="22"/>
          <w:lang w:eastAsia="en-US"/>
        </w:rPr>
        <w:t>b</w:t>
      </w:r>
      <w:r w:rsidRPr="009F1E00">
        <w:rPr>
          <w:rFonts w:ascii="Arial" w:eastAsia="Arial" w:hAnsi="Arial"/>
          <w:b w:val="0"/>
          <w:bCs w:val="0"/>
          <w:color w:val="auto"/>
          <w:sz w:val="22"/>
          <w:lang w:eastAsia="en-US"/>
        </w:rPr>
        <w:t>iocides</w:t>
      </w:r>
      <w:r w:rsidR="000C3D1C">
        <w:rPr>
          <w:rFonts w:ascii="Arial" w:eastAsia="Arial" w:hAnsi="Arial"/>
          <w:b w:val="0"/>
          <w:bCs w:val="0"/>
          <w:color w:val="auto"/>
          <w:sz w:val="22"/>
          <w:lang w:eastAsia="en-US"/>
        </w:rPr>
        <w:t xml:space="preserve"> staff</w:t>
      </w:r>
      <w:r w:rsidRPr="009F1E00">
        <w:rPr>
          <w:rFonts w:ascii="Arial" w:eastAsia="Arial" w:hAnsi="Arial"/>
          <w:b w:val="0"/>
          <w:bCs w:val="0"/>
          <w:color w:val="auto"/>
          <w:sz w:val="22"/>
          <w:lang w:eastAsia="en-US"/>
        </w:rPr>
        <w:t xml:space="preserve"> as well as </w:t>
      </w:r>
      <w:r w:rsidR="007F157F">
        <w:rPr>
          <w:rFonts w:ascii="Arial" w:eastAsia="Arial" w:hAnsi="Arial"/>
          <w:b w:val="0"/>
          <w:bCs w:val="0"/>
          <w:color w:val="auto"/>
          <w:sz w:val="22"/>
          <w:lang w:eastAsia="en-US"/>
        </w:rPr>
        <w:t xml:space="preserve">applicants </w:t>
      </w:r>
      <w:r w:rsidRPr="009F1E00">
        <w:rPr>
          <w:rFonts w:ascii="Arial" w:eastAsia="Arial" w:hAnsi="Arial"/>
          <w:b w:val="0"/>
          <w:bCs w:val="0"/>
          <w:color w:val="auto"/>
          <w:sz w:val="22"/>
          <w:lang w:eastAsia="en-US"/>
        </w:rPr>
        <w:t>dealing directly with the changes.</w:t>
      </w:r>
    </w:p>
    <w:p w14:paraId="7A50E33C" w14:textId="3E66DF82" w:rsidR="00A439D3" w:rsidRPr="00A1386D" w:rsidRDefault="009F1E00" w:rsidP="00DD0B30">
      <w:pPr>
        <w:pStyle w:val="Heading2"/>
        <w:numPr>
          <w:ilvl w:val="0"/>
          <w:numId w:val="34"/>
        </w:numPr>
        <w:rPr>
          <w:rFonts w:ascii="Arial" w:eastAsia="Arial" w:hAnsi="Arial"/>
          <w:b w:val="0"/>
          <w:bCs w:val="0"/>
          <w:color w:val="auto"/>
          <w:sz w:val="22"/>
          <w:lang w:eastAsia="en-US"/>
        </w:rPr>
      </w:pPr>
      <w:r w:rsidRPr="00DD0B30">
        <w:rPr>
          <w:rFonts w:ascii="Arial" w:eastAsia="Arial" w:hAnsi="Arial"/>
          <w:b w:val="0"/>
          <w:bCs w:val="0"/>
          <w:color w:val="auto"/>
          <w:sz w:val="22"/>
          <w:lang w:eastAsia="en-US"/>
        </w:rPr>
        <w:t xml:space="preserve">The currently proposed approach of informal monitoring by HSE’s biocides </w:t>
      </w:r>
      <w:r w:rsidR="00A93CAC" w:rsidRPr="00DD0B30">
        <w:rPr>
          <w:rFonts w:ascii="Arial" w:eastAsia="Arial" w:hAnsi="Arial"/>
          <w:b w:val="0"/>
          <w:bCs w:val="0"/>
          <w:color w:val="auto"/>
          <w:sz w:val="22"/>
          <w:lang w:eastAsia="en-US"/>
        </w:rPr>
        <w:t>staff</w:t>
      </w:r>
      <w:r w:rsidRPr="00DD0B30">
        <w:rPr>
          <w:rFonts w:ascii="Arial" w:eastAsia="Arial" w:hAnsi="Arial"/>
          <w:b w:val="0"/>
          <w:bCs w:val="0"/>
          <w:color w:val="auto"/>
          <w:sz w:val="22"/>
          <w:lang w:eastAsia="en-US"/>
        </w:rPr>
        <w:t xml:space="preserve"> will ensure maximum flexibility and extra data </w:t>
      </w:r>
      <w:r w:rsidR="00E862B8" w:rsidRPr="00DD0B30">
        <w:rPr>
          <w:rFonts w:ascii="Arial" w:eastAsia="Arial" w:hAnsi="Arial"/>
          <w:b w:val="0"/>
          <w:bCs w:val="0"/>
          <w:color w:val="auto"/>
          <w:sz w:val="22"/>
          <w:lang w:eastAsia="en-US"/>
        </w:rPr>
        <w:t xml:space="preserve">will not </w:t>
      </w:r>
      <w:r w:rsidRPr="00DD0B30">
        <w:rPr>
          <w:rFonts w:ascii="Arial" w:eastAsia="Arial" w:hAnsi="Arial"/>
          <w:b w:val="0"/>
          <w:bCs w:val="0"/>
          <w:color w:val="auto"/>
          <w:sz w:val="22"/>
          <w:lang w:eastAsia="en-US"/>
        </w:rPr>
        <w:t>be collected</w:t>
      </w:r>
      <w:r w:rsidR="001B4EC4" w:rsidRPr="00DD0B30">
        <w:rPr>
          <w:rFonts w:ascii="Arial" w:eastAsia="Arial" w:hAnsi="Arial"/>
          <w:b w:val="0"/>
          <w:bCs w:val="0"/>
          <w:color w:val="auto"/>
          <w:sz w:val="22"/>
          <w:lang w:eastAsia="en-US"/>
        </w:rPr>
        <w:t xml:space="preserve"> unless specific issues are identified</w:t>
      </w:r>
      <w:r w:rsidR="00B15D54" w:rsidRPr="00DD0B30">
        <w:rPr>
          <w:rFonts w:ascii="Arial" w:eastAsia="Arial" w:hAnsi="Arial"/>
          <w:b w:val="0"/>
          <w:bCs w:val="0"/>
          <w:color w:val="auto"/>
          <w:sz w:val="22"/>
          <w:lang w:eastAsia="en-US"/>
        </w:rPr>
        <w:t xml:space="preserve"> where this would add value</w:t>
      </w:r>
      <w:r w:rsidRPr="00DD0B30">
        <w:rPr>
          <w:rFonts w:ascii="Arial" w:eastAsia="Arial" w:hAnsi="Arial"/>
          <w:b w:val="0"/>
          <w:bCs w:val="0"/>
          <w:color w:val="auto"/>
          <w:sz w:val="22"/>
          <w:lang w:eastAsia="en-US"/>
        </w:rPr>
        <w:t xml:space="preserve">. </w:t>
      </w:r>
      <w:r w:rsidR="00D62139" w:rsidRPr="00DD0B30">
        <w:rPr>
          <w:rFonts w:ascii="Arial" w:eastAsia="Arial" w:hAnsi="Arial"/>
          <w:b w:val="0"/>
          <w:bCs w:val="0"/>
          <w:color w:val="auto"/>
          <w:sz w:val="22"/>
          <w:lang w:eastAsia="en-US"/>
        </w:rPr>
        <w:t xml:space="preserve"> </w:t>
      </w:r>
      <w:r w:rsidR="00E862B8" w:rsidRPr="00DD0B30">
        <w:rPr>
          <w:rFonts w:ascii="Arial" w:eastAsia="Arial" w:hAnsi="Arial"/>
          <w:b w:val="0"/>
          <w:bCs w:val="0"/>
          <w:color w:val="auto"/>
          <w:sz w:val="22"/>
          <w:lang w:eastAsia="en-US"/>
        </w:rPr>
        <w:t xml:space="preserve">As explained above, </w:t>
      </w:r>
      <w:r w:rsidR="006D67C0" w:rsidRPr="00DD0B30">
        <w:rPr>
          <w:rFonts w:ascii="Arial" w:eastAsia="Arial" w:hAnsi="Arial"/>
          <w:b w:val="0"/>
          <w:bCs w:val="0"/>
          <w:color w:val="auto"/>
          <w:sz w:val="22"/>
          <w:lang w:eastAsia="en-US"/>
        </w:rPr>
        <w:t xml:space="preserve">HSE considers that this </w:t>
      </w:r>
      <w:r w:rsidR="00442D07" w:rsidRPr="00DD0B30">
        <w:rPr>
          <w:rFonts w:ascii="Arial" w:eastAsia="Arial" w:hAnsi="Arial"/>
          <w:b w:val="0"/>
          <w:bCs w:val="0"/>
          <w:color w:val="auto"/>
          <w:sz w:val="22"/>
          <w:lang w:eastAsia="en-US"/>
        </w:rPr>
        <w:t xml:space="preserve">is the most proportionate and cost-effective approach given </w:t>
      </w:r>
      <w:r w:rsidR="006D67C0" w:rsidRPr="00DD0B30">
        <w:rPr>
          <w:rFonts w:ascii="Arial" w:eastAsia="Arial" w:hAnsi="Arial"/>
          <w:b w:val="0"/>
          <w:bCs w:val="0"/>
          <w:color w:val="auto"/>
          <w:sz w:val="22"/>
          <w:lang w:eastAsia="en-US"/>
        </w:rPr>
        <w:t>the nature of the change</w:t>
      </w:r>
      <w:r w:rsidR="00442D07" w:rsidRPr="00DD0B30">
        <w:rPr>
          <w:rFonts w:ascii="Arial" w:eastAsia="Arial" w:hAnsi="Arial"/>
          <w:b w:val="0"/>
          <w:bCs w:val="0"/>
          <w:color w:val="auto"/>
          <w:sz w:val="22"/>
          <w:lang w:eastAsia="en-US"/>
        </w:rPr>
        <w:t>s.</w:t>
      </w:r>
      <w:r w:rsidR="006D67C0" w:rsidRPr="00DD0B30">
        <w:rPr>
          <w:rFonts w:ascii="Arial" w:eastAsia="Arial" w:hAnsi="Arial"/>
          <w:b w:val="0"/>
          <w:bCs w:val="0"/>
          <w:color w:val="auto"/>
          <w:sz w:val="22"/>
          <w:lang w:eastAsia="en-US"/>
        </w:rPr>
        <w:t xml:space="preserve"> </w:t>
      </w:r>
      <w:r w:rsidR="00A439D3" w:rsidRPr="00DD0B30">
        <w:rPr>
          <w:rFonts w:ascii="Arial" w:eastAsia="Arial" w:hAnsi="Arial"/>
          <w:b w:val="0"/>
          <w:bCs w:val="0"/>
          <w:color w:val="auto"/>
          <w:sz w:val="22"/>
          <w:lang w:eastAsia="en-US"/>
        </w:rPr>
        <w:br w:type="page"/>
      </w:r>
    </w:p>
    <w:p w14:paraId="66316BFB" w14:textId="068EBE79" w:rsidR="00986681" w:rsidRPr="00DD0B30" w:rsidRDefault="009E41D3" w:rsidP="00DD0B30">
      <w:pPr>
        <w:rPr>
          <w:b/>
          <w:bCs/>
          <w:i/>
          <w:iCs/>
          <w:lang w:eastAsia="en-GB"/>
        </w:rPr>
      </w:pPr>
      <w:r w:rsidRPr="00DD0B30">
        <w:rPr>
          <w:b/>
          <w:bCs/>
          <w:i/>
          <w:iCs/>
          <w:lang w:eastAsia="en-GB"/>
        </w:rPr>
        <w:lastRenderedPageBreak/>
        <w:t xml:space="preserve">Annex 1: Description of methods </w:t>
      </w:r>
      <w:r w:rsidR="005B3CA5" w:rsidRPr="00DD0B30">
        <w:rPr>
          <w:b/>
          <w:bCs/>
          <w:i/>
          <w:iCs/>
          <w:lang w:eastAsia="en-GB"/>
        </w:rPr>
        <w:t xml:space="preserve">used to identify </w:t>
      </w:r>
      <w:r w:rsidR="003A0FA3" w:rsidRPr="00A439D3">
        <w:rPr>
          <w:b/>
          <w:bCs/>
          <w:i/>
          <w:iCs/>
          <w:lang w:eastAsia="en-GB"/>
        </w:rPr>
        <w:t xml:space="preserve">unique applicant/ authorisation holder businesses </w:t>
      </w:r>
      <w:r w:rsidR="000F04EF" w:rsidRPr="00DD0B30">
        <w:rPr>
          <w:b/>
          <w:bCs/>
          <w:i/>
          <w:iCs/>
          <w:lang w:eastAsia="en-GB"/>
        </w:rPr>
        <w:t xml:space="preserve">using </w:t>
      </w:r>
      <w:r w:rsidRPr="00DD0B30">
        <w:rPr>
          <w:b/>
          <w:bCs/>
          <w:i/>
          <w:iCs/>
          <w:lang w:eastAsia="en-GB"/>
        </w:rPr>
        <w:t>GB and ECHA</w:t>
      </w:r>
      <w:r w:rsidR="00E61235" w:rsidRPr="00DD0B30">
        <w:rPr>
          <w:b/>
          <w:bCs/>
          <w:i/>
          <w:iCs/>
          <w:lang w:eastAsia="en-GB"/>
        </w:rPr>
        <w:t xml:space="preserve"> authorised </w:t>
      </w:r>
      <w:r w:rsidR="00F149D1" w:rsidRPr="00DD0B30">
        <w:rPr>
          <w:b/>
          <w:bCs/>
          <w:i/>
          <w:iCs/>
          <w:lang w:eastAsia="en-GB"/>
        </w:rPr>
        <w:t xml:space="preserve">biocidal product </w:t>
      </w:r>
      <w:r w:rsidR="004A588D" w:rsidRPr="00DD0B30">
        <w:rPr>
          <w:b/>
          <w:bCs/>
          <w:i/>
          <w:iCs/>
          <w:lang w:eastAsia="en-GB"/>
        </w:rPr>
        <w:t xml:space="preserve">and active substance </w:t>
      </w:r>
      <w:r w:rsidR="00F149D1" w:rsidRPr="00DD0B30">
        <w:rPr>
          <w:b/>
          <w:bCs/>
          <w:i/>
          <w:iCs/>
          <w:lang w:eastAsia="en-GB"/>
        </w:rPr>
        <w:t>lists</w:t>
      </w:r>
    </w:p>
    <w:p w14:paraId="798BA89D" w14:textId="77777777" w:rsidR="00F149D1" w:rsidRDefault="00F149D1" w:rsidP="00F008FD">
      <w:pPr>
        <w:rPr>
          <w:b/>
          <w:bCs/>
          <w:i/>
          <w:iCs/>
          <w:lang w:eastAsia="en-GB"/>
        </w:rPr>
      </w:pPr>
    </w:p>
    <w:p w14:paraId="16EE3556" w14:textId="77777777" w:rsidR="00484295" w:rsidRPr="00F008FD" w:rsidRDefault="00484295" w:rsidP="00535E57">
      <w:pPr>
        <w:pStyle w:val="ListParagraph"/>
        <w:numPr>
          <w:ilvl w:val="0"/>
          <w:numId w:val="54"/>
        </w:numPr>
        <w:spacing w:after="120"/>
        <w:rPr>
          <w:rFonts w:eastAsia="Arial" w:cs="Arial"/>
          <w:sz w:val="22"/>
          <w:szCs w:val="22"/>
        </w:rPr>
      </w:pPr>
      <w:r w:rsidRPr="00F008FD">
        <w:rPr>
          <w:rFonts w:eastAsia="Arial" w:cs="Arial"/>
          <w:sz w:val="22"/>
          <w:szCs w:val="22"/>
        </w:rPr>
        <w:t>HSE economic and social research analysts conducted a three-stage analysis to arrive at estimates of the proportions of unique applicant/</w:t>
      </w:r>
      <w:r>
        <w:rPr>
          <w:rFonts w:eastAsia="Arial" w:cs="Arial"/>
          <w:sz w:val="22"/>
          <w:szCs w:val="22"/>
        </w:rPr>
        <w:t xml:space="preserve"> </w:t>
      </w:r>
      <w:r w:rsidRPr="00F008FD">
        <w:rPr>
          <w:rFonts w:eastAsia="Arial" w:cs="Arial"/>
          <w:sz w:val="22"/>
          <w:szCs w:val="22"/>
        </w:rPr>
        <w:t>authorisation holder businesses which were:</w:t>
      </w:r>
    </w:p>
    <w:p w14:paraId="4B80E0DC" w14:textId="77777777" w:rsidR="00484295" w:rsidRPr="00F008FD" w:rsidRDefault="00484295" w:rsidP="00535E57">
      <w:pPr>
        <w:pStyle w:val="ListParagraph"/>
        <w:numPr>
          <w:ilvl w:val="0"/>
          <w:numId w:val="55"/>
        </w:numPr>
        <w:spacing w:after="120"/>
        <w:rPr>
          <w:rFonts w:eastAsia="Arial" w:cs="Arial"/>
        </w:rPr>
      </w:pPr>
      <w:r w:rsidRPr="00F008FD">
        <w:rPr>
          <w:rFonts w:eastAsia="Arial" w:cs="Arial"/>
          <w:sz w:val="22"/>
          <w:szCs w:val="22"/>
        </w:rPr>
        <w:t xml:space="preserve">active in both GB and the EU, which has already implemented the new test requirements; or, </w:t>
      </w:r>
    </w:p>
    <w:p w14:paraId="2A3F2FBD" w14:textId="77777777" w:rsidR="00484295" w:rsidRPr="00F008FD" w:rsidRDefault="00484295" w:rsidP="00535E57">
      <w:pPr>
        <w:pStyle w:val="ListParagraph"/>
        <w:numPr>
          <w:ilvl w:val="0"/>
          <w:numId w:val="55"/>
        </w:numPr>
        <w:spacing w:after="120"/>
        <w:rPr>
          <w:rFonts w:eastAsia="Arial" w:cs="Arial"/>
        </w:rPr>
      </w:pPr>
      <w:r w:rsidRPr="00F008FD">
        <w:rPr>
          <w:rFonts w:eastAsia="Arial" w:cs="Arial"/>
          <w:sz w:val="22"/>
          <w:szCs w:val="22"/>
        </w:rPr>
        <w:t xml:space="preserve">active in GB only and therefore may be less likely to be meeting the new GB-BPR test requirements. </w:t>
      </w:r>
    </w:p>
    <w:p w14:paraId="193EBD3B" w14:textId="77777777" w:rsidR="00484295" w:rsidRDefault="00484295" w:rsidP="00F008FD">
      <w:pPr>
        <w:rPr>
          <w:b/>
          <w:bCs/>
          <w:i/>
          <w:iCs/>
          <w:lang w:eastAsia="en-GB"/>
        </w:rPr>
      </w:pPr>
    </w:p>
    <w:p w14:paraId="69297045" w14:textId="158D95CA" w:rsidR="00F149D1" w:rsidRPr="00306FC1" w:rsidRDefault="00C5584C" w:rsidP="00306FC1">
      <w:pPr>
        <w:pStyle w:val="Heading2"/>
      </w:pPr>
      <w:r>
        <w:t>Q</w:t>
      </w:r>
      <w:r w:rsidR="00F149D1" w:rsidRPr="00306FC1">
        <w:t>ualitative analysis: Process and criteria</w:t>
      </w:r>
    </w:p>
    <w:p w14:paraId="75C4F61B" w14:textId="77777777" w:rsidR="00F149D1" w:rsidRPr="00306FC1" w:rsidRDefault="00F149D1" w:rsidP="00535E57">
      <w:pPr>
        <w:pStyle w:val="ListParagraph"/>
        <w:numPr>
          <w:ilvl w:val="0"/>
          <w:numId w:val="54"/>
        </w:numPr>
        <w:spacing w:after="120"/>
        <w:rPr>
          <w:rFonts w:eastAsia="Arial" w:cs="Arial"/>
          <w:sz w:val="22"/>
          <w:szCs w:val="22"/>
        </w:rPr>
      </w:pPr>
      <w:r w:rsidRPr="00306FC1">
        <w:rPr>
          <w:rFonts w:eastAsia="Arial" w:cs="Arial"/>
          <w:sz w:val="22"/>
          <w:szCs w:val="22"/>
        </w:rPr>
        <w:t xml:space="preserve">The ECHA and GB Article 95 lists, and the GB Authorised Biocidal Product list data required cleaning and de-duplicating due to data entry error and differences across lists. This was done in stages: </w:t>
      </w:r>
    </w:p>
    <w:p w14:paraId="2022715B" w14:textId="77777777" w:rsidR="00F149D1" w:rsidRPr="00306FC1" w:rsidRDefault="00F149D1" w:rsidP="00306FC1">
      <w:pPr>
        <w:pStyle w:val="ListParagraph"/>
        <w:numPr>
          <w:ilvl w:val="1"/>
          <w:numId w:val="45"/>
        </w:numPr>
        <w:spacing w:after="120"/>
        <w:rPr>
          <w:rFonts w:eastAsia="Arial" w:cs="Arial"/>
          <w:sz w:val="22"/>
          <w:szCs w:val="22"/>
        </w:rPr>
      </w:pPr>
      <w:r w:rsidRPr="00306FC1">
        <w:rPr>
          <w:rFonts w:eastAsia="Arial" w:cs="Arial"/>
          <w:sz w:val="22"/>
          <w:szCs w:val="22"/>
        </w:rPr>
        <w:t>Initially by simple Excel de-duplication</w:t>
      </w:r>
    </w:p>
    <w:p w14:paraId="64637A29" w14:textId="77777777" w:rsidR="00F149D1" w:rsidRPr="00306FC1" w:rsidRDefault="00F149D1" w:rsidP="00306FC1">
      <w:pPr>
        <w:pStyle w:val="ListParagraph"/>
        <w:numPr>
          <w:ilvl w:val="1"/>
          <w:numId w:val="45"/>
        </w:numPr>
        <w:spacing w:after="120"/>
        <w:rPr>
          <w:rFonts w:eastAsia="Arial" w:cs="Arial"/>
          <w:sz w:val="22"/>
          <w:szCs w:val="22"/>
        </w:rPr>
      </w:pPr>
      <w:r w:rsidRPr="00306FC1">
        <w:rPr>
          <w:rFonts w:eastAsia="Arial" w:cs="Arial"/>
          <w:sz w:val="22"/>
          <w:szCs w:val="22"/>
        </w:rPr>
        <w:t>Comparisons of lists using Excel operations</w:t>
      </w:r>
    </w:p>
    <w:p w14:paraId="57526962" w14:textId="77777777" w:rsidR="00F149D1" w:rsidRPr="00306FC1" w:rsidRDefault="00F149D1" w:rsidP="00306FC1">
      <w:pPr>
        <w:pStyle w:val="ListParagraph"/>
        <w:numPr>
          <w:ilvl w:val="1"/>
          <w:numId w:val="45"/>
        </w:numPr>
        <w:spacing w:after="120"/>
        <w:rPr>
          <w:rFonts w:eastAsia="Arial" w:cs="Arial"/>
          <w:sz w:val="22"/>
          <w:szCs w:val="22"/>
        </w:rPr>
      </w:pPr>
      <w:r w:rsidRPr="00306FC1">
        <w:rPr>
          <w:rFonts w:eastAsia="Arial" w:cs="Arial"/>
          <w:sz w:val="22"/>
          <w:szCs w:val="22"/>
        </w:rPr>
        <w:t xml:space="preserve">Manual comparison and de-duplication, mitigating for data entry errors which Excel was not able to identify </w:t>
      </w:r>
    </w:p>
    <w:p w14:paraId="0FA1C36C" w14:textId="77777777" w:rsidR="00F149D1" w:rsidRPr="00306FC1" w:rsidRDefault="00F149D1" w:rsidP="00306FC1">
      <w:pPr>
        <w:pStyle w:val="ListParagraph"/>
        <w:numPr>
          <w:ilvl w:val="1"/>
          <w:numId w:val="45"/>
        </w:numPr>
        <w:spacing w:after="120"/>
        <w:rPr>
          <w:rFonts w:eastAsia="Arial" w:cs="Arial"/>
          <w:sz w:val="22"/>
          <w:szCs w:val="22"/>
        </w:rPr>
      </w:pPr>
      <w:r w:rsidRPr="00306FC1">
        <w:rPr>
          <w:rFonts w:eastAsia="Arial" w:cs="Arial"/>
          <w:sz w:val="22"/>
          <w:szCs w:val="22"/>
        </w:rPr>
        <w:t xml:space="preserve">Further manual cleaning and verification of unique business details where confidence was not high from the data, through web searches using consistent criteria to make a judgement on whether a business was a unique entity, even if part of an umbrella company. For example, location might have been a defining factor if multiple business entities used very slightly different acronyms but common names. This approach provided a level of validation and increased (qualitative) confidence in the level of accuracy of resulting unique business proportions. </w:t>
      </w:r>
    </w:p>
    <w:p w14:paraId="4BD2D283" w14:textId="77777777" w:rsidR="00F149D1" w:rsidRPr="00306FC1" w:rsidRDefault="00F149D1" w:rsidP="00306FC1">
      <w:pPr>
        <w:pStyle w:val="ListParagraph"/>
        <w:numPr>
          <w:ilvl w:val="1"/>
          <w:numId w:val="45"/>
        </w:numPr>
        <w:spacing w:after="120"/>
        <w:rPr>
          <w:rFonts w:eastAsia="Arial" w:cs="Arial"/>
          <w:sz w:val="22"/>
          <w:szCs w:val="22"/>
        </w:rPr>
      </w:pPr>
      <w:r w:rsidRPr="00306FC1">
        <w:rPr>
          <w:rFonts w:eastAsia="Arial" w:cs="Arial"/>
          <w:sz w:val="22"/>
          <w:szCs w:val="22"/>
        </w:rPr>
        <w:t xml:space="preserve">After cleaning, remaining companies were further double-checked against the ECHA and GB lists (simple </w:t>
      </w:r>
      <w:proofErr w:type="spellStart"/>
      <w:r w:rsidRPr="00306FC1">
        <w:rPr>
          <w:rFonts w:eastAsia="Arial" w:cs="Arial"/>
          <w:sz w:val="22"/>
          <w:szCs w:val="22"/>
        </w:rPr>
        <w:t>ctrl+F</w:t>
      </w:r>
      <w:proofErr w:type="spellEnd"/>
      <w:r w:rsidRPr="00306FC1">
        <w:rPr>
          <w:rFonts w:eastAsia="Arial" w:cs="Arial"/>
          <w:sz w:val="22"/>
          <w:szCs w:val="22"/>
        </w:rPr>
        <w:t xml:space="preserve">) for entries of any kind so duplicates could be identified with only unique business entities which were active in the UK remaining. </w:t>
      </w:r>
    </w:p>
    <w:p w14:paraId="71E2C1FB" w14:textId="77777777" w:rsidR="00F149D1" w:rsidRPr="00306FC1" w:rsidRDefault="00F149D1" w:rsidP="00306FC1">
      <w:pPr>
        <w:pStyle w:val="ListParagraph"/>
        <w:numPr>
          <w:ilvl w:val="1"/>
          <w:numId w:val="45"/>
        </w:numPr>
        <w:spacing w:after="120"/>
        <w:rPr>
          <w:rFonts w:eastAsia="Arial" w:cs="Arial"/>
          <w:sz w:val="22"/>
          <w:szCs w:val="22"/>
        </w:rPr>
      </w:pPr>
      <w:r w:rsidRPr="00306FC1">
        <w:rPr>
          <w:rFonts w:eastAsia="Arial" w:cs="Arial"/>
          <w:sz w:val="22"/>
          <w:szCs w:val="22"/>
        </w:rPr>
        <w:t xml:space="preserve">Final counts were reached using the second stage cleaned data/lists of unique business entities. </w:t>
      </w:r>
    </w:p>
    <w:p w14:paraId="2338A495" w14:textId="77777777" w:rsidR="00F149D1" w:rsidRPr="00306FC1" w:rsidRDefault="00F149D1" w:rsidP="00306FC1">
      <w:pPr>
        <w:pStyle w:val="Heading2"/>
      </w:pPr>
      <w:r w:rsidRPr="00306FC1">
        <w:t>Rationale for analytical decisions and cleaning criteria</w:t>
      </w:r>
    </w:p>
    <w:p w14:paraId="4F0EBF45" w14:textId="77777777" w:rsidR="00F149D1" w:rsidRPr="00306FC1" w:rsidRDefault="00F149D1" w:rsidP="00306FC1">
      <w:pPr>
        <w:pStyle w:val="Heading3"/>
      </w:pPr>
      <w:r w:rsidRPr="00306FC1">
        <w:t xml:space="preserve">Locations and subsidiaries </w:t>
      </w:r>
    </w:p>
    <w:p w14:paraId="03CC9D6D" w14:textId="77777777" w:rsidR="00F149D1" w:rsidRPr="00306FC1" w:rsidRDefault="00F149D1" w:rsidP="00535E57">
      <w:pPr>
        <w:pStyle w:val="ListParagraph"/>
        <w:numPr>
          <w:ilvl w:val="0"/>
          <w:numId w:val="54"/>
        </w:numPr>
        <w:spacing w:after="120"/>
        <w:rPr>
          <w:rFonts w:eastAsia="Arial" w:cs="Arial"/>
          <w:sz w:val="22"/>
          <w:szCs w:val="22"/>
        </w:rPr>
      </w:pPr>
      <w:r w:rsidRPr="00306FC1">
        <w:rPr>
          <w:rFonts w:eastAsia="Arial" w:cs="Arial"/>
          <w:sz w:val="22"/>
          <w:szCs w:val="22"/>
        </w:rPr>
        <w:t xml:space="preserve">Decisions for leaving some similar business entries were based on the premise that different locations and subsidiaries may not have centralised processes and can operate in different markets/product types. Web searches and website checks also confirmed separate entities in some cases. </w:t>
      </w:r>
    </w:p>
    <w:p w14:paraId="5BC00C87" w14:textId="77777777" w:rsidR="00F149D1" w:rsidRPr="00306FC1" w:rsidRDefault="00F149D1" w:rsidP="00306FC1">
      <w:pPr>
        <w:pStyle w:val="Heading3"/>
      </w:pPr>
      <w:r w:rsidRPr="00306FC1">
        <w:t>List data quality and labelling</w:t>
      </w:r>
    </w:p>
    <w:p w14:paraId="71AD7E24" w14:textId="77777777" w:rsidR="00F149D1" w:rsidRPr="00306FC1" w:rsidRDefault="00F149D1" w:rsidP="00535E57">
      <w:pPr>
        <w:pStyle w:val="ListParagraph"/>
        <w:numPr>
          <w:ilvl w:val="0"/>
          <w:numId w:val="54"/>
        </w:numPr>
        <w:spacing w:after="120"/>
        <w:rPr>
          <w:rFonts w:eastAsia="Arial" w:cs="Arial"/>
          <w:sz w:val="22"/>
          <w:szCs w:val="22"/>
        </w:rPr>
      </w:pPr>
      <w:r w:rsidRPr="00306FC1">
        <w:rPr>
          <w:rFonts w:eastAsia="Arial" w:cs="Arial"/>
          <w:sz w:val="22"/>
          <w:szCs w:val="22"/>
        </w:rPr>
        <w:t>Based on expert opinion, the following were removed:</w:t>
      </w:r>
    </w:p>
    <w:p w14:paraId="27CD28E2" w14:textId="77777777" w:rsidR="00F149D1" w:rsidRPr="00306FC1" w:rsidRDefault="00F149D1" w:rsidP="00306FC1">
      <w:pPr>
        <w:pStyle w:val="ListParagraph"/>
        <w:numPr>
          <w:ilvl w:val="1"/>
          <w:numId w:val="45"/>
        </w:numPr>
        <w:spacing w:after="120"/>
        <w:rPr>
          <w:rFonts w:eastAsia="Arial" w:cs="Arial"/>
          <w:sz w:val="22"/>
          <w:szCs w:val="22"/>
        </w:rPr>
      </w:pPr>
      <w:r w:rsidRPr="00306FC1">
        <w:rPr>
          <w:rFonts w:eastAsia="Arial" w:cs="Arial"/>
          <w:sz w:val="22"/>
          <w:szCs w:val="22"/>
        </w:rPr>
        <w:t xml:space="preserve">Applications labelled 'EU representative to be appointed (representing x company)' and applications appearing to be ones in progress but not followed up, were removed. </w:t>
      </w:r>
    </w:p>
    <w:p w14:paraId="04A63F0C" w14:textId="77777777" w:rsidR="00F149D1" w:rsidRPr="00306FC1" w:rsidRDefault="00F149D1" w:rsidP="00306FC1">
      <w:pPr>
        <w:pStyle w:val="Heading3"/>
      </w:pPr>
      <w:r w:rsidRPr="00306FC1">
        <w:t>Limitations</w:t>
      </w:r>
    </w:p>
    <w:p w14:paraId="78CD53C5" w14:textId="2D2DCAA6" w:rsidR="00F149D1" w:rsidRDefault="00F149D1" w:rsidP="00535E57">
      <w:pPr>
        <w:pStyle w:val="ListParagraph"/>
        <w:numPr>
          <w:ilvl w:val="0"/>
          <w:numId w:val="54"/>
        </w:numPr>
        <w:spacing w:after="120"/>
        <w:rPr>
          <w:rFonts w:eastAsia="Arial" w:cs="Arial"/>
          <w:sz w:val="22"/>
          <w:szCs w:val="22"/>
        </w:rPr>
      </w:pPr>
      <w:r w:rsidRPr="00306FC1">
        <w:rPr>
          <w:rFonts w:eastAsia="Arial" w:cs="Arial"/>
          <w:sz w:val="22"/>
          <w:szCs w:val="22"/>
        </w:rPr>
        <w:t xml:space="preserve">Currently, ECHA’s product list is not available due technical issues so a comparison and de-duplication against the ECHA list is not currently possible. We will review if we can </w:t>
      </w:r>
      <w:r w:rsidR="00FA44A3">
        <w:rPr>
          <w:rFonts w:eastAsia="Arial" w:cs="Arial"/>
          <w:sz w:val="22"/>
          <w:szCs w:val="22"/>
        </w:rPr>
        <w:t>i</w:t>
      </w:r>
      <w:r w:rsidRPr="00306FC1">
        <w:rPr>
          <w:rFonts w:eastAsia="Arial" w:cs="Arial"/>
          <w:sz w:val="22"/>
          <w:szCs w:val="22"/>
        </w:rPr>
        <w:t xml:space="preserve">dentify BP producers that are active in the GB only once/if this is available. </w:t>
      </w:r>
    </w:p>
    <w:p w14:paraId="400C410E" w14:textId="77777777" w:rsidR="00A61A5E" w:rsidRPr="00306FC1" w:rsidRDefault="00A61A5E" w:rsidP="00306FC1">
      <w:pPr>
        <w:pStyle w:val="ListParagraph"/>
        <w:spacing w:after="120"/>
        <w:ind w:left="473"/>
        <w:rPr>
          <w:rFonts w:eastAsia="Arial" w:cs="Arial"/>
          <w:sz w:val="22"/>
          <w:szCs w:val="22"/>
        </w:rPr>
      </w:pPr>
    </w:p>
    <w:p w14:paraId="7813B768" w14:textId="77777777" w:rsidR="00F149D1" w:rsidRDefault="00F149D1" w:rsidP="00535E57">
      <w:pPr>
        <w:pStyle w:val="ListParagraph"/>
        <w:numPr>
          <w:ilvl w:val="0"/>
          <w:numId w:val="54"/>
        </w:numPr>
        <w:spacing w:after="120"/>
        <w:rPr>
          <w:rFonts w:eastAsia="Arial" w:cs="Arial"/>
          <w:sz w:val="22"/>
          <w:szCs w:val="22"/>
        </w:rPr>
      </w:pPr>
      <w:r w:rsidRPr="00306FC1">
        <w:rPr>
          <w:rFonts w:eastAsia="Arial" w:cs="Arial"/>
          <w:sz w:val="22"/>
          <w:szCs w:val="22"/>
        </w:rPr>
        <w:t xml:space="preserve">It may be possible that some older entries on the lists could have experienced a change in business status. </w:t>
      </w:r>
    </w:p>
    <w:p w14:paraId="0E8045BC" w14:textId="77777777" w:rsidR="00A61A5E" w:rsidRPr="00306FC1" w:rsidRDefault="00A61A5E" w:rsidP="00535E57">
      <w:pPr>
        <w:pStyle w:val="ListParagraph"/>
        <w:spacing w:after="120"/>
        <w:ind w:left="473"/>
        <w:rPr>
          <w:rFonts w:eastAsia="Arial" w:cs="Arial"/>
          <w:sz w:val="22"/>
          <w:szCs w:val="22"/>
        </w:rPr>
      </w:pPr>
    </w:p>
    <w:p w14:paraId="277000F3" w14:textId="77777777" w:rsidR="00F149D1" w:rsidRDefault="00F149D1" w:rsidP="00535E57">
      <w:pPr>
        <w:pStyle w:val="ListParagraph"/>
        <w:numPr>
          <w:ilvl w:val="0"/>
          <w:numId w:val="54"/>
        </w:numPr>
        <w:spacing w:after="120"/>
        <w:rPr>
          <w:rFonts w:eastAsia="Arial" w:cs="Arial"/>
          <w:sz w:val="22"/>
          <w:szCs w:val="22"/>
        </w:rPr>
      </w:pPr>
      <w:r w:rsidRPr="00306FC1">
        <w:rPr>
          <w:rFonts w:eastAsia="Arial" w:cs="Arial"/>
          <w:sz w:val="22"/>
          <w:szCs w:val="22"/>
        </w:rPr>
        <w:lastRenderedPageBreak/>
        <w:t>Though manual cleaning and verification was used to good effect to further clean and improve our list data, human intervention does increase the chances of human error; furthermore, Excel limitations led to further manual checks</w:t>
      </w:r>
    </w:p>
    <w:p w14:paraId="014875C1" w14:textId="77777777" w:rsidR="00A61A5E" w:rsidRPr="00306FC1" w:rsidRDefault="00A61A5E" w:rsidP="00535E57">
      <w:pPr>
        <w:pStyle w:val="ListParagraph"/>
        <w:spacing w:after="120"/>
        <w:ind w:left="473"/>
        <w:rPr>
          <w:rFonts w:eastAsia="Arial" w:cs="Arial"/>
          <w:sz w:val="22"/>
          <w:szCs w:val="22"/>
        </w:rPr>
      </w:pPr>
    </w:p>
    <w:p w14:paraId="0EE140F9" w14:textId="77777777" w:rsidR="00F149D1" w:rsidRPr="00306FC1" w:rsidRDefault="00F149D1" w:rsidP="00535E57">
      <w:pPr>
        <w:pStyle w:val="ListParagraph"/>
        <w:numPr>
          <w:ilvl w:val="0"/>
          <w:numId w:val="54"/>
        </w:numPr>
        <w:spacing w:after="120"/>
        <w:rPr>
          <w:rFonts w:eastAsia="Arial" w:cs="Arial"/>
          <w:sz w:val="22"/>
          <w:szCs w:val="22"/>
        </w:rPr>
      </w:pPr>
      <w:r w:rsidRPr="00306FC1">
        <w:rPr>
          <w:rFonts w:eastAsia="Arial" w:cs="Arial"/>
          <w:sz w:val="22"/>
          <w:szCs w:val="22"/>
        </w:rPr>
        <w:t xml:space="preserve">Data quality was not excellent and entirely reliable but was of good enough quality to reach proportions which could be verified through consultation and research thus far; this is deemed proportionate to the potential impacts and costs of the proposed changes. </w:t>
      </w:r>
    </w:p>
    <w:p w14:paraId="5C34BE27" w14:textId="39BFBFB3" w:rsidR="00F149D1" w:rsidRPr="00986681" w:rsidRDefault="00F149D1" w:rsidP="00F008FD">
      <w:pPr>
        <w:rPr>
          <w:b/>
          <w:bCs/>
          <w:i/>
          <w:iCs/>
          <w:lang w:eastAsia="en-GB"/>
        </w:rPr>
      </w:pPr>
    </w:p>
    <w:sectPr w:rsidR="00F149D1" w:rsidRPr="00986681" w:rsidSect="00807DB6">
      <w:headerReference w:type="even" r:id="rId18"/>
      <w:footerReference w:type="default" r:id="rId19"/>
      <w:footnotePr>
        <w:numRestart w:val="eachSect"/>
      </w:footnotePr>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0141" w14:textId="77777777" w:rsidR="00437381" w:rsidRDefault="00437381">
      <w:r>
        <w:separator/>
      </w:r>
    </w:p>
  </w:endnote>
  <w:endnote w:type="continuationSeparator" w:id="0">
    <w:p w14:paraId="498EEEA1" w14:textId="77777777" w:rsidR="00437381" w:rsidRDefault="00437381">
      <w:r>
        <w:continuationSeparator/>
      </w:r>
    </w:p>
  </w:endnote>
  <w:endnote w:type="continuationNotice" w:id="1">
    <w:p w14:paraId="4FA9C022" w14:textId="77777777" w:rsidR="00437381" w:rsidRDefault="00437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UI">
    <w:altName w:val="SegoeUI"/>
    <w:charset w:val="00"/>
    <w:family w:val="swiss"/>
    <w:pitch w:val="variable"/>
    <w:sig w:usb0="800000EF" w:usb1="8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33A1" w14:textId="77777777" w:rsidR="00D64409" w:rsidRDefault="00D6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708B" w14:textId="77777777" w:rsidR="00F84E50" w:rsidRPr="00EB43FD" w:rsidRDefault="00F84E50"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044FE7">
      <w:rPr>
        <w:rStyle w:val="PageNumber"/>
        <w:rFonts w:eastAsia="SimSun"/>
        <w:b w:val="0"/>
        <w:noProof/>
        <w:szCs w:val="18"/>
      </w:rPr>
      <w:t>1</w:t>
    </w:r>
    <w:r w:rsidRPr="00EB43FD">
      <w:rPr>
        <w:rStyle w:val="PageNumber"/>
        <w:rFonts w:eastAsia="SimSun"/>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12CD" w14:textId="77777777" w:rsidR="00D64409" w:rsidRDefault="00D644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9F90" w14:textId="77777777" w:rsidR="00F84E50" w:rsidRPr="00EB43FD" w:rsidRDefault="00F84E50"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044FE7">
      <w:rPr>
        <w:rStyle w:val="PageNumber"/>
        <w:b w:val="0"/>
        <w:noProof/>
        <w:szCs w:val="18"/>
      </w:rPr>
      <w:t>3</w:t>
    </w:r>
    <w:r w:rsidRPr="00EB43FD">
      <w:rPr>
        <w:rStyle w:val="PageNumber"/>
        <w:b w:val="0"/>
        <w:szCs w:val="18"/>
      </w:rPr>
      <w:fldChar w:fldCharType="end"/>
    </w:r>
  </w:p>
  <w:p w14:paraId="6F033233" w14:textId="77777777" w:rsidR="00F84E50" w:rsidRDefault="00F84E50"/>
  <w:p w14:paraId="68A9B507" w14:textId="77777777" w:rsidR="00F84E50" w:rsidRDefault="00F84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B1B0" w14:textId="77777777" w:rsidR="00437381" w:rsidRDefault="00437381">
      <w:r>
        <w:separator/>
      </w:r>
    </w:p>
  </w:footnote>
  <w:footnote w:type="continuationSeparator" w:id="0">
    <w:p w14:paraId="5321A2E4" w14:textId="77777777" w:rsidR="00437381" w:rsidRDefault="00437381">
      <w:r>
        <w:continuationSeparator/>
      </w:r>
    </w:p>
  </w:footnote>
  <w:footnote w:type="continuationNotice" w:id="1">
    <w:p w14:paraId="6D2E5F4B" w14:textId="77777777" w:rsidR="00437381" w:rsidRDefault="00437381"/>
  </w:footnote>
  <w:footnote w:id="2">
    <w:p w14:paraId="36E89362" w14:textId="4901E915" w:rsidR="00FA5139" w:rsidRDefault="00FA5139">
      <w:pPr>
        <w:pStyle w:val="FootnoteText"/>
      </w:pPr>
      <w:r>
        <w:rPr>
          <w:rStyle w:val="FootnoteReference"/>
        </w:rPr>
        <w:footnoteRef/>
      </w:r>
      <w:r>
        <w:t xml:space="preserve"> This analysis is described further </w:t>
      </w:r>
      <w:r w:rsidR="004345D3">
        <w:t>in Annex 1.</w:t>
      </w:r>
    </w:p>
  </w:footnote>
  <w:footnote w:id="3">
    <w:p w14:paraId="7BAE0BAB" w14:textId="7A2D48AE" w:rsidR="00A362CE" w:rsidRDefault="00A362CE">
      <w:pPr>
        <w:pStyle w:val="FootnoteText"/>
      </w:pPr>
      <w:r>
        <w:rPr>
          <w:rStyle w:val="FootnoteReference"/>
        </w:rPr>
        <w:footnoteRef/>
      </w:r>
      <w:r>
        <w:t xml:space="preserve"> “In a living body”.</w:t>
      </w:r>
    </w:p>
  </w:footnote>
  <w:footnote w:id="4">
    <w:p w14:paraId="7B0D8469" w14:textId="619F7D1D" w:rsidR="006E62A3" w:rsidRDefault="006E62A3">
      <w:pPr>
        <w:pStyle w:val="FootnoteText"/>
      </w:pPr>
      <w:r>
        <w:rPr>
          <w:rStyle w:val="FootnoteReference"/>
        </w:rPr>
        <w:footnoteRef/>
      </w:r>
      <w:r>
        <w:t xml:space="preserve"> “In glass”</w:t>
      </w:r>
      <w:r w:rsidR="000F6ACD">
        <w:t xml:space="preserve"> (i.e., in a test tube or other </w:t>
      </w:r>
      <w:r w:rsidR="00726276">
        <w:t>vessel).</w:t>
      </w:r>
    </w:p>
  </w:footnote>
  <w:footnote w:id="5">
    <w:p w14:paraId="2405FE09" w14:textId="521E9024" w:rsidR="004966AB" w:rsidRDefault="004966AB">
      <w:pPr>
        <w:pStyle w:val="FootnoteText"/>
      </w:pPr>
      <w:r>
        <w:rPr>
          <w:rStyle w:val="FootnoteReference"/>
        </w:rPr>
        <w:footnoteRef/>
      </w:r>
      <w:r>
        <w:t xml:space="preserve"> </w:t>
      </w:r>
      <w:hyperlink r:id="rId1" w:history="1">
        <w:r>
          <w:rPr>
            <w:rStyle w:val="Hyperlink"/>
          </w:rPr>
          <w:t>Annual Survey of Hours and Earnings (ASHE) - Estimates of earnings for the UK, by industry and occupation, UK, April 2021 provisional SOC 2020 - Office for National Statistics (ons.gov.uk)</w:t>
        </w:r>
      </w:hyperlink>
    </w:p>
  </w:footnote>
  <w:footnote w:id="6">
    <w:p w14:paraId="05132121" w14:textId="25986C03" w:rsidR="00612F14" w:rsidRDefault="00612F14">
      <w:pPr>
        <w:pStyle w:val="FootnoteText"/>
      </w:pPr>
      <w:r>
        <w:rPr>
          <w:rStyle w:val="FootnoteReference"/>
        </w:rPr>
        <w:footnoteRef/>
      </w:r>
      <w:r>
        <w:t xml:space="preserve"> </w:t>
      </w:r>
      <w:hyperlink r:id="rId2" w:history="1">
        <w:r>
          <w:rPr>
            <w:rStyle w:val="Hyperlink"/>
          </w:rPr>
          <w:t>UK business: activity, size and location - Office for National Statistics (ons.gov.uk)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8847" w14:textId="77777777" w:rsidR="00D64409" w:rsidRDefault="00D6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920D" w14:textId="77777777" w:rsidR="00F84E50" w:rsidRDefault="00F84E50">
    <w:pPr>
      <w:pStyle w:val="Header"/>
    </w:pPr>
    <w:r>
      <w:fldChar w:fldCharType="begin"/>
    </w:r>
    <w:r>
      <w:instrText xml:space="preserve"> DOCPROPERTY  Classification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A374" w14:textId="77777777" w:rsidR="00D64409" w:rsidRDefault="00D644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35C1" w14:textId="77777777" w:rsidR="00F84E50" w:rsidRDefault="00F84E50"/>
  <w:p w14:paraId="51ACEAC7" w14:textId="77777777" w:rsidR="00F84E50" w:rsidRDefault="00F84E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3173AF8"/>
    <w:multiLevelType w:val="hybridMultilevel"/>
    <w:tmpl w:val="0186CD72"/>
    <w:lvl w:ilvl="0" w:tplc="0E064A20">
      <w:start w:val="1"/>
      <w:numFmt w:val="decimal"/>
      <w:lvlText w:val="%1."/>
      <w:lvlJc w:val="left"/>
      <w:pPr>
        <w:ind w:left="473" w:hanging="360"/>
      </w:pPr>
      <w:rPr>
        <w:rFonts w:hint="default"/>
        <w:b w:val="0"/>
        <w:bCs w:val="0"/>
        <w:i w:val="0"/>
        <w:iCs w:val="0"/>
      </w:rPr>
    </w:lvl>
    <w:lvl w:ilvl="1" w:tplc="FFFFFFFF">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12" w15:restartNumberingAfterBreak="0">
    <w:nsid w:val="04223563"/>
    <w:multiLevelType w:val="hybridMultilevel"/>
    <w:tmpl w:val="B422255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0CD60D69"/>
    <w:multiLevelType w:val="hybridMultilevel"/>
    <w:tmpl w:val="C4581326"/>
    <w:lvl w:ilvl="0" w:tplc="EA14AC70">
      <w:start w:val="1"/>
      <w:numFmt w:val="decimal"/>
      <w:lvlText w:val="%1."/>
      <w:lvlJc w:val="left"/>
      <w:pPr>
        <w:ind w:left="473" w:hanging="360"/>
      </w:pPr>
      <w:rPr>
        <w:rFonts w:hint="default"/>
        <w:b w:val="0"/>
        <w:bCs/>
        <w:sz w:val="22"/>
        <w:szCs w:val="22"/>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4" w15:restartNumberingAfterBreak="0">
    <w:nsid w:val="0FD0BBB0"/>
    <w:multiLevelType w:val="hybridMultilevel"/>
    <w:tmpl w:val="FFFFFFFF"/>
    <w:lvl w:ilvl="0" w:tplc="676AB76E">
      <w:start w:val="1"/>
      <w:numFmt w:val="bullet"/>
      <w:lvlText w:val=""/>
      <w:lvlJc w:val="left"/>
      <w:pPr>
        <w:ind w:left="720" w:hanging="360"/>
      </w:pPr>
      <w:rPr>
        <w:rFonts w:ascii="Symbol" w:hAnsi="Symbol" w:hint="default"/>
      </w:rPr>
    </w:lvl>
    <w:lvl w:ilvl="1" w:tplc="691E258E">
      <w:start w:val="1"/>
      <w:numFmt w:val="bullet"/>
      <w:lvlText w:val="o"/>
      <w:lvlJc w:val="left"/>
      <w:pPr>
        <w:ind w:left="1440" w:hanging="360"/>
      </w:pPr>
      <w:rPr>
        <w:rFonts w:ascii="Courier New" w:hAnsi="Courier New" w:hint="default"/>
      </w:rPr>
    </w:lvl>
    <w:lvl w:ilvl="2" w:tplc="402C422E">
      <w:start w:val="1"/>
      <w:numFmt w:val="bullet"/>
      <w:lvlText w:val=""/>
      <w:lvlJc w:val="left"/>
      <w:pPr>
        <w:ind w:left="2160" w:hanging="360"/>
      </w:pPr>
      <w:rPr>
        <w:rFonts w:ascii="Wingdings" w:hAnsi="Wingdings" w:hint="default"/>
      </w:rPr>
    </w:lvl>
    <w:lvl w:ilvl="3" w:tplc="5C86F522">
      <w:start w:val="1"/>
      <w:numFmt w:val="bullet"/>
      <w:lvlText w:val=""/>
      <w:lvlJc w:val="left"/>
      <w:pPr>
        <w:ind w:left="2880" w:hanging="360"/>
      </w:pPr>
      <w:rPr>
        <w:rFonts w:ascii="Symbol" w:hAnsi="Symbol" w:hint="default"/>
      </w:rPr>
    </w:lvl>
    <w:lvl w:ilvl="4" w:tplc="CFE29824">
      <w:start w:val="1"/>
      <w:numFmt w:val="bullet"/>
      <w:lvlText w:val="o"/>
      <w:lvlJc w:val="left"/>
      <w:pPr>
        <w:ind w:left="3600" w:hanging="360"/>
      </w:pPr>
      <w:rPr>
        <w:rFonts w:ascii="Courier New" w:hAnsi="Courier New" w:hint="default"/>
      </w:rPr>
    </w:lvl>
    <w:lvl w:ilvl="5" w:tplc="356CFA0C">
      <w:start w:val="1"/>
      <w:numFmt w:val="bullet"/>
      <w:lvlText w:val=""/>
      <w:lvlJc w:val="left"/>
      <w:pPr>
        <w:ind w:left="4320" w:hanging="360"/>
      </w:pPr>
      <w:rPr>
        <w:rFonts w:ascii="Wingdings" w:hAnsi="Wingdings" w:hint="default"/>
      </w:rPr>
    </w:lvl>
    <w:lvl w:ilvl="6" w:tplc="6B18F580">
      <w:start w:val="1"/>
      <w:numFmt w:val="bullet"/>
      <w:lvlText w:val=""/>
      <w:lvlJc w:val="left"/>
      <w:pPr>
        <w:ind w:left="5040" w:hanging="360"/>
      </w:pPr>
      <w:rPr>
        <w:rFonts w:ascii="Symbol" w:hAnsi="Symbol" w:hint="default"/>
      </w:rPr>
    </w:lvl>
    <w:lvl w:ilvl="7" w:tplc="D592F1E2">
      <w:start w:val="1"/>
      <w:numFmt w:val="bullet"/>
      <w:lvlText w:val="o"/>
      <w:lvlJc w:val="left"/>
      <w:pPr>
        <w:ind w:left="5760" w:hanging="360"/>
      </w:pPr>
      <w:rPr>
        <w:rFonts w:ascii="Courier New" w:hAnsi="Courier New" w:hint="default"/>
      </w:rPr>
    </w:lvl>
    <w:lvl w:ilvl="8" w:tplc="F0965E96">
      <w:start w:val="1"/>
      <w:numFmt w:val="bullet"/>
      <w:lvlText w:val=""/>
      <w:lvlJc w:val="left"/>
      <w:pPr>
        <w:ind w:left="6480" w:hanging="360"/>
      </w:pPr>
      <w:rPr>
        <w:rFonts w:ascii="Wingdings" w:hAnsi="Wingdings" w:hint="default"/>
      </w:rPr>
    </w:lvl>
  </w:abstractNum>
  <w:abstractNum w:abstractNumId="15" w15:restartNumberingAfterBreak="0">
    <w:nsid w:val="10A949E3"/>
    <w:multiLevelType w:val="hybridMultilevel"/>
    <w:tmpl w:val="24F2A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2BF57D5"/>
    <w:multiLevelType w:val="hybridMultilevel"/>
    <w:tmpl w:val="A0A6AE2C"/>
    <w:lvl w:ilvl="0" w:tplc="FFFFFFFF">
      <w:start w:val="1"/>
      <w:numFmt w:val="lowerLetter"/>
      <w:lvlText w:val="%1."/>
      <w:lvlJc w:val="left"/>
      <w:pPr>
        <w:ind w:left="1440" w:hanging="360"/>
      </w:pPr>
    </w:lvl>
    <w:lvl w:ilvl="1" w:tplc="08090019" w:tentative="1">
      <w:start w:val="1"/>
      <w:numFmt w:val="lowerLetter"/>
      <w:lvlText w:val="%2."/>
      <w:lvlJc w:val="left"/>
      <w:pPr>
        <w:ind w:left="1687" w:hanging="360"/>
      </w:pPr>
    </w:lvl>
    <w:lvl w:ilvl="2" w:tplc="0809001B" w:tentative="1">
      <w:start w:val="1"/>
      <w:numFmt w:val="lowerRoman"/>
      <w:lvlText w:val="%3."/>
      <w:lvlJc w:val="right"/>
      <w:pPr>
        <w:ind w:left="2407" w:hanging="180"/>
      </w:pPr>
    </w:lvl>
    <w:lvl w:ilvl="3" w:tplc="0809000F" w:tentative="1">
      <w:start w:val="1"/>
      <w:numFmt w:val="decimal"/>
      <w:lvlText w:val="%4."/>
      <w:lvlJc w:val="left"/>
      <w:pPr>
        <w:ind w:left="3127" w:hanging="360"/>
      </w:pPr>
    </w:lvl>
    <w:lvl w:ilvl="4" w:tplc="08090019" w:tentative="1">
      <w:start w:val="1"/>
      <w:numFmt w:val="lowerLetter"/>
      <w:lvlText w:val="%5."/>
      <w:lvlJc w:val="left"/>
      <w:pPr>
        <w:ind w:left="3847" w:hanging="360"/>
      </w:pPr>
    </w:lvl>
    <w:lvl w:ilvl="5" w:tplc="0809001B" w:tentative="1">
      <w:start w:val="1"/>
      <w:numFmt w:val="lowerRoman"/>
      <w:lvlText w:val="%6."/>
      <w:lvlJc w:val="right"/>
      <w:pPr>
        <w:ind w:left="4567" w:hanging="180"/>
      </w:pPr>
    </w:lvl>
    <w:lvl w:ilvl="6" w:tplc="0809000F" w:tentative="1">
      <w:start w:val="1"/>
      <w:numFmt w:val="decimal"/>
      <w:lvlText w:val="%7."/>
      <w:lvlJc w:val="left"/>
      <w:pPr>
        <w:ind w:left="5287" w:hanging="360"/>
      </w:pPr>
    </w:lvl>
    <w:lvl w:ilvl="7" w:tplc="08090019" w:tentative="1">
      <w:start w:val="1"/>
      <w:numFmt w:val="lowerLetter"/>
      <w:lvlText w:val="%8."/>
      <w:lvlJc w:val="left"/>
      <w:pPr>
        <w:ind w:left="6007" w:hanging="360"/>
      </w:pPr>
    </w:lvl>
    <w:lvl w:ilvl="8" w:tplc="0809001B" w:tentative="1">
      <w:start w:val="1"/>
      <w:numFmt w:val="lowerRoman"/>
      <w:lvlText w:val="%9."/>
      <w:lvlJc w:val="right"/>
      <w:pPr>
        <w:ind w:left="6727" w:hanging="180"/>
      </w:pPr>
    </w:lvl>
  </w:abstractNum>
  <w:abstractNum w:abstractNumId="17" w15:restartNumberingAfterBreak="0">
    <w:nsid w:val="12D767E5"/>
    <w:multiLevelType w:val="hybridMultilevel"/>
    <w:tmpl w:val="1010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587559"/>
    <w:multiLevelType w:val="hybridMultilevel"/>
    <w:tmpl w:val="FFFFFFFF"/>
    <w:lvl w:ilvl="0" w:tplc="32CAD58E">
      <w:start w:val="1"/>
      <w:numFmt w:val="lowerLetter"/>
      <w:lvlText w:val="%1."/>
      <w:lvlJc w:val="left"/>
      <w:pPr>
        <w:ind w:left="720" w:hanging="360"/>
      </w:pPr>
    </w:lvl>
    <w:lvl w:ilvl="1" w:tplc="29BA3440">
      <w:start w:val="1"/>
      <w:numFmt w:val="lowerLetter"/>
      <w:lvlText w:val="%2."/>
      <w:lvlJc w:val="left"/>
      <w:pPr>
        <w:ind w:left="1440" w:hanging="360"/>
      </w:pPr>
    </w:lvl>
    <w:lvl w:ilvl="2" w:tplc="08422DFC">
      <w:start w:val="1"/>
      <w:numFmt w:val="lowerRoman"/>
      <w:lvlText w:val="%3."/>
      <w:lvlJc w:val="right"/>
      <w:pPr>
        <w:ind w:left="2160" w:hanging="180"/>
      </w:pPr>
    </w:lvl>
    <w:lvl w:ilvl="3" w:tplc="8E58697C">
      <w:start w:val="1"/>
      <w:numFmt w:val="decimal"/>
      <w:lvlText w:val="%4."/>
      <w:lvlJc w:val="left"/>
      <w:pPr>
        <w:ind w:left="2880" w:hanging="360"/>
      </w:pPr>
    </w:lvl>
    <w:lvl w:ilvl="4" w:tplc="25907C60">
      <w:start w:val="1"/>
      <w:numFmt w:val="lowerLetter"/>
      <w:lvlText w:val="%5."/>
      <w:lvlJc w:val="left"/>
      <w:pPr>
        <w:ind w:left="3600" w:hanging="360"/>
      </w:pPr>
    </w:lvl>
    <w:lvl w:ilvl="5" w:tplc="FCECA4CE">
      <w:start w:val="1"/>
      <w:numFmt w:val="lowerRoman"/>
      <w:lvlText w:val="%6."/>
      <w:lvlJc w:val="right"/>
      <w:pPr>
        <w:ind w:left="4320" w:hanging="180"/>
      </w:pPr>
    </w:lvl>
    <w:lvl w:ilvl="6" w:tplc="1982D11A">
      <w:start w:val="1"/>
      <w:numFmt w:val="decimal"/>
      <w:lvlText w:val="%7."/>
      <w:lvlJc w:val="left"/>
      <w:pPr>
        <w:ind w:left="5040" w:hanging="360"/>
      </w:pPr>
    </w:lvl>
    <w:lvl w:ilvl="7" w:tplc="7BEC68CC">
      <w:start w:val="1"/>
      <w:numFmt w:val="lowerLetter"/>
      <w:lvlText w:val="%8."/>
      <w:lvlJc w:val="left"/>
      <w:pPr>
        <w:ind w:left="5760" w:hanging="360"/>
      </w:pPr>
    </w:lvl>
    <w:lvl w:ilvl="8" w:tplc="DDB05C5E">
      <w:start w:val="1"/>
      <w:numFmt w:val="lowerRoman"/>
      <w:lvlText w:val="%9."/>
      <w:lvlJc w:val="right"/>
      <w:pPr>
        <w:ind w:left="6480" w:hanging="180"/>
      </w:pPr>
    </w:lvl>
  </w:abstractNum>
  <w:abstractNum w:abstractNumId="19" w15:restartNumberingAfterBreak="0">
    <w:nsid w:val="15032F9D"/>
    <w:multiLevelType w:val="hybridMultilevel"/>
    <w:tmpl w:val="FFFFFFFF"/>
    <w:lvl w:ilvl="0" w:tplc="87148430">
      <w:start w:val="1"/>
      <w:numFmt w:val="bullet"/>
      <w:lvlText w:val=""/>
      <w:lvlJc w:val="left"/>
      <w:pPr>
        <w:ind w:left="720" w:hanging="360"/>
      </w:pPr>
      <w:rPr>
        <w:rFonts w:ascii="Symbol" w:hAnsi="Symbol" w:hint="default"/>
      </w:rPr>
    </w:lvl>
    <w:lvl w:ilvl="1" w:tplc="C56435D6">
      <w:start w:val="1"/>
      <w:numFmt w:val="bullet"/>
      <w:lvlText w:val="o"/>
      <w:lvlJc w:val="left"/>
      <w:pPr>
        <w:ind w:left="1440" w:hanging="360"/>
      </w:pPr>
      <w:rPr>
        <w:rFonts w:ascii="Courier New" w:hAnsi="Courier New" w:hint="default"/>
      </w:rPr>
    </w:lvl>
    <w:lvl w:ilvl="2" w:tplc="9E384F94">
      <w:start w:val="1"/>
      <w:numFmt w:val="bullet"/>
      <w:lvlText w:val=""/>
      <w:lvlJc w:val="left"/>
      <w:pPr>
        <w:ind w:left="2160" w:hanging="360"/>
      </w:pPr>
      <w:rPr>
        <w:rFonts w:ascii="Wingdings" w:hAnsi="Wingdings" w:hint="default"/>
      </w:rPr>
    </w:lvl>
    <w:lvl w:ilvl="3" w:tplc="644EA502">
      <w:start w:val="1"/>
      <w:numFmt w:val="bullet"/>
      <w:lvlText w:val=""/>
      <w:lvlJc w:val="left"/>
      <w:pPr>
        <w:ind w:left="2880" w:hanging="360"/>
      </w:pPr>
      <w:rPr>
        <w:rFonts w:ascii="Symbol" w:hAnsi="Symbol" w:hint="default"/>
      </w:rPr>
    </w:lvl>
    <w:lvl w:ilvl="4" w:tplc="DF36D880">
      <w:start w:val="1"/>
      <w:numFmt w:val="bullet"/>
      <w:lvlText w:val="o"/>
      <w:lvlJc w:val="left"/>
      <w:pPr>
        <w:ind w:left="3600" w:hanging="360"/>
      </w:pPr>
      <w:rPr>
        <w:rFonts w:ascii="Courier New" w:hAnsi="Courier New" w:hint="default"/>
      </w:rPr>
    </w:lvl>
    <w:lvl w:ilvl="5" w:tplc="6310B2C0">
      <w:start w:val="1"/>
      <w:numFmt w:val="bullet"/>
      <w:lvlText w:val=""/>
      <w:lvlJc w:val="left"/>
      <w:pPr>
        <w:ind w:left="4320" w:hanging="360"/>
      </w:pPr>
      <w:rPr>
        <w:rFonts w:ascii="Wingdings" w:hAnsi="Wingdings" w:hint="default"/>
      </w:rPr>
    </w:lvl>
    <w:lvl w:ilvl="6" w:tplc="08EE11AE">
      <w:start w:val="1"/>
      <w:numFmt w:val="bullet"/>
      <w:lvlText w:val=""/>
      <w:lvlJc w:val="left"/>
      <w:pPr>
        <w:ind w:left="5040" w:hanging="360"/>
      </w:pPr>
      <w:rPr>
        <w:rFonts w:ascii="Symbol" w:hAnsi="Symbol" w:hint="default"/>
      </w:rPr>
    </w:lvl>
    <w:lvl w:ilvl="7" w:tplc="9E3CDCFC">
      <w:start w:val="1"/>
      <w:numFmt w:val="bullet"/>
      <w:lvlText w:val="o"/>
      <w:lvlJc w:val="left"/>
      <w:pPr>
        <w:ind w:left="5760" w:hanging="360"/>
      </w:pPr>
      <w:rPr>
        <w:rFonts w:ascii="Courier New" w:hAnsi="Courier New" w:hint="default"/>
      </w:rPr>
    </w:lvl>
    <w:lvl w:ilvl="8" w:tplc="63A8B2D8">
      <w:start w:val="1"/>
      <w:numFmt w:val="bullet"/>
      <w:lvlText w:val=""/>
      <w:lvlJc w:val="left"/>
      <w:pPr>
        <w:ind w:left="6480" w:hanging="360"/>
      </w:pPr>
      <w:rPr>
        <w:rFonts w:ascii="Wingdings" w:hAnsi="Wingdings" w:hint="default"/>
      </w:rPr>
    </w:lvl>
  </w:abstractNum>
  <w:abstractNum w:abstractNumId="20"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1D968D72"/>
    <w:multiLevelType w:val="hybridMultilevel"/>
    <w:tmpl w:val="FFFFFFFF"/>
    <w:lvl w:ilvl="0" w:tplc="70448168">
      <w:start w:val="1"/>
      <w:numFmt w:val="bullet"/>
      <w:lvlText w:val=""/>
      <w:lvlJc w:val="left"/>
      <w:pPr>
        <w:ind w:left="720" w:hanging="360"/>
      </w:pPr>
      <w:rPr>
        <w:rFonts w:ascii="Symbol" w:hAnsi="Symbol" w:hint="default"/>
      </w:rPr>
    </w:lvl>
    <w:lvl w:ilvl="1" w:tplc="E9C6D944">
      <w:start w:val="1"/>
      <w:numFmt w:val="bullet"/>
      <w:lvlText w:val="o"/>
      <w:lvlJc w:val="left"/>
      <w:pPr>
        <w:ind w:left="1440" w:hanging="360"/>
      </w:pPr>
      <w:rPr>
        <w:rFonts w:ascii="Courier New" w:hAnsi="Courier New" w:hint="default"/>
      </w:rPr>
    </w:lvl>
    <w:lvl w:ilvl="2" w:tplc="80862056">
      <w:start w:val="1"/>
      <w:numFmt w:val="bullet"/>
      <w:lvlText w:val=""/>
      <w:lvlJc w:val="left"/>
      <w:pPr>
        <w:ind w:left="2160" w:hanging="360"/>
      </w:pPr>
      <w:rPr>
        <w:rFonts w:ascii="Wingdings" w:hAnsi="Wingdings" w:hint="default"/>
      </w:rPr>
    </w:lvl>
    <w:lvl w:ilvl="3" w:tplc="F94C7266">
      <w:start w:val="1"/>
      <w:numFmt w:val="bullet"/>
      <w:lvlText w:val=""/>
      <w:lvlJc w:val="left"/>
      <w:pPr>
        <w:ind w:left="2880" w:hanging="360"/>
      </w:pPr>
      <w:rPr>
        <w:rFonts w:ascii="Symbol" w:hAnsi="Symbol" w:hint="default"/>
      </w:rPr>
    </w:lvl>
    <w:lvl w:ilvl="4" w:tplc="0F56A3AA">
      <w:start w:val="1"/>
      <w:numFmt w:val="bullet"/>
      <w:lvlText w:val="o"/>
      <w:lvlJc w:val="left"/>
      <w:pPr>
        <w:ind w:left="3600" w:hanging="360"/>
      </w:pPr>
      <w:rPr>
        <w:rFonts w:ascii="Courier New" w:hAnsi="Courier New" w:hint="default"/>
      </w:rPr>
    </w:lvl>
    <w:lvl w:ilvl="5" w:tplc="2BD600F0">
      <w:start w:val="1"/>
      <w:numFmt w:val="bullet"/>
      <w:lvlText w:val=""/>
      <w:lvlJc w:val="left"/>
      <w:pPr>
        <w:ind w:left="4320" w:hanging="360"/>
      </w:pPr>
      <w:rPr>
        <w:rFonts w:ascii="Wingdings" w:hAnsi="Wingdings" w:hint="default"/>
      </w:rPr>
    </w:lvl>
    <w:lvl w:ilvl="6" w:tplc="6400BE78">
      <w:start w:val="1"/>
      <w:numFmt w:val="bullet"/>
      <w:lvlText w:val=""/>
      <w:lvlJc w:val="left"/>
      <w:pPr>
        <w:ind w:left="5040" w:hanging="360"/>
      </w:pPr>
      <w:rPr>
        <w:rFonts w:ascii="Symbol" w:hAnsi="Symbol" w:hint="default"/>
      </w:rPr>
    </w:lvl>
    <w:lvl w:ilvl="7" w:tplc="ADCC168A">
      <w:start w:val="1"/>
      <w:numFmt w:val="bullet"/>
      <w:lvlText w:val="o"/>
      <w:lvlJc w:val="left"/>
      <w:pPr>
        <w:ind w:left="5760" w:hanging="360"/>
      </w:pPr>
      <w:rPr>
        <w:rFonts w:ascii="Courier New" w:hAnsi="Courier New" w:hint="default"/>
      </w:rPr>
    </w:lvl>
    <w:lvl w:ilvl="8" w:tplc="0212A47A">
      <w:start w:val="1"/>
      <w:numFmt w:val="bullet"/>
      <w:lvlText w:val=""/>
      <w:lvlJc w:val="left"/>
      <w:pPr>
        <w:ind w:left="6480" w:hanging="360"/>
      </w:pPr>
      <w:rPr>
        <w:rFonts w:ascii="Wingdings" w:hAnsi="Wingdings" w:hint="default"/>
      </w:rPr>
    </w:lvl>
  </w:abstractNum>
  <w:abstractNum w:abstractNumId="22" w15:restartNumberingAfterBreak="0">
    <w:nsid w:val="225AF795"/>
    <w:multiLevelType w:val="hybridMultilevel"/>
    <w:tmpl w:val="FFFFFFFF"/>
    <w:lvl w:ilvl="0" w:tplc="37C01CEE">
      <w:start w:val="1"/>
      <w:numFmt w:val="bullet"/>
      <w:lvlText w:val="·"/>
      <w:lvlJc w:val="left"/>
      <w:pPr>
        <w:ind w:left="720" w:hanging="360"/>
      </w:pPr>
      <w:rPr>
        <w:rFonts w:ascii="Symbol" w:hAnsi="Symbol" w:hint="default"/>
      </w:rPr>
    </w:lvl>
    <w:lvl w:ilvl="1" w:tplc="35CC640C">
      <w:start w:val="1"/>
      <w:numFmt w:val="bullet"/>
      <w:lvlText w:val="o"/>
      <w:lvlJc w:val="left"/>
      <w:pPr>
        <w:ind w:left="1440" w:hanging="360"/>
      </w:pPr>
      <w:rPr>
        <w:rFonts w:ascii="Courier New" w:hAnsi="Courier New" w:hint="default"/>
      </w:rPr>
    </w:lvl>
    <w:lvl w:ilvl="2" w:tplc="74787F24">
      <w:start w:val="1"/>
      <w:numFmt w:val="bullet"/>
      <w:lvlText w:val=""/>
      <w:lvlJc w:val="left"/>
      <w:pPr>
        <w:ind w:left="2160" w:hanging="360"/>
      </w:pPr>
      <w:rPr>
        <w:rFonts w:ascii="Wingdings" w:hAnsi="Wingdings" w:hint="default"/>
      </w:rPr>
    </w:lvl>
    <w:lvl w:ilvl="3" w:tplc="E51AD916">
      <w:start w:val="1"/>
      <w:numFmt w:val="bullet"/>
      <w:lvlText w:val=""/>
      <w:lvlJc w:val="left"/>
      <w:pPr>
        <w:ind w:left="2880" w:hanging="360"/>
      </w:pPr>
      <w:rPr>
        <w:rFonts w:ascii="Symbol" w:hAnsi="Symbol" w:hint="default"/>
      </w:rPr>
    </w:lvl>
    <w:lvl w:ilvl="4" w:tplc="D7068840">
      <w:start w:val="1"/>
      <w:numFmt w:val="bullet"/>
      <w:lvlText w:val="o"/>
      <w:lvlJc w:val="left"/>
      <w:pPr>
        <w:ind w:left="3600" w:hanging="360"/>
      </w:pPr>
      <w:rPr>
        <w:rFonts w:ascii="Courier New" w:hAnsi="Courier New" w:hint="default"/>
      </w:rPr>
    </w:lvl>
    <w:lvl w:ilvl="5" w:tplc="9E524892">
      <w:start w:val="1"/>
      <w:numFmt w:val="bullet"/>
      <w:lvlText w:val=""/>
      <w:lvlJc w:val="left"/>
      <w:pPr>
        <w:ind w:left="4320" w:hanging="360"/>
      </w:pPr>
      <w:rPr>
        <w:rFonts w:ascii="Wingdings" w:hAnsi="Wingdings" w:hint="default"/>
      </w:rPr>
    </w:lvl>
    <w:lvl w:ilvl="6" w:tplc="72883DB8">
      <w:start w:val="1"/>
      <w:numFmt w:val="bullet"/>
      <w:lvlText w:val=""/>
      <w:lvlJc w:val="left"/>
      <w:pPr>
        <w:ind w:left="5040" w:hanging="360"/>
      </w:pPr>
      <w:rPr>
        <w:rFonts w:ascii="Symbol" w:hAnsi="Symbol" w:hint="default"/>
      </w:rPr>
    </w:lvl>
    <w:lvl w:ilvl="7" w:tplc="4B0680B8">
      <w:start w:val="1"/>
      <w:numFmt w:val="bullet"/>
      <w:lvlText w:val="o"/>
      <w:lvlJc w:val="left"/>
      <w:pPr>
        <w:ind w:left="5760" w:hanging="360"/>
      </w:pPr>
      <w:rPr>
        <w:rFonts w:ascii="Courier New" w:hAnsi="Courier New" w:hint="default"/>
      </w:rPr>
    </w:lvl>
    <w:lvl w:ilvl="8" w:tplc="A6B0502A">
      <w:start w:val="1"/>
      <w:numFmt w:val="bullet"/>
      <w:lvlText w:val=""/>
      <w:lvlJc w:val="left"/>
      <w:pPr>
        <w:ind w:left="6480" w:hanging="360"/>
      </w:pPr>
      <w:rPr>
        <w:rFonts w:ascii="Wingdings" w:hAnsi="Wingdings" w:hint="default"/>
      </w:rPr>
    </w:lvl>
  </w:abstractNum>
  <w:abstractNum w:abstractNumId="23" w15:restartNumberingAfterBreak="0">
    <w:nsid w:val="23D316E0"/>
    <w:multiLevelType w:val="hybridMultilevel"/>
    <w:tmpl w:val="84E2404A"/>
    <w:lvl w:ilvl="0" w:tplc="FFFFFFFF">
      <w:start w:val="1"/>
      <w:numFmt w:val="lowerLetter"/>
      <w:lvlText w:val="%1."/>
      <w:lvlJc w:val="left"/>
      <w:pPr>
        <w:ind w:left="119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E24E66"/>
    <w:multiLevelType w:val="hybridMultilevel"/>
    <w:tmpl w:val="B7AA9B24"/>
    <w:lvl w:ilvl="0" w:tplc="08090001">
      <w:start w:val="1"/>
      <w:numFmt w:val="bullet"/>
      <w:lvlText w:val=""/>
      <w:lvlJc w:val="left"/>
      <w:pPr>
        <w:ind w:left="473" w:hanging="360"/>
      </w:pPr>
      <w:rPr>
        <w:rFonts w:ascii="Symbol" w:hAnsi="Symbol" w:hint="default"/>
      </w:rPr>
    </w:lvl>
    <w:lvl w:ilvl="1" w:tplc="FFFFFFFF">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25" w15:restartNumberingAfterBreak="0">
    <w:nsid w:val="2402AD46"/>
    <w:multiLevelType w:val="hybridMultilevel"/>
    <w:tmpl w:val="FFFFFFFF"/>
    <w:lvl w:ilvl="0" w:tplc="F6A25E2E">
      <w:start w:val="1"/>
      <w:numFmt w:val="bullet"/>
      <w:lvlText w:val="·"/>
      <w:lvlJc w:val="left"/>
      <w:pPr>
        <w:ind w:left="720" w:hanging="360"/>
      </w:pPr>
      <w:rPr>
        <w:rFonts w:ascii="Symbol" w:hAnsi="Symbol" w:hint="default"/>
      </w:rPr>
    </w:lvl>
    <w:lvl w:ilvl="1" w:tplc="8C74CA06">
      <w:start w:val="1"/>
      <w:numFmt w:val="bullet"/>
      <w:lvlText w:val="o"/>
      <w:lvlJc w:val="left"/>
      <w:pPr>
        <w:ind w:left="1440" w:hanging="360"/>
      </w:pPr>
      <w:rPr>
        <w:rFonts w:ascii="Courier New" w:hAnsi="Courier New" w:hint="default"/>
      </w:rPr>
    </w:lvl>
    <w:lvl w:ilvl="2" w:tplc="BF362B5A">
      <w:start w:val="1"/>
      <w:numFmt w:val="bullet"/>
      <w:lvlText w:val=""/>
      <w:lvlJc w:val="left"/>
      <w:pPr>
        <w:ind w:left="2160" w:hanging="360"/>
      </w:pPr>
      <w:rPr>
        <w:rFonts w:ascii="Wingdings" w:hAnsi="Wingdings" w:hint="default"/>
      </w:rPr>
    </w:lvl>
    <w:lvl w:ilvl="3" w:tplc="A6B880BA">
      <w:start w:val="1"/>
      <w:numFmt w:val="bullet"/>
      <w:lvlText w:val=""/>
      <w:lvlJc w:val="left"/>
      <w:pPr>
        <w:ind w:left="2880" w:hanging="360"/>
      </w:pPr>
      <w:rPr>
        <w:rFonts w:ascii="Symbol" w:hAnsi="Symbol" w:hint="default"/>
      </w:rPr>
    </w:lvl>
    <w:lvl w:ilvl="4" w:tplc="02281A6C">
      <w:start w:val="1"/>
      <w:numFmt w:val="bullet"/>
      <w:lvlText w:val="o"/>
      <w:lvlJc w:val="left"/>
      <w:pPr>
        <w:ind w:left="3600" w:hanging="360"/>
      </w:pPr>
      <w:rPr>
        <w:rFonts w:ascii="Courier New" w:hAnsi="Courier New" w:hint="default"/>
      </w:rPr>
    </w:lvl>
    <w:lvl w:ilvl="5" w:tplc="20BC4622">
      <w:start w:val="1"/>
      <w:numFmt w:val="bullet"/>
      <w:lvlText w:val=""/>
      <w:lvlJc w:val="left"/>
      <w:pPr>
        <w:ind w:left="4320" w:hanging="360"/>
      </w:pPr>
      <w:rPr>
        <w:rFonts w:ascii="Wingdings" w:hAnsi="Wingdings" w:hint="default"/>
      </w:rPr>
    </w:lvl>
    <w:lvl w:ilvl="6" w:tplc="EEEEB92C">
      <w:start w:val="1"/>
      <w:numFmt w:val="bullet"/>
      <w:lvlText w:val=""/>
      <w:lvlJc w:val="left"/>
      <w:pPr>
        <w:ind w:left="5040" w:hanging="360"/>
      </w:pPr>
      <w:rPr>
        <w:rFonts w:ascii="Symbol" w:hAnsi="Symbol" w:hint="default"/>
      </w:rPr>
    </w:lvl>
    <w:lvl w:ilvl="7" w:tplc="408E1648">
      <w:start w:val="1"/>
      <w:numFmt w:val="bullet"/>
      <w:lvlText w:val="o"/>
      <w:lvlJc w:val="left"/>
      <w:pPr>
        <w:ind w:left="5760" w:hanging="360"/>
      </w:pPr>
      <w:rPr>
        <w:rFonts w:ascii="Courier New" w:hAnsi="Courier New" w:hint="default"/>
      </w:rPr>
    </w:lvl>
    <w:lvl w:ilvl="8" w:tplc="109223AA">
      <w:start w:val="1"/>
      <w:numFmt w:val="bullet"/>
      <w:lvlText w:val=""/>
      <w:lvlJc w:val="left"/>
      <w:pPr>
        <w:ind w:left="6480" w:hanging="360"/>
      </w:pPr>
      <w:rPr>
        <w:rFonts w:ascii="Wingdings" w:hAnsi="Wingdings" w:hint="default"/>
      </w:rPr>
    </w:lvl>
  </w:abstractNum>
  <w:abstractNum w:abstractNumId="26" w15:restartNumberingAfterBreak="0">
    <w:nsid w:val="278A09F7"/>
    <w:multiLevelType w:val="hybridMultilevel"/>
    <w:tmpl w:val="0056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2C660AA2"/>
    <w:multiLevelType w:val="hybridMultilevel"/>
    <w:tmpl w:val="3922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064355D"/>
    <w:multiLevelType w:val="hybridMultilevel"/>
    <w:tmpl w:val="64C68810"/>
    <w:lvl w:ilvl="0" w:tplc="FFFFFFFF">
      <w:start w:val="1"/>
      <w:numFmt w:val="decimal"/>
      <w:lvlText w:val="%1."/>
      <w:lvlJc w:val="left"/>
      <w:pPr>
        <w:ind w:left="473" w:hanging="360"/>
      </w:pPr>
      <w:rPr>
        <w:rFonts w:hint="default"/>
        <w:sz w:val="22"/>
        <w:szCs w:val="22"/>
      </w:rPr>
    </w:lvl>
    <w:lvl w:ilvl="1" w:tplc="FFFFFFFF">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30" w15:restartNumberingAfterBreak="0">
    <w:nsid w:val="30C36749"/>
    <w:multiLevelType w:val="hybridMultilevel"/>
    <w:tmpl w:val="64C68810"/>
    <w:lvl w:ilvl="0" w:tplc="FFFFFFFF">
      <w:start w:val="1"/>
      <w:numFmt w:val="decimal"/>
      <w:lvlText w:val="%1."/>
      <w:lvlJc w:val="left"/>
      <w:pPr>
        <w:ind w:left="473" w:hanging="360"/>
      </w:pPr>
      <w:rPr>
        <w:rFonts w:hint="default"/>
        <w:sz w:val="22"/>
        <w:szCs w:val="22"/>
      </w:rPr>
    </w:lvl>
    <w:lvl w:ilvl="1" w:tplc="FFFFFFFF">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31" w15:restartNumberingAfterBreak="0">
    <w:nsid w:val="348A54CB"/>
    <w:multiLevelType w:val="hybridMultilevel"/>
    <w:tmpl w:val="FFFFFFFF"/>
    <w:lvl w:ilvl="0" w:tplc="7A22C778">
      <w:start w:val="1"/>
      <w:numFmt w:val="bullet"/>
      <w:lvlText w:val=""/>
      <w:lvlJc w:val="left"/>
      <w:pPr>
        <w:ind w:left="720" w:hanging="360"/>
      </w:pPr>
      <w:rPr>
        <w:rFonts w:ascii="Symbol" w:hAnsi="Symbol" w:hint="default"/>
      </w:rPr>
    </w:lvl>
    <w:lvl w:ilvl="1" w:tplc="DE9C9FB2">
      <w:start w:val="1"/>
      <w:numFmt w:val="bullet"/>
      <w:lvlText w:val="o"/>
      <w:lvlJc w:val="left"/>
      <w:pPr>
        <w:ind w:left="1440" w:hanging="360"/>
      </w:pPr>
      <w:rPr>
        <w:rFonts w:ascii="Courier New" w:hAnsi="Courier New" w:hint="default"/>
      </w:rPr>
    </w:lvl>
    <w:lvl w:ilvl="2" w:tplc="2186702A">
      <w:start w:val="1"/>
      <w:numFmt w:val="bullet"/>
      <w:lvlText w:val=""/>
      <w:lvlJc w:val="left"/>
      <w:pPr>
        <w:ind w:left="2160" w:hanging="360"/>
      </w:pPr>
      <w:rPr>
        <w:rFonts w:ascii="Wingdings" w:hAnsi="Wingdings" w:hint="default"/>
      </w:rPr>
    </w:lvl>
    <w:lvl w:ilvl="3" w:tplc="7B34E260">
      <w:start w:val="1"/>
      <w:numFmt w:val="bullet"/>
      <w:lvlText w:val=""/>
      <w:lvlJc w:val="left"/>
      <w:pPr>
        <w:ind w:left="2880" w:hanging="360"/>
      </w:pPr>
      <w:rPr>
        <w:rFonts w:ascii="Symbol" w:hAnsi="Symbol" w:hint="default"/>
      </w:rPr>
    </w:lvl>
    <w:lvl w:ilvl="4" w:tplc="4290EFAC">
      <w:start w:val="1"/>
      <w:numFmt w:val="bullet"/>
      <w:lvlText w:val="o"/>
      <w:lvlJc w:val="left"/>
      <w:pPr>
        <w:ind w:left="3600" w:hanging="360"/>
      </w:pPr>
      <w:rPr>
        <w:rFonts w:ascii="Courier New" w:hAnsi="Courier New" w:hint="default"/>
      </w:rPr>
    </w:lvl>
    <w:lvl w:ilvl="5" w:tplc="5B5E7894">
      <w:start w:val="1"/>
      <w:numFmt w:val="bullet"/>
      <w:lvlText w:val=""/>
      <w:lvlJc w:val="left"/>
      <w:pPr>
        <w:ind w:left="4320" w:hanging="360"/>
      </w:pPr>
      <w:rPr>
        <w:rFonts w:ascii="Wingdings" w:hAnsi="Wingdings" w:hint="default"/>
      </w:rPr>
    </w:lvl>
    <w:lvl w:ilvl="6" w:tplc="3AC4BF32">
      <w:start w:val="1"/>
      <w:numFmt w:val="bullet"/>
      <w:lvlText w:val=""/>
      <w:lvlJc w:val="left"/>
      <w:pPr>
        <w:ind w:left="5040" w:hanging="360"/>
      </w:pPr>
      <w:rPr>
        <w:rFonts w:ascii="Symbol" w:hAnsi="Symbol" w:hint="default"/>
      </w:rPr>
    </w:lvl>
    <w:lvl w:ilvl="7" w:tplc="74402552">
      <w:start w:val="1"/>
      <w:numFmt w:val="bullet"/>
      <w:lvlText w:val="o"/>
      <w:lvlJc w:val="left"/>
      <w:pPr>
        <w:ind w:left="5760" w:hanging="360"/>
      </w:pPr>
      <w:rPr>
        <w:rFonts w:ascii="Courier New" w:hAnsi="Courier New" w:hint="default"/>
      </w:rPr>
    </w:lvl>
    <w:lvl w:ilvl="8" w:tplc="18FA82DA">
      <w:start w:val="1"/>
      <w:numFmt w:val="bullet"/>
      <w:lvlText w:val=""/>
      <w:lvlJc w:val="left"/>
      <w:pPr>
        <w:ind w:left="6480" w:hanging="360"/>
      </w:pPr>
      <w:rPr>
        <w:rFonts w:ascii="Wingdings" w:hAnsi="Wingdings" w:hint="default"/>
      </w:rPr>
    </w:lvl>
  </w:abstractNum>
  <w:abstractNum w:abstractNumId="32" w15:restartNumberingAfterBreak="0">
    <w:nsid w:val="3777104D"/>
    <w:multiLevelType w:val="multilevel"/>
    <w:tmpl w:val="02B2DD8E"/>
    <w:lvl w:ilvl="0">
      <w:start w:val="1"/>
      <w:numFmt w:val="decimal"/>
      <w:suff w:val="nothing"/>
      <w:lvlText w:val="%1"/>
      <w:lvlJc w:val="left"/>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3" w15:restartNumberingAfterBreak="0">
    <w:nsid w:val="3A1B4C9B"/>
    <w:multiLevelType w:val="multilevel"/>
    <w:tmpl w:val="334415A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A650FF8"/>
    <w:multiLevelType w:val="hybridMultilevel"/>
    <w:tmpl w:val="FFFFFFFF"/>
    <w:lvl w:ilvl="0" w:tplc="591AC7B2">
      <w:start w:val="1"/>
      <w:numFmt w:val="bullet"/>
      <w:lvlText w:val=""/>
      <w:lvlJc w:val="left"/>
      <w:pPr>
        <w:ind w:left="720" w:hanging="360"/>
      </w:pPr>
      <w:rPr>
        <w:rFonts w:ascii="Symbol" w:hAnsi="Symbol" w:hint="default"/>
      </w:rPr>
    </w:lvl>
    <w:lvl w:ilvl="1" w:tplc="B650AC54">
      <w:start w:val="1"/>
      <w:numFmt w:val="bullet"/>
      <w:lvlText w:val="o"/>
      <w:lvlJc w:val="left"/>
      <w:pPr>
        <w:ind w:left="1440" w:hanging="360"/>
      </w:pPr>
      <w:rPr>
        <w:rFonts w:ascii="Courier New" w:hAnsi="Courier New" w:hint="default"/>
      </w:rPr>
    </w:lvl>
    <w:lvl w:ilvl="2" w:tplc="8B0A9CA0">
      <w:start w:val="1"/>
      <w:numFmt w:val="bullet"/>
      <w:lvlText w:val=""/>
      <w:lvlJc w:val="left"/>
      <w:pPr>
        <w:ind w:left="2160" w:hanging="360"/>
      </w:pPr>
      <w:rPr>
        <w:rFonts w:ascii="Wingdings" w:hAnsi="Wingdings" w:hint="default"/>
      </w:rPr>
    </w:lvl>
    <w:lvl w:ilvl="3" w:tplc="1E7A87D8">
      <w:start w:val="1"/>
      <w:numFmt w:val="bullet"/>
      <w:lvlText w:val=""/>
      <w:lvlJc w:val="left"/>
      <w:pPr>
        <w:ind w:left="2880" w:hanging="360"/>
      </w:pPr>
      <w:rPr>
        <w:rFonts w:ascii="Symbol" w:hAnsi="Symbol" w:hint="default"/>
      </w:rPr>
    </w:lvl>
    <w:lvl w:ilvl="4" w:tplc="F5ECFEE4">
      <w:start w:val="1"/>
      <w:numFmt w:val="bullet"/>
      <w:lvlText w:val="o"/>
      <w:lvlJc w:val="left"/>
      <w:pPr>
        <w:ind w:left="3600" w:hanging="360"/>
      </w:pPr>
      <w:rPr>
        <w:rFonts w:ascii="Courier New" w:hAnsi="Courier New" w:hint="default"/>
      </w:rPr>
    </w:lvl>
    <w:lvl w:ilvl="5" w:tplc="0ABABFE0">
      <w:start w:val="1"/>
      <w:numFmt w:val="bullet"/>
      <w:lvlText w:val=""/>
      <w:lvlJc w:val="left"/>
      <w:pPr>
        <w:ind w:left="4320" w:hanging="360"/>
      </w:pPr>
      <w:rPr>
        <w:rFonts w:ascii="Wingdings" w:hAnsi="Wingdings" w:hint="default"/>
      </w:rPr>
    </w:lvl>
    <w:lvl w:ilvl="6" w:tplc="A27CFAEA">
      <w:start w:val="1"/>
      <w:numFmt w:val="bullet"/>
      <w:lvlText w:val=""/>
      <w:lvlJc w:val="left"/>
      <w:pPr>
        <w:ind w:left="5040" w:hanging="360"/>
      </w:pPr>
      <w:rPr>
        <w:rFonts w:ascii="Symbol" w:hAnsi="Symbol" w:hint="default"/>
      </w:rPr>
    </w:lvl>
    <w:lvl w:ilvl="7" w:tplc="A2C4ABE0">
      <w:start w:val="1"/>
      <w:numFmt w:val="bullet"/>
      <w:lvlText w:val="o"/>
      <w:lvlJc w:val="left"/>
      <w:pPr>
        <w:ind w:left="5760" w:hanging="360"/>
      </w:pPr>
      <w:rPr>
        <w:rFonts w:ascii="Courier New" w:hAnsi="Courier New" w:hint="default"/>
      </w:rPr>
    </w:lvl>
    <w:lvl w:ilvl="8" w:tplc="39EC9CC2">
      <w:start w:val="1"/>
      <w:numFmt w:val="bullet"/>
      <w:lvlText w:val=""/>
      <w:lvlJc w:val="left"/>
      <w:pPr>
        <w:ind w:left="6480" w:hanging="360"/>
      </w:pPr>
      <w:rPr>
        <w:rFonts w:ascii="Wingdings" w:hAnsi="Wingdings" w:hint="default"/>
      </w:rPr>
    </w:lvl>
  </w:abstractNum>
  <w:abstractNum w:abstractNumId="35" w15:restartNumberingAfterBreak="0">
    <w:nsid w:val="3F0E2FEC"/>
    <w:multiLevelType w:val="multilevel"/>
    <w:tmpl w:val="EDBE58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color w:val="auto"/>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53A14B0"/>
    <w:multiLevelType w:val="hybridMultilevel"/>
    <w:tmpl w:val="8B527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68364CE"/>
    <w:multiLevelType w:val="hybridMultilevel"/>
    <w:tmpl w:val="FFFFFFFF"/>
    <w:lvl w:ilvl="0" w:tplc="ECDE9436">
      <w:start w:val="1"/>
      <w:numFmt w:val="bullet"/>
      <w:lvlText w:val=""/>
      <w:lvlJc w:val="left"/>
      <w:pPr>
        <w:ind w:left="720" w:hanging="360"/>
      </w:pPr>
      <w:rPr>
        <w:rFonts w:ascii="Symbol" w:hAnsi="Symbol" w:hint="default"/>
      </w:rPr>
    </w:lvl>
    <w:lvl w:ilvl="1" w:tplc="4F66505A">
      <w:start w:val="1"/>
      <w:numFmt w:val="bullet"/>
      <w:lvlText w:val="o"/>
      <w:lvlJc w:val="left"/>
      <w:pPr>
        <w:ind w:left="1440" w:hanging="360"/>
      </w:pPr>
      <w:rPr>
        <w:rFonts w:ascii="Courier New" w:hAnsi="Courier New" w:hint="default"/>
      </w:rPr>
    </w:lvl>
    <w:lvl w:ilvl="2" w:tplc="0BB8E4C0">
      <w:start w:val="1"/>
      <w:numFmt w:val="bullet"/>
      <w:lvlText w:val=""/>
      <w:lvlJc w:val="left"/>
      <w:pPr>
        <w:ind w:left="2160" w:hanging="360"/>
      </w:pPr>
      <w:rPr>
        <w:rFonts w:ascii="Wingdings" w:hAnsi="Wingdings" w:hint="default"/>
      </w:rPr>
    </w:lvl>
    <w:lvl w:ilvl="3" w:tplc="1E748F7E">
      <w:start w:val="1"/>
      <w:numFmt w:val="bullet"/>
      <w:lvlText w:val=""/>
      <w:lvlJc w:val="left"/>
      <w:pPr>
        <w:ind w:left="2880" w:hanging="360"/>
      </w:pPr>
      <w:rPr>
        <w:rFonts w:ascii="Symbol" w:hAnsi="Symbol" w:hint="default"/>
      </w:rPr>
    </w:lvl>
    <w:lvl w:ilvl="4" w:tplc="69B4B300">
      <w:start w:val="1"/>
      <w:numFmt w:val="bullet"/>
      <w:lvlText w:val="o"/>
      <w:lvlJc w:val="left"/>
      <w:pPr>
        <w:ind w:left="3600" w:hanging="360"/>
      </w:pPr>
      <w:rPr>
        <w:rFonts w:ascii="Courier New" w:hAnsi="Courier New" w:hint="default"/>
      </w:rPr>
    </w:lvl>
    <w:lvl w:ilvl="5" w:tplc="7528DAF4">
      <w:start w:val="1"/>
      <w:numFmt w:val="bullet"/>
      <w:lvlText w:val=""/>
      <w:lvlJc w:val="left"/>
      <w:pPr>
        <w:ind w:left="4320" w:hanging="360"/>
      </w:pPr>
      <w:rPr>
        <w:rFonts w:ascii="Wingdings" w:hAnsi="Wingdings" w:hint="default"/>
      </w:rPr>
    </w:lvl>
    <w:lvl w:ilvl="6" w:tplc="3C665F32">
      <w:start w:val="1"/>
      <w:numFmt w:val="bullet"/>
      <w:lvlText w:val=""/>
      <w:lvlJc w:val="left"/>
      <w:pPr>
        <w:ind w:left="5040" w:hanging="360"/>
      </w:pPr>
      <w:rPr>
        <w:rFonts w:ascii="Symbol" w:hAnsi="Symbol" w:hint="default"/>
      </w:rPr>
    </w:lvl>
    <w:lvl w:ilvl="7" w:tplc="7DA80D72">
      <w:start w:val="1"/>
      <w:numFmt w:val="bullet"/>
      <w:lvlText w:val="o"/>
      <w:lvlJc w:val="left"/>
      <w:pPr>
        <w:ind w:left="5760" w:hanging="360"/>
      </w:pPr>
      <w:rPr>
        <w:rFonts w:ascii="Courier New" w:hAnsi="Courier New" w:hint="default"/>
      </w:rPr>
    </w:lvl>
    <w:lvl w:ilvl="8" w:tplc="2EC49F0A">
      <w:start w:val="1"/>
      <w:numFmt w:val="bullet"/>
      <w:lvlText w:val=""/>
      <w:lvlJc w:val="left"/>
      <w:pPr>
        <w:ind w:left="6480" w:hanging="360"/>
      </w:pPr>
      <w:rPr>
        <w:rFonts w:ascii="Wingdings" w:hAnsi="Wingdings" w:hint="default"/>
      </w:rPr>
    </w:lvl>
  </w:abstractNum>
  <w:abstractNum w:abstractNumId="38" w15:restartNumberingAfterBreak="0">
    <w:nsid w:val="48B81667"/>
    <w:multiLevelType w:val="hybridMultilevel"/>
    <w:tmpl w:val="FFFFFFFF"/>
    <w:lvl w:ilvl="0" w:tplc="FFFFFFFF">
      <w:start w:val="1"/>
      <w:numFmt w:val="bullet"/>
      <w:lvlText w:val=""/>
      <w:lvlJc w:val="left"/>
      <w:pPr>
        <w:ind w:left="720" w:hanging="360"/>
      </w:pPr>
      <w:rPr>
        <w:rFonts w:ascii="Symbol" w:hAnsi="Symbol" w:hint="default"/>
      </w:rPr>
    </w:lvl>
    <w:lvl w:ilvl="1" w:tplc="73561DB8">
      <w:start w:val="1"/>
      <w:numFmt w:val="bullet"/>
      <w:lvlText w:val="o"/>
      <w:lvlJc w:val="left"/>
      <w:pPr>
        <w:ind w:left="1440" w:hanging="360"/>
      </w:pPr>
      <w:rPr>
        <w:rFonts w:ascii="Courier New" w:hAnsi="Courier New" w:hint="default"/>
      </w:rPr>
    </w:lvl>
    <w:lvl w:ilvl="2" w:tplc="90102900">
      <w:start w:val="1"/>
      <w:numFmt w:val="bullet"/>
      <w:lvlText w:val=""/>
      <w:lvlJc w:val="left"/>
      <w:pPr>
        <w:ind w:left="2160" w:hanging="360"/>
      </w:pPr>
      <w:rPr>
        <w:rFonts w:ascii="Wingdings" w:hAnsi="Wingdings" w:hint="default"/>
      </w:rPr>
    </w:lvl>
    <w:lvl w:ilvl="3" w:tplc="3F88C624">
      <w:start w:val="1"/>
      <w:numFmt w:val="bullet"/>
      <w:lvlText w:val=""/>
      <w:lvlJc w:val="left"/>
      <w:pPr>
        <w:ind w:left="2880" w:hanging="360"/>
      </w:pPr>
      <w:rPr>
        <w:rFonts w:ascii="Symbol" w:hAnsi="Symbol" w:hint="default"/>
      </w:rPr>
    </w:lvl>
    <w:lvl w:ilvl="4" w:tplc="D39C9074">
      <w:start w:val="1"/>
      <w:numFmt w:val="bullet"/>
      <w:lvlText w:val="o"/>
      <w:lvlJc w:val="left"/>
      <w:pPr>
        <w:ind w:left="3600" w:hanging="360"/>
      </w:pPr>
      <w:rPr>
        <w:rFonts w:ascii="Courier New" w:hAnsi="Courier New" w:hint="default"/>
      </w:rPr>
    </w:lvl>
    <w:lvl w:ilvl="5" w:tplc="4D8C46C4">
      <w:start w:val="1"/>
      <w:numFmt w:val="bullet"/>
      <w:lvlText w:val=""/>
      <w:lvlJc w:val="left"/>
      <w:pPr>
        <w:ind w:left="4320" w:hanging="360"/>
      </w:pPr>
      <w:rPr>
        <w:rFonts w:ascii="Wingdings" w:hAnsi="Wingdings" w:hint="default"/>
      </w:rPr>
    </w:lvl>
    <w:lvl w:ilvl="6" w:tplc="452CFCB8">
      <w:start w:val="1"/>
      <w:numFmt w:val="bullet"/>
      <w:lvlText w:val=""/>
      <w:lvlJc w:val="left"/>
      <w:pPr>
        <w:ind w:left="5040" w:hanging="360"/>
      </w:pPr>
      <w:rPr>
        <w:rFonts w:ascii="Symbol" w:hAnsi="Symbol" w:hint="default"/>
      </w:rPr>
    </w:lvl>
    <w:lvl w:ilvl="7" w:tplc="D7B61B3E">
      <w:start w:val="1"/>
      <w:numFmt w:val="bullet"/>
      <w:lvlText w:val="o"/>
      <w:lvlJc w:val="left"/>
      <w:pPr>
        <w:ind w:left="5760" w:hanging="360"/>
      </w:pPr>
      <w:rPr>
        <w:rFonts w:ascii="Courier New" w:hAnsi="Courier New" w:hint="default"/>
      </w:rPr>
    </w:lvl>
    <w:lvl w:ilvl="8" w:tplc="67466A30">
      <w:start w:val="1"/>
      <w:numFmt w:val="bullet"/>
      <w:lvlText w:val=""/>
      <w:lvlJc w:val="left"/>
      <w:pPr>
        <w:ind w:left="6480" w:hanging="360"/>
      </w:pPr>
      <w:rPr>
        <w:rFonts w:ascii="Wingdings" w:hAnsi="Wingdings" w:hint="default"/>
      </w:rPr>
    </w:lvl>
  </w:abstractNum>
  <w:abstractNum w:abstractNumId="39" w15:restartNumberingAfterBreak="0">
    <w:nsid w:val="4961C2EF"/>
    <w:multiLevelType w:val="hybridMultilevel"/>
    <w:tmpl w:val="FFFFFFFF"/>
    <w:lvl w:ilvl="0" w:tplc="97901432">
      <w:start w:val="1"/>
      <w:numFmt w:val="decimal"/>
      <w:lvlText w:val="%1."/>
      <w:lvlJc w:val="left"/>
      <w:pPr>
        <w:ind w:left="720" w:hanging="360"/>
      </w:pPr>
    </w:lvl>
    <w:lvl w:ilvl="1" w:tplc="25024992">
      <w:start w:val="1"/>
      <w:numFmt w:val="lowerLetter"/>
      <w:lvlText w:val="%2."/>
      <w:lvlJc w:val="left"/>
      <w:pPr>
        <w:ind w:left="1440" w:hanging="360"/>
      </w:pPr>
    </w:lvl>
    <w:lvl w:ilvl="2" w:tplc="F508EB9E">
      <w:start w:val="1"/>
      <w:numFmt w:val="lowerRoman"/>
      <w:lvlText w:val="%3."/>
      <w:lvlJc w:val="right"/>
      <w:pPr>
        <w:ind w:left="2160" w:hanging="180"/>
      </w:pPr>
    </w:lvl>
    <w:lvl w:ilvl="3" w:tplc="A7F4A6F8">
      <w:start w:val="1"/>
      <w:numFmt w:val="decimal"/>
      <w:lvlText w:val="%4."/>
      <w:lvlJc w:val="left"/>
      <w:pPr>
        <w:ind w:left="2880" w:hanging="360"/>
      </w:pPr>
    </w:lvl>
    <w:lvl w:ilvl="4" w:tplc="05B2D564">
      <w:start w:val="1"/>
      <w:numFmt w:val="lowerLetter"/>
      <w:lvlText w:val="%5."/>
      <w:lvlJc w:val="left"/>
      <w:pPr>
        <w:ind w:left="3600" w:hanging="360"/>
      </w:pPr>
    </w:lvl>
    <w:lvl w:ilvl="5" w:tplc="F9C0DA80">
      <w:start w:val="1"/>
      <w:numFmt w:val="lowerRoman"/>
      <w:lvlText w:val="%6."/>
      <w:lvlJc w:val="right"/>
      <w:pPr>
        <w:ind w:left="4320" w:hanging="180"/>
      </w:pPr>
    </w:lvl>
    <w:lvl w:ilvl="6" w:tplc="FD6CD7B4">
      <w:start w:val="1"/>
      <w:numFmt w:val="decimal"/>
      <w:lvlText w:val="%7."/>
      <w:lvlJc w:val="left"/>
      <w:pPr>
        <w:ind w:left="5040" w:hanging="360"/>
      </w:pPr>
    </w:lvl>
    <w:lvl w:ilvl="7" w:tplc="CCCC3166">
      <w:start w:val="1"/>
      <w:numFmt w:val="lowerLetter"/>
      <w:lvlText w:val="%8."/>
      <w:lvlJc w:val="left"/>
      <w:pPr>
        <w:ind w:left="5760" w:hanging="360"/>
      </w:pPr>
    </w:lvl>
    <w:lvl w:ilvl="8" w:tplc="98EE8FA0">
      <w:start w:val="1"/>
      <w:numFmt w:val="lowerRoman"/>
      <w:lvlText w:val="%9."/>
      <w:lvlJc w:val="right"/>
      <w:pPr>
        <w:ind w:left="6480" w:hanging="180"/>
      </w:pPr>
    </w:lvl>
  </w:abstractNum>
  <w:abstractNum w:abstractNumId="40" w15:restartNumberingAfterBreak="0">
    <w:nsid w:val="4F5F32C3"/>
    <w:multiLevelType w:val="multilevel"/>
    <w:tmpl w:val="27A65722"/>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5961ECCF"/>
    <w:multiLevelType w:val="hybridMultilevel"/>
    <w:tmpl w:val="B218E31E"/>
    <w:lvl w:ilvl="0" w:tplc="962CC574">
      <w:start w:val="1"/>
      <w:numFmt w:val="decimal"/>
      <w:lvlText w:val="%1."/>
      <w:lvlJc w:val="left"/>
      <w:pPr>
        <w:ind w:left="720" w:hanging="360"/>
      </w:pPr>
    </w:lvl>
    <w:lvl w:ilvl="1" w:tplc="9AE0F0A8">
      <w:start w:val="1"/>
      <w:numFmt w:val="lowerLetter"/>
      <w:lvlText w:val="%2."/>
      <w:lvlJc w:val="left"/>
      <w:pPr>
        <w:ind w:left="1440" w:hanging="360"/>
      </w:pPr>
    </w:lvl>
    <w:lvl w:ilvl="2" w:tplc="FE1E5AFC">
      <w:start w:val="1"/>
      <w:numFmt w:val="lowerRoman"/>
      <w:lvlText w:val="%3."/>
      <w:lvlJc w:val="right"/>
      <w:pPr>
        <w:ind w:left="2160" w:hanging="180"/>
      </w:pPr>
    </w:lvl>
    <w:lvl w:ilvl="3" w:tplc="FC18DF26">
      <w:start w:val="1"/>
      <w:numFmt w:val="decimal"/>
      <w:lvlText w:val="%4."/>
      <w:lvlJc w:val="left"/>
      <w:pPr>
        <w:ind w:left="2880" w:hanging="360"/>
      </w:pPr>
    </w:lvl>
    <w:lvl w:ilvl="4" w:tplc="3C66713E">
      <w:start w:val="1"/>
      <w:numFmt w:val="lowerLetter"/>
      <w:lvlText w:val="%5."/>
      <w:lvlJc w:val="left"/>
      <w:pPr>
        <w:ind w:left="3600" w:hanging="360"/>
      </w:pPr>
    </w:lvl>
    <w:lvl w:ilvl="5" w:tplc="F8F475F6">
      <w:start w:val="1"/>
      <w:numFmt w:val="lowerRoman"/>
      <w:lvlText w:val="%6."/>
      <w:lvlJc w:val="right"/>
      <w:pPr>
        <w:ind w:left="4320" w:hanging="180"/>
      </w:pPr>
    </w:lvl>
    <w:lvl w:ilvl="6" w:tplc="E9CE0CA4">
      <w:start w:val="1"/>
      <w:numFmt w:val="decimal"/>
      <w:lvlText w:val="%7."/>
      <w:lvlJc w:val="left"/>
      <w:pPr>
        <w:ind w:left="5040" w:hanging="360"/>
      </w:pPr>
    </w:lvl>
    <w:lvl w:ilvl="7" w:tplc="6EFC125A">
      <w:start w:val="1"/>
      <w:numFmt w:val="lowerLetter"/>
      <w:lvlText w:val="%8."/>
      <w:lvlJc w:val="left"/>
      <w:pPr>
        <w:ind w:left="5760" w:hanging="360"/>
      </w:pPr>
    </w:lvl>
    <w:lvl w:ilvl="8" w:tplc="7B8E75F0">
      <w:start w:val="1"/>
      <w:numFmt w:val="lowerRoman"/>
      <w:lvlText w:val="%9."/>
      <w:lvlJc w:val="right"/>
      <w:pPr>
        <w:ind w:left="6480" w:hanging="180"/>
      </w:pPr>
    </w:lvl>
  </w:abstractNum>
  <w:abstractNum w:abstractNumId="42" w15:restartNumberingAfterBreak="0">
    <w:nsid w:val="5ACF6E8F"/>
    <w:multiLevelType w:val="hybridMultilevel"/>
    <w:tmpl w:val="FFFFFFFF"/>
    <w:lvl w:ilvl="0" w:tplc="CAB88168">
      <w:start w:val="1"/>
      <w:numFmt w:val="bullet"/>
      <w:lvlText w:val="·"/>
      <w:lvlJc w:val="left"/>
      <w:pPr>
        <w:ind w:left="720" w:hanging="360"/>
      </w:pPr>
      <w:rPr>
        <w:rFonts w:ascii="Symbol" w:hAnsi="Symbol" w:hint="default"/>
      </w:rPr>
    </w:lvl>
    <w:lvl w:ilvl="1" w:tplc="E9505A72">
      <w:start w:val="1"/>
      <w:numFmt w:val="bullet"/>
      <w:lvlText w:val="o"/>
      <w:lvlJc w:val="left"/>
      <w:pPr>
        <w:ind w:left="1440" w:hanging="360"/>
      </w:pPr>
      <w:rPr>
        <w:rFonts w:ascii="Courier New" w:hAnsi="Courier New" w:hint="default"/>
      </w:rPr>
    </w:lvl>
    <w:lvl w:ilvl="2" w:tplc="2F4846B0">
      <w:start w:val="1"/>
      <w:numFmt w:val="bullet"/>
      <w:lvlText w:val=""/>
      <w:lvlJc w:val="left"/>
      <w:pPr>
        <w:ind w:left="2160" w:hanging="360"/>
      </w:pPr>
      <w:rPr>
        <w:rFonts w:ascii="Wingdings" w:hAnsi="Wingdings" w:hint="default"/>
      </w:rPr>
    </w:lvl>
    <w:lvl w:ilvl="3" w:tplc="46742DE0">
      <w:start w:val="1"/>
      <w:numFmt w:val="bullet"/>
      <w:lvlText w:val=""/>
      <w:lvlJc w:val="left"/>
      <w:pPr>
        <w:ind w:left="2880" w:hanging="360"/>
      </w:pPr>
      <w:rPr>
        <w:rFonts w:ascii="Symbol" w:hAnsi="Symbol" w:hint="default"/>
      </w:rPr>
    </w:lvl>
    <w:lvl w:ilvl="4" w:tplc="5CB4CE06">
      <w:start w:val="1"/>
      <w:numFmt w:val="bullet"/>
      <w:lvlText w:val="o"/>
      <w:lvlJc w:val="left"/>
      <w:pPr>
        <w:ind w:left="3600" w:hanging="360"/>
      </w:pPr>
      <w:rPr>
        <w:rFonts w:ascii="Courier New" w:hAnsi="Courier New" w:hint="default"/>
      </w:rPr>
    </w:lvl>
    <w:lvl w:ilvl="5" w:tplc="5456DA46">
      <w:start w:val="1"/>
      <w:numFmt w:val="bullet"/>
      <w:lvlText w:val=""/>
      <w:lvlJc w:val="left"/>
      <w:pPr>
        <w:ind w:left="4320" w:hanging="360"/>
      </w:pPr>
      <w:rPr>
        <w:rFonts w:ascii="Wingdings" w:hAnsi="Wingdings" w:hint="default"/>
      </w:rPr>
    </w:lvl>
    <w:lvl w:ilvl="6" w:tplc="5A84EEDC">
      <w:start w:val="1"/>
      <w:numFmt w:val="bullet"/>
      <w:lvlText w:val=""/>
      <w:lvlJc w:val="left"/>
      <w:pPr>
        <w:ind w:left="5040" w:hanging="360"/>
      </w:pPr>
      <w:rPr>
        <w:rFonts w:ascii="Symbol" w:hAnsi="Symbol" w:hint="default"/>
      </w:rPr>
    </w:lvl>
    <w:lvl w:ilvl="7" w:tplc="FBF6D104">
      <w:start w:val="1"/>
      <w:numFmt w:val="bullet"/>
      <w:lvlText w:val="o"/>
      <w:lvlJc w:val="left"/>
      <w:pPr>
        <w:ind w:left="5760" w:hanging="360"/>
      </w:pPr>
      <w:rPr>
        <w:rFonts w:ascii="Courier New" w:hAnsi="Courier New" w:hint="default"/>
      </w:rPr>
    </w:lvl>
    <w:lvl w:ilvl="8" w:tplc="4126DACE">
      <w:start w:val="1"/>
      <w:numFmt w:val="bullet"/>
      <w:lvlText w:val=""/>
      <w:lvlJc w:val="left"/>
      <w:pPr>
        <w:ind w:left="6480" w:hanging="360"/>
      </w:pPr>
      <w:rPr>
        <w:rFonts w:ascii="Wingdings" w:hAnsi="Wingdings" w:hint="default"/>
      </w:rPr>
    </w:lvl>
  </w:abstractNum>
  <w:abstractNum w:abstractNumId="43" w15:restartNumberingAfterBreak="0">
    <w:nsid w:val="5FB61638"/>
    <w:multiLevelType w:val="hybridMultilevel"/>
    <w:tmpl w:val="FFFFFFFF"/>
    <w:lvl w:ilvl="0" w:tplc="2EFCD6D2">
      <w:start w:val="1"/>
      <w:numFmt w:val="bullet"/>
      <w:lvlText w:val=""/>
      <w:lvlJc w:val="left"/>
      <w:pPr>
        <w:ind w:left="720" w:hanging="360"/>
      </w:pPr>
      <w:rPr>
        <w:rFonts w:ascii="Symbol" w:hAnsi="Symbol" w:hint="default"/>
      </w:rPr>
    </w:lvl>
    <w:lvl w:ilvl="1" w:tplc="CAE42A3A">
      <w:start w:val="1"/>
      <w:numFmt w:val="bullet"/>
      <w:lvlText w:val="o"/>
      <w:lvlJc w:val="left"/>
      <w:pPr>
        <w:ind w:left="1440" w:hanging="360"/>
      </w:pPr>
      <w:rPr>
        <w:rFonts w:ascii="Courier New" w:hAnsi="Courier New" w:hint="default"/>
      </w:rPr>
    </w:lvl>
    <w:lvl w:ilvl="2" w:tplc="3E4C482E">
      <w:start w:val="1"/>
      <w:numFmt w:val="bullet"/>
      <w:lvlText w:val=""/>
      <w:lvlJc w:val="left"/>
      <w:pPr>
        <w:ind w:left="2160" w:hanging="360"/>
      </w:pPr>
      <w:rPr>
        <w:rFonts w:ascii="Wingdings" w:hAnsi="Wingdings" w:hint="default"/>
      </w:rPr>
    </w:lvl>
    <w:lvl w:ilvl="3" w:tplc="7B48F71E">
      <w:start w:val="1"/>
      <w:numFmt w:val="bullet"/>
      <w:lvlText w:val=""/>
      <w:lvlJc w:val="left"/>
      <w:pPr>
        <w:ind w:left="2880" w:hanging="360"/>
      </w:pPr>
      <w:rPr>
        <w:rFonts w:ascii="Symbol" w:hAnsi="Symbol" w:hint="default"/>
      </w:rPr>
    </w:lvl>
    <w:lvl w:ilvl="4" w:tplc="D9A4142A">
      <w:start w:val="1"/>
      <w:numFmt w:val="bullet"/>
      <w:lvlText w:val="o"/>
      <w:lvlJc w:val="left"/>
      <w:pPr>
        <w:ind w:left="3600" w:hanging="360"/>
      </w:pPr>
      <w:rPr>
        <w:rFonts w:ascii="Courier New" w:hAnsi="Courier New" w:hint="default"/>
      </w:rPr>
    </w:lvl>
    <w:lvl w:ilvl="5" w:tplc="FA0C40A6">
      <w:start w:val="1"/>
      <w:numFmt w:val="bullet"/>
      <w:lvlText w:val=""/>
      <w:lvlJc w:val="left"/>
      <w:pPr>
        <w:ind w:left="4320" w:hanging="360"/>
      </w:pPr>
      <w:rPr>
        <w:rFonts w:ascii="Wingdings" w:hAnsi="Wingdings" w:hint="default"/>
      </w:rPr>
    </w:lvl>
    <w:lvl w:ilvl="6" w:tplc="A83C7A62">
      <w:start w:val="1"/>
      <w:numFmt w:val="bullet"/>
      <w:lvlText w:val=""/>
      <w:lvlJc w:val="left"/>
      <w:pPr>
        <w:ind w:left="5040" w:hanging="360"/>
      </w:pPr>
      <w:rPr>
        <w:rFonts w:ascii="Symbol" w:hAnsi="Symbol" w:hint="default"/>
      </w:rPr>
    </w:lvl>
    <w:lvl w:ilvl="7" w:tplc="68342028">
      <w:start w:val="1"/>
      <w:numFmt w:val="bullet"/>
      <w:lvlText w:val="o"/>
      <w:lvlJc w:val="left"/>
      <w:pPr>
        <w:ind w:left="5760" w:hanging="360"/>
      </w:pPr>
      <w:rPr>
        <w:rFonts w:ascii="Courier New" w:hAnsi="Courier New" w:hint="default"/>
      </w:rPr>
    </w:lvl>
    <w:lvl w:ilvl="8" w:tplc="1B72648E">
      <w:start w:val="1"/>
      <w:numFmt w:val="bullet"/>
      <w:lvlText w:val=""/>
      <w:lvlJc w:val="left"/>
      <w:pPr>
        <w:ind w:left="6480" w:hanging="360"/>
      </w:pPr>
      <w:rPr>
        <w:rFonts w:ascii="Wingdings" w:hAnsi="Wingdings" w:hint="default"/>
      </w:rPr>
    </w:lvl>
  </w:abstractNum>
  <w:abstractNum w:abstractNumId="44" w15:restartNumberingAfterBreak="0">
    <w:nsid w:val="6CF47CAB"/>
    <w:multiLevelType w:val="hybridMultilevel"/>
    <w:tmpl w:val="FFFFFFFF"/>
    <w:lvl w:ilvl="0" w:tplc="CCE874AA">
      <w:start w:val="1"/>
      <w:numFmt w:val="bullet"/>
      <w:lvlText w:val=""/>
      <w:lvlJc w:val="left"/>
      <w:pPr>
        <w:ind w:left="720" w:hanging="360"/>
      </w:pPr>
      <w:rPr>
        <w:rFonts w:ascii="Symbol" w:hAnsi="Symbol" w:hint="default"/>
      </w:rPr>
    </w:lvl>
    <w:lvl w:ilvl="1" w:tplc="0210905E">
      <w:start w:val="1"/>
      <w:numFmt w:val="bullet"/>
      <w:lvlText w:val="o"/>
      <w:lvlJc w:val="left"/>
      <w:pPr>
        <w:ind w:left="1440" w:hanging="360"/>
      </w:pPr>
      <w:rPr>
        <w:rFonts w:ascii="Courier New" w:hAnsi="Courier New" w:hint="default"/>
      </w:rPr>
    </w:lvl>
    <w:lvl w:ilvl="2" w:tplc="E042E83C">
      <w:start w:val="1"/>
      <w:numFmt w:val="bullet"/>
      <w:lvlText w:val=""/>
      <w:lvlJc w:val="left"/>
      <w:pPr>
        <w:ind w:left="2160" w:hanging="360"/>
      </w:pPr>
      <w:rPr>
        <w:rFonts w:ascii="Wingdings" w:hAnsi="Wingdings" w:hint="default"/>
      </w:rPr>
    </w:lvl>
    <w:lvl w:ilvl="3" w:tplc="DCF68748">
      <w:start w:val="1"/>
      <w:numFmt w:val="bullet"/>
      <w:lvlText w:val=""/>
      <w:lvlJc w:val="left"/>
      <w:pPr>
        <w:ind w:left="2880" w:hanging="360"/>
      </w:pPr>
      <w:rPr>
        <w:rFonts w:ascii="Symbol" w:hAnsi="Symbol" w:hint="default"/>
      </w:rPr>
    </w:lvl>
    <w:lvl w:ilvl="4" w:tplc="48069456">
      <w:start w:val="1"/>
      <w:numFmt w:val="bullet"/>
      <w:lvlText w:val="o"/>
      <w:lvlJc w:val="left"/>
      <w:pPr>
        <w:ind w:left="3600" w:hanging="360"/>
      </w:pPr>
      <w:rPr>
        <w:rFonts w:ascii="Courier New" w:hAnsi="Courier New" w:hint="default"/>
      </w:rPr>
    </w:lvl>
    <w:lvl w:ilvl="5" w:tplc="2BA0DEC8">
      <w:start w:val="1"/>
      <w:numFmt w:val="bullet"/>
      <w:lvlText w:val=""/>
      <w:lvlJc w:val="left"/>
      <w:pPr>
        <w:ind w:left="4320" w:hanging="360"/>
      </w:pPr>
      <w:rPr>
        <w:rFonts w:ascii="Wingdings" w:hAnsi="Wingdings" w:hint="default"/>
      </w:rPr>
    </w:lvl>
    <w:lvl w:ilvl="6" w:tplc="4AE2393E">
      <w:start w:val="1"/>
      <w:numFmt w:val="bullet"/>
      <w:lvlText w:val=""/>
      <w:lvlJc w:val="left"/>
      <w:pPr>
        <w:ind w:left="5040" w:hanging="360"/>
      </w:pPr>
      <w:rPr>
        <w:rFonts w:ascii="Symbol" w:hAnsi="Symbol" w:hint="default"/>
      </w:rPr>
    </w:lvl>
    <w:lvl w:ilvl="7" w:tplc="60448AE8">
      <w:start w:val="1"/>
      <w:numFmt w:val="bullet"/>
      <w:lvlText w:val="o"/>
      <w:lvlJc w:val="left"/>
      <w:pPr>
        <w:ind w:left="5760" w:hanging="360"/>
      </w:pPr>
      <w:rPr>
        <w:rFonts w:ascii="Courier New" w:hAnsi="Courier New" w:hint="default"/>
      </w:rPr>
    </w:lvl>
    <w:lvl w:ilvl="8" w:tplc="7A3CBF76">
      <w:start w:val="1"/>
      <w:numFmt w:val="bullet"/>
      <w:lvlText w:val=""/>
      <w:lvlJc w:val="left"/>
      <w:pPr>
        <w:ind w:left="6480" w:hanging="360"/>
      </w:pPr>
      <w:rPr>
        <w:rFonts w:ascii="Wingdings" w:hAnsi="Wingdings" w:hint="default"/>
      </w:rPr>
    </w:lvl>
  </w:abstractNum>
  <w:abstractNum w:abstractNumId="45" w15:restartNumberingAfterBreak="0">
    <w:nsid w:val="701808CC"/>
    <w:multiLevelType w:val="hybridMultilevel"/>
    <w:tmpl w:val="96D29694"/>
    <w:lvl w:ilvl="0" w:tplc="70FE30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8851C2"/>
    <w:multiLevelType w:val="multilevel"/>
    <w:tmpl w:val="3626DD9A"/>
    <w:lvl w:ilvl="0">
      <w:start w:val="1"/>
      <w:numFmt w:val="decimal"/>
      <w:pStyle w:val="IARefNumber"/>
      <w:suff w:val="nothing"/>
      <w:lvlText w:val="%1"/>
      <w:lvlJc w:val="left"/>
      <w:pPr>
        <w:ind w:firstLine="113"/>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47" w15:restartNumberingAfterBreak="0">
    <w:nsid w:val="73EC7718"/>
    <w:multiLevelType w:val="hybridMultilevel"/>
    <w:tmpl w:val="E0444244"/>
    <w:lvl w:ilvl="0" w:tplc="FFFFFFFF">
      <w:start w:val="1"/>
      <w:numFmt w:val="decimal"/>
      <w:lvlText w:val="%1."/>
      <w:lvlJc w:val="left"/>
      <w:pPr>
        <w:ind w:left="720" w:hanging="360"/>
      </w:pPr>
      <w:rPr>
        <w:b w:val="0"/>
        <w:bCs/>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3C2379"/>
    <w:multiLevelType w:val="hybridMultilevel"/>
    <w:tmpl w:val="497EE47A"/>
    <w:lvl w:ilvl="0" w:tplc="C680CF9A">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7FB75C1D"/>
    <w:multiLevelType w:val="multilevel"/>
    <w:tmpl w:val="E2CC615A"/>
    <w:lvl w:ilvl="0">
      <w:start w:val="1"/>
      <w:numFmt w:val="none"/>
      <w:pStyle w:val="EBNumberRestart"/>
      <w:suff w:val="nothing"/>
      <w:lvlText w:val="%1"/>
      <w:lvlJc w:val="left"/>
      <w:rPr>
        <w:rFonts w:cs="Times New Roman" w:hint="default"/>
      </w:rPr>
    </w:lvl>
    <w:lvl w:ilvl="1">
      <w:start w:val="1"/>
      <w:numFmt w:val="decimal"/>
      <w:pStyle w:val="EBNumber"/>
      <w:lvlText w:val="%1%2."/>
      <w:lvlJc w:val="left"/>
      <w:pPr>
        <w:tabs>
          <w:tab w:val="num" w:pos="425"/>
        </w:tabs>
        <w:ind w:left="425" w:hanging="425"/>
      </w:pPr>
      <w:rPr>
        <w:rFonts w:cs="Times New Roman" w:hint="default"/>
      </w:rPr>
    </w:lvl>
    <w:lvl w:ilvl="2">
      <w:start w:val="1"/>
      <w:numFmt w:val="lowerLetter"/>
      <w:lvlText w:val="%1%3."/>
      <w:lvlJc w:val="left"/>
      <w:pPr>
        <w:tabs>
          <w:tab w:val="num" w:pos="851"/>
        </w:tabs>
        <w:ind w:left="851" w:hanging="426"/>
      </w:pPr>
      <w:rPr>
        <w:rFonts w:cs="Times New Roman" w:hint="default"/>
      </w:rPr>
    </w:lvl>
    <w:lvl w:ilvl="3">
      <w:start w:val="1"/>
      <w:numFmt w:val="none"/>
      <w:lvlText w:val="%1"/>
      <w:lvlJc w:val="left"/>
      <w:pPr>
        <w:tabs>
          <w:tab w:val="num" w:pos="2880"/>
        </w:tabs>
        <w:ind w:left="1728" w:hanging="648"/>
      </w:pPr>
      <w:rPr>
        <w:rFonts w:cs="Times New Roman" w:hint="default"/>
      </w:rPr>
    </w:lvl>
    <w:lvl w:ilvl="4">
      <w:start w:val="1"/>
      <w:numFmt w:val="none"/>
      <w:lvlText w:val="%1"/>
      <w:lvlJc w:val="left"/>
      <w:pPr>
        <w:tabs>
          <w:tab w:val="num" w:pos="3600"/>
        </w:tabs>
        <w:ind w:left="2232" w:hanging="792"/>
      </w:pPr>
      <w:rPr>
        <w:rFonts w:cs="Times New Roman" w:hint="default"/>
      </w:rPr>
    </w:lvl>
    <w:lvl w:ilvl="5">
      <w:start w:val="1"/>
      <w:numFmt w:val="none"/>
      <w:lvlText w:val="%1"/>
      <w:lvlJc w:val="left"/>
      <w:pPr>
        <w:tabs>
          <w:tab w:val="num" w:pos="4320"/>
        </w:tabs>
        <w:ind w:left="2736" w:hanging="936"/>
      </w:pPr>
      <w:rPr>
        <w:rFonts w:cs="Times New Roman" w:hint="default"/>
      </w:rPr>
    </w:lvl>
    <w:lvl w:ilvl="6">
      <w:start w:val="1"/>
      <w:numFmt w:val="none"/>
      <w:lvlText w:val="%1"/>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41"/>
  </w:num>
  <w:num w:numId="2">
    <w:abstractNumId w:val="42"/>
  </w:num>
  <w:num w:numId="3">
    <w:abstractNumId w:val="39"/>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9"/>
  </w:num>
  <w:num w:numId="16">
    <w:abstractNumId w:val="46"/>
  </w:num>
  <w:num w:numId="17">
    <w:abstractNumId w:val="10"/>
  </w:num>
  <w:num w:numId="18">
    <w:abstractNumId w:val="32"/>
  </w:num>
  <w:num w:numId="19">
    <w:abstractNumId w:val="27"/>
  </w:num>
  <w:num w:numId="20">
    <w:abstractNumId w:val="20"/>
  </w:num>
  <w:num w:numId="21">
    <w:abstractNumId w:val="27"/>
  </w:num>
  <w:num w:numId="22">
    <w:abstractNumId w:val="49"/>
  </w:num>
  <w:num w:numId="23">
    <w:abstractNumId w:val="49"/>
  </w:num>
  <w:num w:numId="24">
    <w:abstractNumId w:val="49"/>
  </w:num>
  <w:num w:numId="25">
    <w:abstractNumId w:val="27"/>
  </w:num>
  <w:num w:numId="26">
    <w:abstractNumId w:val="33"/>
  </w:num>
  <w:num w:numId="27">
    <w:abstractNumId w:val="40"/>
  </w:num>
  <w:num w:numId="28">
    <w:abstractNumId w:val="43"/>
  </w:num>
  <w:num w:numId="29">
    <w:abstractNumId w:val="37"/>
  </w:num>
  <w:num w:numId="30">
    <w:abstractNumId w:val="31"/>
  </w:num>
  <w:num w:numId="31">
    <w:abstractNumId w:val="17"/>
  </w:num>
  <w:num w:numId="32">
    <w:abstractNumId w:val="28"/>
  </w:num>
  <w:num w:numId="33">
    <w:abstractNumId w:val="47"/>
  </w:num>
  <w:num w:numId="34">
    <w:abstractNumId w:val="13"/>
  </w:num>
  <w:num w:numId="35">
    <w:abstractNumId w:val="11"/>
  </w:num>
  <w:num w:numId="36">
    <w:abstractNumId w:val="12"/>
  </w:num>
  <w:num w:numId="37">
    <w:abstractNumId w:val="26"/>
  </w:num>
  <w:num w:numId="38">
    <w:abstractNumId w:val="45"/>
  </w:num>
  <w:num w:numId="39">
    <w:abstractNumId w:val="23"/>
  </w:num>
  <w:num w:numId="40">
    <w:abstractNumId w:val="16"/>
  </w:num>
  <w:num w:numId="41">
    <w:abstractNumId w:val="24"/>
  </w:num>
  <w:num w:numId="42">
    <w:abstractNumId w:val="35"/>
  </w:num>
  <w:num w:numId="43">
    <w:abstractNumId w:val="36"/>
  </w:num>
  <w:num w:numId="44">
    <w:abstractNumId w:val="15"/>
  </w:num>
  <w:num w:numId="45">
    <w:abstractNumId w:val="30"/>
  </w:num>
  <w:num w:numId="46">
    <w:abstractNumId w:val="38"/>
  </w:num>
  <w:num w:numId="47">
    <w:abstractNumId w:val="34"/>
  </w:num>
  <w:num w:numId="48">
    <w:abstractNumId w:val="18"/>
  </w:num>
  <w:num w:numId="49">
    <w:abstractNumId w:val="21"/>
  </w:num>
  <w:num w:numId="50">
    <w:abstractNumId w:val="14"/>
  </w:num>
  <w:num w:numId="51">
    <w:abstractNumId w:val="19"/>
  </w:num>
  <w:num w:numId="52">
    <w:abstractNumId w:val="44"/>
  </w:num>
  <w:num w:numId="53">
    <w:abstractNumId w:val="22"/>
  </w:num>
  <w:num w:numId="54">
    <w:abstractNumId w:val="29"/>
  </w:num>
  <w:num w:numId="55">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Doc" w:val="Created"/>
    <w:docVar w:name="VerNumber" w:val="3.9.0"/>
  </w:docVars>
  <w:rsids>
    <w:rsidRoot w:val="00044FE7"/>
    <w:rsid w:val="00000766"/>
    <w:rsid w:val="000019B2"/>
    <w:rsid w:val="00001E72"/>
    <w:rsid w:val="00002A11"/>
    <w:rsid w:val="0000394F"/>
    <w:rsid w:val="00003A70"/>
    <w:rsid w:val="00003B95"/>
    <w:rsid w:val="00004DA8"/>
    <w:rsid w:val="0000505F"/>
    <w:rsid w:val="00006424"/>
    <w:rsid w:val="000071A5"/>
    <w:rsid w:val="0000785A"/>
    <w:rsid w:val="000079C0"/>
    <w:rsid w:val="00010950"/>
    <w:rsid w:val="00010A8A"/>
    <w:rsid w:val="00010EE1"/>
    <w:rsid w:val="000118F7"/>
    <w:rsid w:val="000122C0"/>
    <w:rsid w:val="00012458"/>
    <w:rsid w:val="00012E88"/>
    <w:rsid w:val="00013667"/>
    <w:rsid w:val="000139D2"/>
    <w:rsid w:val="000142F1"/>
    <w:rsid w:val="0001460F"/>
    <w:rsid w:val="000150A7"/>
    <w:rsid w:val="000166B7"/>
    <w:rsid w:val="0001689C"/>
    <w:rsid w:val="000201EE"/>
    <w:rsid w:val="00021306"/>
    <w:rsid w:val="0002205B"/>
    <w:rsid w:val="000222F1"/>
    <w:rsid w:val="00022BE0"/>
    <w:rsid w:val="00022F52"/>
    <w:rsid w:val="00023080"/>
    <w:rsid w:val="0002370C"/>
    <w:rsid w:val="000239A7"/>
    <w:rsid w:val="00023E62"/>
    <w:rsid w:val="000251D0"/>
    <w:rsid w:val="00025CC4"/>
    <w:rsid w:val="00025E6A"/>
    <w:rsid w:val="00026555"/>
    <w:rsid w:val="00026AC0"/>
    <w:rsid w:val="00026E17"/>
    <w:rsid w:val="000273F8"/>
    <w:rsid w:val="000277E8"/>
    <w:rsid w:val="0003167E"/>
    <w:rsid w:val="000318E3"/>
    <w:rsid w:val="00032E6F"/>
    <w:rsid w:val="000332E1"/>
    <w:rsid w:val="00033BC5"/>
    <w:rsid w:val="0003521A"/>
    <w:rsid w:val="0003726F"/>
    <w:rsid w:val="0003786D"/>
    <w:rsid w:val="00037DCC"/>
    <w:rsid w:val="0004016B"/>
    <w:rsid w:val="000407D8"/>
    <w:rsid w:val="00042A38"/>
    <w:rsid w:val="00043480"/>
    <w:rsid w:val="000436B4"/>
    <w:rsid w:val="0004401F"/>
    <w:rsid w:val="0004483D"/>
    <w:rsid w:val="00044FE7"/>
    <w:rsid w:val="00045828"/>
    <w:rsid w:val="00045BAD"/>
    <w:rsid w:val="00046FBE"/>
    <w:rsid w:val="00047D7C"/>
    <w:rsid w:val="0005060B"/>
    <w:rsid w:val="00051403"/>
    <w:rsid w:val="00052F44"/>
    <w:rsid w:val="0005338F"/>
    <w:rsid w:val="000553A5"/>
    <w:rsid w:val="0005543F"/>
    <w:rsid w:val="00056B5A"/>
    <w:rsid w:val="00056EE6"/>
    <w:rsid w:val="00057CB0"/>
    <w:rsid w:val="00060430"/>
    <w:rsid w:val="0006047F"/>
    <w:rsid w:val="0006053F"/>
    <w:rsid w:val="00061D9C"/>
    <w:rsid w:val="00062751"/>
    <w:rsid w:val="00064576"/>
    <w:rsid w:val="00064B82"/>
    <w:rsid w:val="000652FF"/>
    <w:rsid w:val="000671A2"/>
    <w:rsid w:val="0006C68B"/>
    <w:rsid w:val="00070EEB"/>
    <w:rsid w:val="00071299"/>
    <w:rsid w:val="00072272"/>
    <w:rsid w:val="000723CF"/>
    <w:rsid w:val="00072D19"/>
    <w:rsid w:val="000737AA"/>
    <w:rsid w:val="00073A8A"/>
    <w:rsid w:val="0007524C"/>
    <w:rsid w:val="0007532E"/>
    <w:rsid w:val="0007548E"/>
    <w:rsid w:val="000761B5"/>
    <w:rsid w:val="000767AC"/>
    <w:rsid w:val="0007695E"/>
    <w:rsid w:val="00076A78"/>
    <w:rsid w:val="00076C08"/>
    <w:rsid w:val="00078DD7"/>
    <w:rsid w:val="00082295"/>
    <w:rsid w:val="00082659"/>
    <w:rsid w:val="00082B07"/>
    <w:rsid w:val="00082B2E"/>
    <w:rsid w:val="00082BAC"/>
    <w:rsid w:val="00082F4F"/>
    <w:rsid w:val="00082FF9"/>
    <w:rsid w:val="00083A49"/>
    <w:rsid w:val="000846DB"/>
    <w:rsid w:val="000848A3"/>
    <w:rsid w:val="0008516C"/>
    <w:rsid w:val="000858A0"/>
    <w:rsid w:val="000860CC"/>
    <w:rsid w:val="00086128"/>
    <w:rsid w:val="0008731F"/>
    <w:rsid w:val="00090796"/>
    <w:rsid w:val="000908EF"/>
    <w:rsid w:val="00091EF4"/>
    <w:rsid w:val="000934C5"/>
    <w:rsid w:val="00093598"/>
    <w:rsid w:val="0009381F"/>
    <w:rsid w:val="00094680"/>
    <w:rsid w:val="000956FD"/>
    <w:rsid w:val="00096EAC"/>
    <w:rsid w:val="000A04AD"/>
    <w:rsid w:val="000A0D7B"/>
    <w:rsid w:val="000A14D9"/>
    <w:rsid w:val="000A363F"/>
    <w:rsid w:val="000A36EE"/>
    <w:rsid w:val="000A5C5D"/>
    <w:rsid w:val="000A6E4B"/>
    <w:rsid w:val="000A79FC"/>
    <w:rsid w:val="000B07A1"/>
    <w:rsid w:val="000B0B3B"/>
    <w:rsid w:val="000B0B43"/>
    <w:rsid w:val="000B1176"/>
    <w:rsid w:val="000B1A2E"/>
    <w:rsid w:val="000B1EC7"/>
    <w:rsid w:val="000B316D"/>
    <w:rsid w:val="000B3E49"/>
    <w:rsid w:val="000B5822"/>
    <w:rsid w:val="000B7C65"/>
    <w:rsid w:val="000C0001"/>
    <w:rsid w:val="000C0019"/>
    <w:rsid w:val="000C031E"/>
    <w:rsid w:val="000C165A"/>
    <w:rsid w:val="000C1D45"/>
    <w:rsid w:val="000C30D8"/>
    <w:rsid w:val="000C3D1C"/>
    <w:rsid w:val="000C438E"/>
    <w:rsid w:val="000C4589"/>
    <w:rsid w:val="000C57D5"/>
    <w:rsid w:val="000C5F20"/>
    <w:rsid w:val="000C6A87"/>
    <w:rsid w:val="000D016E"/>
    <w:rsid w:val="000D0C4D"/>
    <w:rsid w:val="000D1CB0"/>
    <w:rsid w:val="000D25FF"/>
    <w:rsid w:val="000D41A3"/>
    <w:rsid w:val="000D55B5"/>
    <w:rsid w:val="000D58BD"/>
    <w:rsid w:val="000D5ED5"/>
    <w:rsid w:val="000D7B2B"/>
    <w:rsid w:val="000D7F7C"/>
    <w:rsid w:val="000E02BE"/>
    <w:rsid w:val="000E0375"/>
    <w:rsid w:val="000E12A6"/>
    <w:rsid w:val="000E22CA"/>
    <w:rsid w:val="000E2636"/>
    <w:rsid w:val="000E306F"/>
    <w:rsid w:val="000E3308"/>
    <w:rsid w:val="000E3FD7"/>
    <w:rsid w:val="000E4514"/>
    <w:rsid w:val="000E452D"/>
    <w:rsid w:val="000E4DC3"/>
    <w:rsid w:val="000F004E"/>
    <w:rsid w:val="000F04EF"/>
    <w:rsid w:val="000F0840"/>
    <w:rsid w:val="000F0BB0"/>
    <w:rsid w:val="000F37BB"/>
    <w:rsid w:val="000F4481"/>
    <w:rsid w:val="000F44A2"/>
    <w:rsid w:val="000F49FD"/>
    <w:rsid w:val="000F57BB"/>
    <w:rsid w:val="000F5C5B"/>
    <w:rsid w:val="000F6155"/>
    <w:rsid w:val="000F6404"/>
    <w:rsid w:val="000F6ACD"/>
    <w:rsid w:val="0010048C"/>
    <w:rsid w:val="00101961"/>
    <w:rsid w:val="001020CB"/>
    <w:rsid w:val="00102632"/>
    <w:rsid w:val="00102870"/>
    <w:rsid w:val="0010340C"/>
    <w:rsid w:val="00103675"/>
    <w:rsid w:val="00110396"/>
    <w:rsid w:val="00110842"/>
    <w:rsid w:val="001110DB"/>
    <w:rsid w:val="00112AA4"/>
    <w:rsid w:val="00113580"/>
    <w:rsid w:val="0011417B"/>
    <w:rsid w:val="00115D70"/>
    <w:rsid w:val="00115E4C"/>
    <w:rsid w:val="00116443"/>
    <w:rsid w:val="001165F5"/>
    <w:rsid w:val="00116921"/>
    <w:rsid w:val="0011784A"/>
    <w:rsid w:val="00120113"/>
    <w:rsid w:val="001205AE"/>
    <w:rsid w:val="0012233B"/>
    <w:rsid w:val="001223D5"/>
    <w:rsid w:val="00122E39"/>
    <w:rsid w:val="00122ED6"/>
    <w:rsid w:val="001235DD"/>
    <w:rsid w:val="00123669"/>
    <w:rsid w:val="0012369A"/>
    <w:rsid w:val="001243CD"/>
    <w:rsid w:val="0012460B"/>
    <w:rsid w:val="00124B1F"/>
    <w:rsid w:val="00126F3A"/>
    <w:rsid w:val="00127373"/>
    <w:rsid w:val="0013065C"/>
    <w:rsid w:val="00131CE4"/>
    <w:rsid w:val="001321CB"/>
    <w:rsid w:val="00132757"/>
    <w:rsid w:val="0013389A"/>
    <w:rsid w:val="00133A17"/>
    <w:rsid w:val="00133C58"/>
    <w:rsid w:val="001348DC"/>
    <w:rsid w:val="00134E5C"/>
    <w:rsid w:val="00134EA8"/>
    <w:rsid w:val="001365F4"/>
    <w:rsid w:val="001377B3"/>
    <w:rsid w:val="001402A5"/>
    <w:rsid w:val="0014140D"/>
    <w:rsid w:val="00141B6F"/>
    <w:rsid w:val="0014336D"/>
    <w:rsid w:val="0014371B"/>
    <w:rsid w:val="00143F26"/>
    <w:rsid w:val="00144088"/>
    <w:rsid w:val="001473F3"/>
    <w:rsid w:val="001477D1"/>
    <w:rsid w:val="00147C33"/>
    <w:rsid w:val="00150D89"/>
    <w:rsid w:val="00150DAE"/>
    <w:rsid w:val="0015254E"/>
    <w:rsid w:val="00152AC3"/>
    <w:rsid w:val="00152C60"/>
    <w:rsid w:val="00152F31"/>
    <w:rsid w:val="00152F49"/>
    <w:rsid w:val="001535F3"/>
    <w:rsid w:val="00154359"/>
    <w:rsid w:val="001543E2"/>
    <w:rsid w:val="0015483A"/>
    <w:rsid w:val="001551E3"/>
    <w:rsid w:val="0015598B"/>
    <w:rsid w:val="0015640A"/>
    <w:rsid w:val="00156E0C"/>
    <w:rsid w:val="00156F48"/>
    <w:rsid w:val="00157F4A"/>
    <w:rsid w:val="00160691"/>
    <w:rsid w:val="00160B02"/>
    <w:rsid w:val="00161099"/>
    <w:rsid w:val="001646FF"/>
    <w:rsid w:val="00165113"/>
    <w:rsid w:val="00165247"/>
    <w:rsid w:val="00166931"/>
    <w:rsid w:val="001700A4"/>
    <w:rsid w:val="001708F9"/>
    <w:rsid w:val="001709E2"/>
    <w:rsid w:val="001725FD"/>
    <w:rsid w:val="00173ED2"/>
    <w:rsid w:val="00174C10"/>
    <w:rsid w:val="00175447"/>
    <w:rsid w:val="00175F8E"/>
    <w:rsid w:val="0018075D"/>
    <w:rsid w:val="00180FDF"/>
    <w:rsid w:val="0018176D"/>
    <w:rsid w:val="00182B85"/>
    <w:rsid w:val="00183038"/>
    <w:rsid w:val="00183882"/>
    <w:rsid w:val="001844B6"/>
    <w:rsid w:val="001851A3"/>
    <w:rsid w:val="001851B9"/>
    <w:rsid w:val="001855B1"/>
    <w:rsid w:val="00186D01"/>
    <w:rsid w:val="00187F08"/>
    <w:rsid w:val="0019021E"/>
    <w:rsid w:val="00190A8D"/>
    <w:rsid w:val="00190F9A"/>
    <w:rsid w:val="00192253"/>
    <w:rsid w:val="001925F0"/>
    <w:rsid w:val="00192855"/>
    <w:rsid w:val="00194050"/>
    <w:rsid w:val="00194745"/>
    <w:rsid w:val="00194E96"/>
    <w:rsid w:val="001951BC"/>
    <w:rsid w:val="001A07F1"/>
    <w:rsid w:val="001A0C45"/>
    <w:rsid w:val="001A2034"/>
    <w:rsid w:val="001A26EC"/>
    <w:rsid w:val="001A3B0B"/>
    <w:rsid w:val="001A4332"/>
    <w:rsid w:val="001A4432"/>
    <w:rsid w:val="001A4620"/>
    <w:rsid w:val="001A478E"/>
    <w:rsid w:val="001A491A"/>
    <w:rsid w:val="001A509E"/>
    <w:rsid w:val="001A6FE6"/>
    <w:rsid w:val="001A7B61"/>
    <w:rsid w:val="001A7D6D"/>
    <w:rsid w:val="001B0880"/>
    <w:rsid w:val="001B1210"/>
    <w:rsid w:val="001B18D0"/>
    <w:rsid w:val="001B1DD8"/>
    <w:rsid w:val="001B305C"/>
    <w:rsid w:val="001B34EB"/>
    <w:rsid w:val="001B44F2"/>
    <w:rsid w:val="001B496F"/>
    <w:rsid w:val="001B4A0E"/>
    <w:rsid w:val="001B4EC4"/>
    <w:rsid w:val="001B579D"/>
    <w:rsid w:val="001C05FA"/>
    <w:rsid w:val="001C0644"/>
    <w:rsid w:val="001C0A7C"/>
    <w:rsid w:val="001C0AB0"/>
    <w:rsid w:val="001C0B58"/>
    <w:rsid w:val="001C1CAA"/>
    <w:rsid w:val="001C1CD3"/>
    <w:rsid w:val="001C3363"/>
    <w:rsid w:val="001C3A3E"/>
    <w:rsid w:val="001C3E7F"/>
    <w:rsid w:val="001C70B7"/>
    <w:rsid w:val="001C7C39"/>
    <w:rsid w:val="001D0842"/>
    <w:rsid w:val="001D09CC"/>
    <w:rsid w:val="001D0AF4"/>
    <w:rsid w:val="001D12D6"/>
    <w:rsid w:val="001D1FC0"/>
    <w:rsid w:val="001D2096"/>
    <w:rsid w:val="001D231F"/>
    <w:rsid w:val="001D3A43"/>
    <w:rsid w:val="001D3C11"/>
    <w:rsid w:val="001D45FE"/>
    <w:rsid w:val="001D4AA8"/>
    <w:rsid w:val="001D4D42"/>
    <w:rsid w:val="001D5EC9"/>
    <w:rsid w:val="001D6B90"/>
    <w:rsid w:val="001D7BED"/>
    <w:rsid w:val="001E152A"/>
    <w:rsid w:val="001E1DA0"/>
    <w:rsid w:val="001E4434"/>
    <w:rsid w:val="001E452E"/>
    <w:rsid w:val="001E479F"/>
    <w:rsid w:val="001E5A32"/>
    <w:rsid w:val="001E69A2"/>
    <w:rsid w:val="001E6B20"/>
    <w:rsid w:val="001E6E07"/>
    <w:rsid w:val="001F05F3"/>
    <w:rsid w:val="001F4352"/>
    <w:rsid w:val="001F4979"/>
    <w:rsid w:val="001F5423"/>
    <w:rsid w:val="001F5A3F"/>
    <w:rsid w:val="001F5DD9"/>
    <w:rsid w:val="001F69E9"/>
    <w:rsid w:val="001F6C69"/>
    <w:rsid w:val="001F6D51"/>
    <w:rsid w:val="001F71C9"/>
    <w:rsid w:val="001F729D"/>
    <w:rsid w:val="001F7AF7"/>
    <w:rsid w:val="001F7CF8"/>
    <w:rsid w:val="0020104C"/>
    <w:rsid w:val="0020151D"/>
    <w:rsid w:val="00201B79"/>
    <w:rsid w:val="00202CA1"/>
    <w:rsid w:val="00202E56"/>
    <w:rsid w:val="00203251"/>
    <w:rsid w:val="002032C6"/>
    <w:rsid w:val="002033D6"/>
    <w:rsid w:val="00203758"/>
    <w:rsid w:val="00204AB1"/>
    <w:rsid w:val="00205E05"/>
    <w:rsid w:val="0020673E"/>
    <w:rsid w:val="0020708B"/>
    <w:rsid w:val="00207B21"/>
    <w:rsid w:val="00207D2A"/>
    <w:rsid w:val="00211257"/>
    <w:rsid w:val="00213C88"/>
    <w:rsid w:val="002142AA"/>
    <w:rsid w:val="002144F0"/>
    <w:rsid w:val="0021557E"/>
    <w:rsid w:val="002160DE"/>
    <w:rsid w:val="00216F02"/>
    <w:rsid w:val="0021701C"/>
    <w:rsid w:val="0021731F"/>
    <w:rsid w:val="00217CA1"/>
    <w:rsid w:val="00217F89"/>
    <w:rsid w:val="00220F29"/>
    <w:rsid w:val="00221018"/>
    <w:rsid w:val="002214AE"/>
    <w:rsid w:val="00221FAD"/>
    <w:rsid w:val="00222F90"/>
    <w:rsid w:val="0022490F"/>
    <w:rsid w:val="00224CDB"/>
    <w:rsid w:val="00225F9C"/>
    <w:rsid w:val="00226996"/>
    <w:rsid w:val="002274E5"/>
    <w:rsid w:val="0022767B"/>
    <w:rsid w:val="00227EBE"/>
    <w:rsid w:val="002306B7"/>
    <w:rsid w:val="00231584"/>
    <w:rsid w:val="0023355B"/>
    <w:rsid w:val="00233FD3"/>
    <w:rsid w:val="002346A8"/>
    <w:rsid w:val="002347A2"/>
    <w:rsid w:val="00235E4A"/>
    <w:rsid w:val="002401CB"/>
    <w:rsid w:val="0024113B"/>
    <w:rsid w:val="00241738"/>
    <w:rsid w:val="00241BE6"/>
    <w:rsid w:val="002425C2"/>
    <w:rsid w:val="00242C41"/>
    <w:rsid w:val="00243270"/>
    <w:rsid w:val="002435A5"/>
    <w:rsid w:val="002437A8"/>
    <w:rsid w:val="00244D04"/>
    <w:rsid w:val="00245894"/>
    <w:rsid w:val="00245E4E"/>
    <w:rsid w:val="00246360"/>
    <w:rsid w:val="00246549"/>
    <w:rsid w:val="0024697B"/>
    <w:rsid w:val="00246AF8"/>
    <w:rsid w:val="00247566"/>
    <w:rsid w:val="00250259"/>
    <w:rsid w:val="00251138"/>
    <w:rsid w:val="00251ED1"/>
    <w:rsid w:val="002530A8"/>
    <w:rsid w:val="00253F4D"/>
    <w:rsid w:val="00256F0E"/>
    <w:rsid w:val="002571C1"/>
    <w:rsid w:val="00260DE3"/>
    <w:rsid w:val="002613CB"/>
    <w:rsid w:val="0026191F"/>
    <w:rsid w:val="00262437"/>
    <w:rsid w:val="00265153"/>
    <w:rsid w:val="0026604F"/>
    <w:rsid w:val="002664F1"/>
    <w:rsid w:val="002671F9"/>
    <w:rsid w:val="00267B6C"/>
    <w:rsid w:val="002718D6"/>
    <w:rsid w:val="00272539"/>
    <w:rsid w:val="00272F62"/>
    <w:rsid w:val="00272FA0"/>
    <w:rsid w:val="00273403"/>
    <w:rsid w:val="00273865"/>
    <w:rsid w:val="00273A3C"/>
    <w:rsid w:val="00276D70"/>
    <w:rsid w:val="00277430"/>
    <w:rsid w:val="002808F1"/>
    <w:rsid w:val="00281331"/>
    <w:rsid w:val="00281756"/>
    <w:rsid w:val="00281E7E"/>
    <w:rsid w:val="00282EFA"/>
    <w:rsid w:val="002837FC"/>
    <w:rsid w:val="00283D96"/>
    <w:rsid w:val="00283E81"/>
    <w:rsid w:val="00284C30"/>
    <w:rsid w:val="002858BC"/>
    <w:rsid w:val="00286282"/>
    <w:rsid w:val="00286F63"/>
    <w:rsid w:val="0028755A"/>
    <w:rsid w:val="00287BA8"/>
    <w:rsid w:val="00287DF9"/>
    <w:rsid w:val="00290335"/>
    <w:rsid w:val="00290C0D"/>
    <w:rsid w:val="00290C5E"/>
    <w:rsid w:val="00290DBB"/>
    <w:rsid w:val="00291302"/>
    <w:rsid w:val="0029158C"/>
    <w:rsid w:val="00292C91"/>
    <w:rsid w:val="002932AD"/>
    <w:rsid w:val="00293979"/>
    <w:rsid w:val="0029444F"/>
    <w:rsid w:val="00296472"/>
    <w:rsid w:val="002A04A3"/>
    <w:rsid w:val="002A06DA"/>
    <w:rsid w:val="002A0C29"/>
    <w:rsid w:val="002A203F"/>
    <w:rsid w:val="002A31C4"/>
    <w:rsid w:val="002A456F"/>
    <w:rsid w:val="002A54D6"/>
    <w:rsid w:val="002A5A3C"/>
    <w:rsid w:val="002A5C51"/>
    <w:rsid w:val="002A6E2B"/>
    <w:rsid w:val="002A7C28"/>
    <w:rsid w:val="002B09B8"/>
    <w:rsid w:val="002B0DC8"/>
    <w:rsid w:val="002B22D0"/>
    <w:rsid w:val="002B237D"/>
    <w:rsid w:val="002B2456"/>
    <w:rsid w:val="002B2572"/>
    <w:rsid w:val="002B2F3F"/>
    <w:rsid w:val="002B4D79"/>
    <w:rsid w:val="002B5DAC"/>
    <w:rsid w:val="002B61CC"/>
    <w:rsid w:val="002B7335"/>
    <w:rsid w:val="002B77F5"/>
    <w:rsid w:val="002C01AD"/>
    <w:rsid w:val="002C0A0C"/>
    <w:rsid w:val="002C0A80"/>
    <w:rsid w:val="002C1D0C"/>
    <w:rsid w:val="002C1EC2"/>
    <w:rsid w:val="002C274F"/>
    <w:rsid w:val="002C331D"/>
    <w:rsid w:val="002C40AF"/>
    <w:rsid w:val="002C582B"/>
    <w:rsid w:val="002C73F7"/>
    <w:rsid w:val="002C7B86"/>
    <w:rsid w:val="002D041B"/>
    <w:rsid w:val="002D1AE9"/>
    <w:rsid w:val="002D2688"/>
    <w:rsid w:val="002D2D7E"/>
    <w:rsid w:val="002D3103"/>
    <w:rsid w:val="002D31B2"/>
    <w:rsid w:val="002D34EB"/>
    <w:rsid w:val="002D39B5"/>
    <w:rsid w:val="002D4104"/>
    <w:rsid w:val="002D4177"/>
    <w:rsid w:val="002D548B"/>
    <w:rsid w:val="002D66B1"/>
    <w:rsid w:val="002D7616"/>
    <w:rsid w:val="002D7ECF"/>
    <w:rsid w:val="002E036C"/>
    <w:rsid w:val="002E0E22"/>
    <w:rsid w:val="002E119D"/>
    <w:rsid w:val="002E1C94"/>
    <w:rsid w:val="002E1E91"/>
    <w:rsid w:val="002E2AE4"/>
    <w:rsid w:val="002E424C"/>
    <w:rsid w:val="002E46DE"/>
    <w:rsid w:val="002E47B2"/>
    <w:rsid w:val="002E4B1C"/>
    <w:rsid w:val="002E5406"/>
    <w:rsid w:val="002E5DE3"/>
    <w:rsid w:val="002E641F"/>
    <w:rsid w:val="002E69F6"/>
    <w:rsid w:val="002E711B"/>
    <w:rsid w:val="002E78D7"/>
    <w:rsid w:val="002F1CB1"/>
    <w:rsid w:val="002F3633"/>
    <w:rsid w:val="002F40FF"/>
    <w:rsid w:val="002F581D"/>
    <w:rsid w:val="002F5B67"/>
    <w:rsid w:val="002F653C"/>
    <w:rsid w:val="002F7179"/>
    <w:rsid w:val="002F77F4"/>
    <w:rsid w:val="002F7D4C"/>
    <w:rsid w:val="00300B27"/>
    <w:rsid w:val="00300CED"/>
    <w:rsid w:val="00300D77"/>
    <w:rsid w:val="00301484"/>
    <w:rsid w:val="0030148A"/>
    <w:rsid w:val="003030E1"/>
    <w:rsid w:val="00304677"/>
    <w:rsid w:val="00304821"/>
    <w:rsid w:val="00304C1D"/>
    <w:rsid w:val="003069E8"/>
    <w:rsid w:val="00306FC1"/>
    <w:rsid w:val="00307737"/>
    <w:rsid w:val="00307E85"/>
    <w:rsid w:val="00310269"/>
    <w:rsid w:val="00310BBC"/>
    <w:rsid w:val="00310E67"/>
    <w:rsid w:val="003111DB"/>
    <w:rsid w:val="00311373"/>
    <w:rsid w:val="00311CCB"/>
    <w:rsid w:val="00312403"/>
    <w:rsid w:val="00313937"/>
    <w:rsid w:val="00313A2A"/>
    <w:rsid w:val="00314466"/>
    <w:rsid w:val="003149E9"/>
    <w:rsid w:val="00315F22"/>
    <w:rsid w:val="0031612A"/>
    <w:rsid w:val="00316B83"/>
    <w:rsid w:val="003177F1"/>
    <w:rsid w:val="00317DAD"/>
    <w:rsid w:val="00317F38"/>
    <w:rsid w:val="00320041"/>
    <w:rsid w:val="003203C7"/>
    <w:rsid w:val="00320415"/>
    <w:rsid w:val="00320B86"/>
    <w:rsid w:val="00321D02"/>
    <w:rsid w:val="003228BF"/>
    <w:rsid w:val="003229E0"/>
    <w:rsid w:val="00322E0B"/>
    <w:rsid w:val="00323107"/>
    <w:rsid w:val="00323C5A"/>
    <w:rsid w:val="00324485"/>
    <w:rsid w:val="003246CB"/>
    <w:rsid w:val="00327F3C"/>
    <w:rsid w:val="00329246"/>
    <w:rsid w:val="00331DCE"/>
    <w:rsid w:val="00332055"/>
    <w:rsid w:val="00332280"/>
    <w:rsid w:val="003323DB"/>
    <w:rsid w:val="00332B05"/>
    <w:rsid w:val="003330C7"/>
    <w:rsid w:val="003334C0"/>
    <w:rsid w:val="00333749"/>
    <w:rsid w:val="00333946"/>
    <w:rsid w:val="00334F50"/>
    <w:rsid w:val="00335C9A"/>
    <w:rsid w:val="00336E24"/>
    <w:rsid w:val="003409BF"/>
    <w:rsid w:val="00341FA7"/>
    <w:rsid w:val="003423FC"/>
    <w:rsid w:val="00342922"/>
    <w:rsid w:val="00343DDF"/>
    <w:rsid w:val="00345525"/>
    <w:rsid w:val="00345EDE"/>
    <w:rsid w:val="00347039"/>
    <w:rsid w:val="00351302"/>
    <w:rsid w:val="00352338"/>
    <w:rsid w:val="003535BC"/>
    <w:rsid w:val="003540BD"/>
    <w:rsid w:val="00355E73"/>
    <w:rsid w:val="00356841"/>
    <w:rsid w:val="00357A8E"/>
    <w:rsid w:val="00357DAD"/>
    <w:rsid w:val="00357E43"/>
    <w:rsid w:val="00360475"/>
    <w:rsid w:val="0036235A"/>
    <w:rsid w:val="003635DC"/>
    <w:rsid w:val="003640B6"/>
    <w:rsid w:val="003641DB"/>
    <w:rsid w:val="00364715"/>
    <w:rsid w:val="0036561E"/>
    <w:rsid w:val="00365687"/>
    <w:rsid w:val="003657AB"/>
    <w:rsid w:val="0036659C"/>
    <w:rsid w:val="00366707"/>
    <w:rsid w:val="00367426"/>
    <w:rsid w:val="00370A03"/>
    <w:rsid w:val="003721CA"/>
    <w:rsid w:val="00372365"/>
    <w:rsid w:val="003727D3"/>
    <w:rsid w:val="00372A69"/>
    <w:rsid w:val="00373C73"/>
    <w:rsid w:val="0037533D"/>
    <w:rsid w:val="00376491"/>
    <w:rsid w:val="003800B3"/>
    <w:rsid w:val="00380189"/>
    <w:rsid w:val="00380A15"/>
    <w:rsid w:val="00380E29"/>
    <w:rsid w:val="00381107"/>
    <w:rsid w:val="00381308"/>
    <w:rsid w:val="003816ED"/>
    <w:rsid w:val="003818E8"/>
    <w:rsid w:val="00381B1B"/>
    <w:rsid w:val="00382DC5"/>
    <w:rsid w:val="00383209"/>
    <w:rsid w:val="00383295"/>
    <w:rsid w:val="003848EF"/>
    <w:rsid w:val="00384905"/>
    <w:rsid w:val="00385BF8"/>
    <w:rsid w:val="00386560"/>
    <w:rsid w:val="0038715E"/>
    <w:rsid w:val="0039097D"/>
    <w:rsid w:val="00392E30"/>
    <w:rsid w:val="003931CB"/>
    <w:rsid w:val="003946A1"/>
    <w:rsid w:val="00395DFD"/>
    <w:rsid w:val="00395E3B"/>
    <w:rsid w:val="00395F95"/>
    <w:rsid w:val="00396C1A"/>
    <w:rsid w:val="003972F5"/>
    <w:rsid w:val="003978C6"/>
    <w:rsid w:val="003A0243"/>
    <w:rsid w:val="003A0FA3"/>
    <w:rsid w:val="003A12B1"/>
    <w:rsid w:val="003A151C"/>
    <w:rsid w:val="003A49CC"/>
    <w:rsid w:val="003A4D8A"/>
    <w:rsid w:val="003A53C5"/>
    <w:rsid w:val="003A5EEC"/>
    <w:rsid w:val="003A6079"/>
    <w:rsid w:val="003A68AB"/>
    <w:rsid w:val="003A6BCB"/>
    <w:rsid w:val="003A7572"/>
    <w:rsid w:val="003A7D93"/>
    <w:rsid w:val="003B00FB"/>
    <w:rsid w:val="003B04F0"/>
    <w:rsid w:val="003B0F19"/>
    <w:rsid w:val="003B1336"/>
    <w:rsid w:val="003B20FC"/>
    <w:rsid w:val="003B2AFF"/>
    <w:rsid w:val="003B30DD"/>
    <w:rsid w:val="003B31CE"/>
    <w:rsid w:val="003B3E18"/>
    <w:rsid w:val="003B533E"/>
    <w:rsid w:val="003B72CF"/>
    <w:rsid w:val="003B78AB"/>
    <w:rsid w:val="003C2C3C"/>
    <w:rsid w:val="003C2DEE"/>
    <w:rsid w:val="003C2F9B"/>
    <w:rsid w:val="003C33F4"/>
    <w:rsid w:val="003C36F1"/>
    <w:rsid w:val="003C4286"/>
    <w:rsid w:val="003C4783"/>
    <w:rsid w:val="003C6C81"/>
    <w:rsid w:val="003C6E77"/>
    <w:rsid w:val="003C76C8"/>
    <w:rsid w:val="003D11C0"/>
    <w:rsid w:val="003D1559"/>
    <w:rsid w:val="003D2116"/>
    <w:rsid w:val="003D2341"/>
    <w:rsid w:val="003D2D82"/>
    <w:rsid w:val="003D33A3"/>
    <w:rsid w:val="003D3AB6"/>
    <w:rsid w:val="003D572E"/>
    <w:rsid w:val="003D57B2"/>
    <w:rsid w:val="003D6960"/>
    <w:rsid w:val="003D77EE"/>
    <w:rsid w:val="003D789A"/>
    <w:rsid w:val="003D7927"/>
    <w:rsid w:val="003E0510"/>
    <w:rsid w:val="003E0A1C"/>
    <w:rsid w:val="003E0F92"/>
    <w:rsid w:val="003E1BBB"/>
    <w:rsid w:val="003E2295"/>
    <w:rsid w:val="003E54B6"/>
    <w:rsid w:val="003E58BD"/>
    <w:rsid w:val="003E66BB"/>
    <w:rsid w:val="003E7A4D"/>
    <w:rsid w:val="003F0010"/>
    <w:rsid w:val="003F187E"/>
    <w:rsid w:val="003F19AB"/>
    <w:rsid w:val="003F1D29"/>
    <w:rsid w:val="003F1F49"/>
    <w:rsid w:val="003F203A"/>
    <w:rsid w:val="003F2FA0"/>
    <w:rsid w:val="003F3199"/>
    <w:rsid w:val="003F36B8"/>
    <w:rsid w:val="003F42A7"/>
    <w:rsid w:val="003F57B1"/>
    <w:rsid w:val="003F6045"/>
    <w:rsid w:val="003F6823"/>
    <w:rsid w:val="003F6906"/>
    <w:rsid w:val="003F71C5"/>
    <w:rsid w:val="003F7393"/>
    <w:rsid w:val="003F7BF0"/>
    <w:rsid w:val="004016DE"/>
    <w:rsid w:val="00402441"/>
    <w:rsid w:val="004025DC"/>
    <w:rsid w:val="00402DAF"/>
    <w:rsid w:val="00402E80"/>
    <w:rsid w:val="004041B8"/>
    <w:rsid w:val="00405A60"/>
    <w:rsid w:val="00405ACA"/>
    <w:rsid w:val="004062CA"/>
    <w:rsid w:val="00406BBC"/>
    <w:rsid w:val="00406D1B"/>
    <w:rsid w:val="00410477"/>
    <w:rsid w:val="00410D17"/>
    <w:rsid w:val="00411398"/>
    <w:rsid w:val="004125B3"/>
    <w:rsid w:val="0041428D"/>
    <w:rsid w:val="00415552"/>
    <w:rsid w:val="00416050"/>
    <w:rsid w:val="00417259"/>
    <w:rsid w:val="004175D4"/>
    <w:rsid w:val="0042222D"/>
    <w:rsid w:val="00422963"/>
    <w:rsid w:val="00422DB4"/>
    <w:rsid w:val="0042338B"/>
    <w:rsid w:val="004239DA"/>
    <w:rsid w:val="004240A9"/>
    <w:rsid w:val="0042494E"/>
    <w:rsid w:val="00426095"/>
    <w:rsid w:val="00426AB3"/>
    <w:rsid w:val="004271B9"/>
    <w:rsid w:val="00427CAD"/>
    <w:rsid w:val="00430D68"/>
    <w:rsid w:val="004318F1"/>
    <w:rsid w:val="00431964"/>
    <w:rsid w:val="00432445"/>
    <w:rsid w:val="00433533"/>
    <w:rsid w:val="0043446F"/>
    <w:rsid w:val="004345D3"/>
    <w:rsid w:val="0043683F"/>
    <w:rsid w:val="00437381"/>
    <w:rsid w:val="00437CBF"/>
    <w:rsid w:val="0044043D"/>
    <w:rsid w:val="004406D1"/>
    <w:rsid w:val="00440A77"/>
    <w:rsid w:val="00440C9B"/>
    <w:rsid w:val="004415DF"/>
    <w:rsid w:val="004422A6"/>
    <w:rsid w:val="00442532"/>
    <w:rsid w:val="00442D07"/>
    <w:rsid w:val="00443A1E"/>
    <w:rsid w:val="00443F69"/>
    <w:rsid w:val="004442E2"/>
    <w:rsid w:val="00444E34"/>
    <w:rsid w:val="00445634"/>
    <w:rsid w:val="00446780"/>
    <w:rsid w:val="0045253C"/>
    <w:rsid w:val="00452B35"/>
    <w:rsid w:val="004547EA"/>
    <w:rsid w:val="004555A5"/>
    <w:rsid w:val="00455895"/>
    <w:rsid w:val="00455EAA"/>
    <w:rsid w:val="00456494"/>
    <w:rsid w:val="00457408"/>
    <w:rsid w:val="004577E1"/>
    <w:rsid w:val="0045799A"/>
    <w:rsid w:val="00462220"/>
    <w:rsid w:val="00462598"/>
    <w:rsid w:val="00462DCD"/>
    <w:rsid w:val="00463490"/>
    <w:rsid w:val="00463897"/>
    <w:rsid w:val="0046486E"/>
    <w:rsid w:val="004649A0"/>
    <w:rsid w:val="00464ED8"/>
    <w:rsid w:val="00466326"/>
    <w:rsid w:val="00466C6B"/>
    <w:rsid w:val="00466CDE"/>
    <w:rsid w:val="00470048"/>
    <w:rsid w:val="00470BEA"/>
    <w:rsid w:val="00471060"/>
    <w:rsid w:val="004716AC"/>
    <w:rsid w:val="00471CB0"/>
    <w:rsid w:val="00471E07"/>
    <w:rsid w:val="004724A6"/>
    <w:rsid w:val="00473B26"/>
    <w:rsid w:val="004757A4"/>
    <w:rsid w:val="004763AF"/>
    <w:rsid w:val="0047647A"/>
    <w:rsid w:val="00476665"/>
    <w:rsid w:val="00481238"/>
    <w:rsid w:val="0048196D"/>
    <w:rsid w:val="00481B20"/>
    <w:rsid w:val="00481DBF"/>
    <w:rsid w:val="00483BF3"/>
    <w:rsid w:val="00483E1A"/>
    <w:rsid w:val="00483FB7"/>
    <w:rsid w:val="00484295"/>
    <w:rsid w:val="00485114"/>
    <w:rsid w:val="004860C0"/>
    <w:rsid w:val="00487074"/>
    <w:rsid w:val="0049072A"/>
    <w:rsid w:val="00490FCE"/>
    <w:rsid w:val="00490FF7"/>
    <w:rsid w:val="004930F6"/>
    <w:rsid w:val="00493B5E"/>
    <w:rsid w:val="0049416F"/>
    <w:rsid w:val="004948C9"/>
    <w:rsid w:val="00495092"/>
    <w:rsid w:val="00495404"/>
    <w:rsid w:val="00495783"/>
    <w:rsid w:val="00495D42"/>
    <w:rsid w:val="00495DC3"/>
    <w:rsid w:val="004966AB"/>
    <w:rsid w:val="00496764"/>
    <w:rsid w:val="0049680A"/>
    <w:rsid w:val="00497931"/>
    <w:rsid w:val="004A14BC"/>
    <w:rsid w:val="004A340D"/>
    <w:rsid w:val="004A3661"/>
    <w:rsid w:val="004A3762"/>
    <w:rsid w:val="004A3D93"/>
    <w:rsid w:val="004A3EFD"/>
    <w:rsid w:val="004A3F27"/>
    <w:rsid w:val="004A4F60"/>
    <w:rsid w:val="004A588D"/>
    <w:rsid w:val="004A5F19"/>
    <w:rsid w:val="004A7E39"/>
    <w:rsid w:val="004B076B"/>
    <w:rsid w:val="004B14CC"/>
    <w:rsid w:val="004B1880"/>
    <w:rsid w:val="004B28DE"/>
    <w:rsid w:val="004B369C"/>
    <w:rsid w:val="004B3B7B"/>
    <w:rsid w:val="004B5251"/>
    <w:rsid w:val="004B5F80"/>
    <w:rsid w:val="004B6228"/>
    <w:rsid w:val="004C0173"/>
    <w:rsid w:val="004C0DDA"/>
    <w:rsid w:val="004C1BBB"/>
    <w:rsid w:val="004C3CF1"/>
    <w:rsid w:val="004C4C8F"/>
    <w:rsid w:val="004C53EC"/>
    <w:rsid w:val="004C565B"/>
    <w:rsid w:val="004C5754"/>
    <w:rsid w:val="004D0574"/>
    <w:rsid w:val="004D0C7C"/>
    <w:rsid w:val="004D118B"/>
    <w:rsid w:val="004D4779"/>
    <w:rsid w:val="004D5068"/>
    <w:rsid w:val="004D5F06"/>
    <w:rsid w:val="004D6A72"/>
    <w:rsid w:val="004E0304"/>
    <w:rsid w:val="004E1174"/>
    <w:rsid w:val="004E242F"/>
    <w:rsid w:val="004E29C6"/>
    <w:rsid w:val="004E2E6A"/>
    <w:rsid w:val="004E376B"/>
    <w:rsid w:val="004E3E8F"/>
    <w:rsid w:val="004E4095"/>
    <w:rsid w:val="004E42EA"/>
    <w:rsid w:val="004E5B03"/>
    <w:rsid w:val="004E5E6C"/>
    <w:rsid w:val="004E606F"/>
    <w:rsid w:val="004E6683"/>
    <w:rsid w:val="004F0453"/>
    <w:rsid w:val="004F2B06"/>
    <w:rsid w:val="004F32DD"/>
    <w:rsid w:val="004F4A16"/>
    <w:rsid w:val="004F4FD1"/>
    <w:rsid w:val="004F5E43"/>
    <w:rsid w:val="004F5E6C"/>
    <w:rsid w:val="004F6DD1"/>
    <w:rsid w:val="004F7BA3"/>
    <w:rsid w:val="004FCCB7"/>
    <w:rsid w:val="00500698"/>
    <w:rsid w:val="00500C9D"/>
    <w:rsid w:val="00500E8E"/>
    <w:rsid w:val="00501886"/>
    <w:rsid w:val="0050239D"/>
    <w:rsid w:val="00502A40"/>
    <w:rsid w:val="00503647"/>
    <w:rsid w:val="00503691"/>
    <w:rsid w:val="00503C39"/>
    <w:rsid w:val="00506483"/>
    <w:rsid w:val="00506528"/>
    <w:rsid w:val="00506A0F"/>
    <w:rsid w:val="00507986"/>
    <w:rsid w:val="005100D9"/>
    <w:rsid w:val="00510AC6"/>
    <w:rsid w:val="005116B1"/>
    <w:rsid w:val="0051359F"/>
    <w:rsid w:val="00513D10"/>
    <w:rsid w:val="00515391"/>
    <w:rsid w:val="005159FB"/>
    <w:rsid w:val="00517351"/>
    <w:rsid w:val="0052040A"/>
    <w:rsid w:val="00520444"/>
    <w:rsid w:val="00520463"/>
    <w:rsid w:val="005216AE"/>
    <w:rsid w:val="00522150"/>
    <w:rsid w:val="00522973"/>
    <w:rsid w:val="005234C6"/>
    <w:rsid w:val="005238F6"/>
    <w:rsid w:val="00523B42"/>
    <w:rsid w:val="0052463E"/>
    <w:rsid w:val="005250E6"/>
    <w:rsid w:val="00525511"/>
    <w:rsid w:val="00526B28"/>
    <w:rsid w:val="00526CFF"/>
    <w:rsid w:val="00527387"/>
    <w:rsid w:val="00527A7D"/>
    <w:rsid w:val="00530879"/>
    <w:rsid w:val="005327A0"/>
    <w:rsid w:val="00532D38"/>
    <w:rsid w:val="00532E30"/>
    <w:rsid w:val="00533651"/>
    <w:rsid w:val="00533D7B"/>
    <w:rsid w:val="0053420F"/>
    <w:rsid w:val="005342AB"/>
    <w:rsid w:val="00535433"/>
    <w:rsid w:val="00535E57"/>
    <w:rsid w:val="005361AA"/>
    <w:rsid w:val="005367E9"/>
    <w:rsid w:val="005409C5"/>
    <w:rsid w:val="00540A7C"/>
    <w:rsid w:val="00541C32"/>
    <w:rsid w:val="005423C4"/>
    <w:rsid w:val="00544292"/>
    <w:rsid w:val="005448AD"/>
    <w:rsid w:val="00544C7D"/>
    <w:rsid w:val="005456EC"/>
    <w:rsid w:val="00547154"/>
    <w:rsid w:val="0055008C"/>
    <w:rsid w:val="00550636"/>
    <w:rsid w:val="00550917"/>
    <w:rsid w:val="005518D0"/>
    <w:rsid w:val="00552394"/>
    <w:rsid w:val="00554795"/>
    <w:rsid w:val="00556DEA"/>
    <w:rsid w:val="00560465"/>
    <w:rsid w:val="0056070C"/>
    <w:rsid w:val="00560972"/>
    <w:rsid w:val="00561512"/>
    <w:rsid w:val="00561631"/>
    <w:rsid w:val="00561818"/>
    <w:rsid w:val="00562485"/>
    <w:rsid w:val="0056345A"/>
    <w:rsid w:val="00563F7B"/>
    <w:rsid w:val="005640A6"/>
    <w:rsid w:val="00564A9A"/>
    <w:rsid w:val="00564BFD"/>
    <w:rsid w:val="00564CF2"/>
    <w:rsid w:val="00564EEA"/>
    <w:rsid w:val="00565210"/>
    <w:rsid w:val="00565F45"/>
    <w:rsid w:val="0056664A"/>
    <w:rsid w:val="005669A8"/>
    <w:rsid w:val="00567FBA"/>
    <w:rsid w:val="00570F8E"/>
    <w:rsid w:val="005719FD"/>
    <w:rsid w:val="00571B06"/>
    <w:rsid w:val="00571C41"/>
    <w:rsid w:val="00572118"/>
    <w:rsid w:val="005730B4"/>
    <w:rsid w:val="00573359"/>
    <w:rsid w:val="00574982"/>
    <w:rsid w:val="00574A89"/>
    <w:rsid w:val="00575FFA"/>
    <w:rsid w:val="0057696B"/>
    <w:rsid w:val="00576F30"/>
    <w:rsid w:val="00582997"/>
    <w:rsid w:val="00586AD9"/>
    <w:rsid w:val="00586CE4"/>
    <w:rsid w:val="00586D82"/>
    <w:rsid w:val="005875FD"/>
    <w:rsid w:val="005879B8"/>
    <w:rsid w:val="005902E1"/>
    <w:rsid w:val="00591130"/>
    <w:rsid w:val="00593113"/>
    <w:rsid w:val="00593648"/>
    <w:rsid w:val="00594141"/>
    <w:rsid w:val="005946AA"/>
    <w:rsid w:val="00594AC6"/>
    <w:rsid w:val="00594F99"/>
    <w:rsid w:val="00595A77"/>
    <w:rsid w:val="0059679F"/>
    <w:rsid w:val="00596F19"/>
    <w:rsid w:val="005970B5"/>
    <w:rsid w:val="005978D0"/>
    <w:rsid w:val="005A0026"/>
    <w:rsid w:val="005A0054"/>
    <w:rsid w:val="005A0B86"/>
    <w:rsid w:val="005A2FC0"/>
    <w:rsid w:val="005A361B"/>
    <w:rsid w:val="005A3880"/>
    <w:rsid w:val="005A3AD5"/>
    <w:rsid w:val="005A3B9F"/>
    <w:rsid w:val="005A66F6"/>
    <w:rsid w:val="005A7A14"/>
    <w:rsid w:val="005A7A37"/>
    <w:rsid w:val="005B0CF7"/>
    <w:rsid w:val="005B1C29"/>
    <w:rsid w:val="005B341F"/>
    <w:rsid w:val="005B3CA5"/>
    <w:rsid w:val="005B44D6"/>
    <w:rsid w:val="005B553F"/>
    <w:rsid w:val="005B5651"/>
    <w:rsid w:val="005B613F"/>
    <w:rsid w:val="005B63C0"/>
    <w:rsid w:val="005B786F"/>
    <w:rsid w:val="005C0E7F"/>
    <w:rsid w:val="005C16DE"/>
    <w:rsid w:val="005C1979"/>
    <w:rsid w:val="005C472F"/>
    <w:rsid w:val="005C4BA6"/>
    <w:rsid w:val="005C6FFE"/>
    <w:rsid w:val="005D0BD1"/>
    <w:rsid w:val="005D2157"/>
    <w:rsid w:val="005D226F"/>
    <w:rsid w:val="005D27B8"/>
    <w:rsid w:val="005D28EF"/>
    <w:rsid w:val="005D2E03"/>
    <w:rsid w:val="005D33B6"/>
    <w:rsid w:val="005D344E"/>
    <w:rsid w:val="005D3BE1"/>
    <w:rsid w:val="005D3E03"/>
    <w:rsid w:val="005D4544"/>
    <w:rsid w:val="005D459F"/>
    <w:rsid w:val="005D4F09"/>
    <w:rsid w:val="005D5178"/>
    <w:rsid w:val="005D6EA8"/>
    <w:rsid w:val="005D6F05"/>
    <w:rsid w:val="005D7101"/>
    <w:rsid w:val="005E10E3"/>
    <w:rsid w:val="005E18E0"/>
    <w:rsid w:val="005E3FC7"/>
    <w:rsid w:val="005E51E1"/>
    <w:rsid w:val="005E5B2A"/>
    <w:rsid w:val="005E7C48"/>
    <w:rsid w:val="005F1357"/>
    <w:rsid w:val="005F2C0E"/>
    <w:rsid w:val="005F32E7"/>
    <w:rsid w:val="005F54D7"/>
    <w:rsid w:val="005F698B"/>
    <w:rsid w:val="005F74CC"/>
    <w:rsid w:val="00600956"/>
    <w:rsid w:val="006011E1"/>
    <w:rsid w:val="00601A78"/>
    <w:rsid w:val="00601EAC"/>
    <w:rsid w:val="00602401"/>
    <w:rsid w:val="006027D3"/>
    <w:rsid w:val="00603119"/>
    <w:rsid w:val="00603358"/>
    <w:rsid w:val="00604158"/>
    <w:rsid w:val="00604377"/>
    <w:rsid w:val="00604B5F"/>
    <w:rsid w:val="0060523D"/>
    <w:rsid w:val="0060666C"/>
    <w:rsid w:val="00606C5F"/>
    <w:rsid w:val="00607109"/>
    <w:rsid w:val="00610155"/>
    <w:rsid w:val="0061103F"/>
    <w:rsid w:val="00612353"/>
    <w:rsid w:val="00612F14"/>
    <w:rsid w:val="00613263"/>
    <w:rsid w:val="00614CE6"/>
    <w:rsid w:val="00614EEC"/>
    <w:rsid w:val="00615816"/>
    <w:rsid w:val="00615B28"/>
    <w:rsid w:val="00615CA5"/>
    <w:rsid w:val="00615D43"/>
    <w:rsid w:val="00616BCC"/>
    <w:rsid w:val="00616E00"/>
    <w:rsid w:val="0061727F"/>
    <w:rsid w:val="0061761A"/>
    <w:rsid w:val="00621A4F"/>
    <w:rsid w:val="00622448"/>
    <w:rsid w:val="006225BA"/>
    <w:rsid w:val="00623DFF"/>
    <w:rsid w:val="006241A8"/>
    <w:rsid w:val="00624299"/>
    <w:rsid w:val="006243EB"/>
    <w:rsid w:val="00625536"/>
    <w:rsid w:val="00625AC1"/>
    <w:rsid w:val="00626090"/>
    <w:rsid w:val="00626581"/>
    <w:rsid w:val="00626698"/>
    <w:rsid w:val="006267F8"/>
    <w:rsid w:val="00630966"/>
    <w:rsid w:val="00630EC4"/>
    <w:rsid w:val="00630EC8"/>
    <w:rsid w:val="00630EC9"/>
    <w:rsid w:val="00631B4C"/>
    <w:rsid w:val="006322E9"/>
    <w:rsid w:val="00632318"/>
    <w:rsid w:val="00632522"/>
    <w:rsid w:val="006328B1"/>
    <w:rsid w:val="00632CB9"/>
    <w:rsid w:val="00633CA2"/>
    <w:rsid w:val="00635BAE"/>
    <w:rsid w:val="006369B4"/>
    <w:rsid w:val="006369C6"/>
    <w:rsid w:val="00641D5A"/>
    <w:rsid w:val="00642777"/>
    <w:rsid w:val="006434B7"/>
    <w:rsid w:val="00643B89"/>
    <w:rsid w:val="00643DD2"/>
    <w:rsid w:val="00645936"/>
    <w:rsid w:val="00645DD2"/>
    <w:rsid w:val="00646433"/>
    <w:rsid w:val="00646B92"/>
    <w:rsid w:val="00647402"/>
    <w:rsid w:val="00650282"/>
    <w:rsid w:val="006506B6"/>
    <w:rsid w:val="00650A11"/>
    <w:rsid w:val="00650A1C"/>
    <w:rsid w:val="006511BB"/>
    <w:rsid w:val="00652B44"/>
    <w:rsid w:val="006531EF"/>
    <w:rsid w:val="00653BCC"/>
    <w:rsid w:val="00654C83"/>
    <w:rsid w:val="00655118"/>
    <w:rsid w:val="00655C0E"/>
    <w:rsid w:val="00655DA6"/>
    <w:rsid w:val="00656305"/>
    <w:rsid w:val="00656BD1"/>
    <w:rsid w:val="0066034A"/>
    <w:rsid w:val="00660417"/>
    <w:rsid w:val="00661461"/>
    <w:rsid w:val="00661CD0"/>
    <w:rsid w:val="00662261"/>
    <w:rsid w:val="006631B8"/>
    <w:rsid w:val="00664B92"/>
    <w:rsid w:val="006656EB"/>
    <w:rsid w:val="006656EC"/>
    <w:rsid w:val="006662EE"/>
    <w:rsid w:val="00667977"/>
    <w:rsid w:val="006725A4"/>
    <w:rsid w:val="0067361A"/>
    <w:rsid w:val="0067374A"/>
    <w:rsid w:val="00674043"/>
    <w:rsid w:val="00674864"/>
    <w:rsid w:val="00674F3D"/>
    <w:rsid w:val="00676778"/>
    <w:rsid w:val="0067720E"/>
    <w:rsid w:val="00677C65"/>
    <w:rsid w:val="0068041F"/>
    <w:rsid w:val="0068051F"/>
    <w:rsid w:val="006812CF"/>
    <w:rsid w:val="00681FD4"/>
    <w:rsid w:val="006820E6"/>
    <w:rsid w:val="006824EE"/>
    <w:rsid w:val="00682BBC"/>
    <w:rsid w:val="00684490"/>
    <w:rsid w:val="00685AA3"/>
    <w:rsid w:val="00685CB3"/>
    <w:rsid w:val="00686036"/>
    <w:rsid w:val="00686115"/>
    <w:rsid w:val="00686130"/>
    <w:rsid w:val="006867B7"/>
    <w:rsid w:val="00686B29"/>
    <w:rsid w:val="00686F5E"/>
    <w:rsid w:val="00687DB9"/>
    <w:rsid w:val="006914EF"/>
    <w:rsid w:val="00691E48"/>
    <w:rsid w:val="00692228"/>
    <w:rsid w:val="00692DE8"/>
    <w:rsid w:val="00693713"/>
    <w:rsid w:val="0069403E"/>
    <w:rsid w:val="006945C8"/>
    <w:rsid w:val="006A0557"/>
    <w:rsid w:val="006A0782"/>
    <w:rsid w:val="006A0A19"/>
    <w:rsid w:val="006A1B09"/>
    <w:rsid w:val="006A2A2C"/>
    <w:rsid w:val="006A2D92"/>
    <w:rsid w:val="006A392A"/>
    <w:rsid w:val="006A3BE9"/>
    <w:rsid w:val="006A56C1"/>
    <w:rsid w:val="006A5A2E"/>
    <w:rsid w:val="006A5CAF"/>
    <w:rsid w:val="006A6011"/>
    <w:rsid w:val="006A7C98"/>
    <w:rsid w:val="006B04D1"/>
    <w:rsid w:val="006B0B8B"/>
    <w:rsid w:val="006B198E"/>
    <w:rsid w:val="006B3C41"/>
    <w:rsid w:val="006B4257"/>
    <w:rsid w:val="006B43E9"/>
    <w:rsid w:val="006B4E05"/>
    <w:rsid w:val="006B70AF"/>
    <w:rsid w:val="006B71AA"/>
    <w:rsid w:val="006B755F"/>
    <w:rsid w:val="006C0521"/>
    <w:rsid w:val="006C1705"/>
    <w:rsid w:val="006C17EA"/>
    <w:rsid w:val="006C2FE3"/>
    <w:rsid w:val="006C53CE"/>
    <w:rsid w:val="006C5CE3"/>
    <w:rsid w:val="006C6483"/>
    <w:rsid w:val="006C6B4B"/>
    <w:rsid w:val="006C7426"/>
    <w:rsid w:val="006C7512"/>
    <w:rsid w:val="006C7E25"/>
    <w:rsid w:val="006C7E98"/>
    <w:rsid w:val="006D1474"/>
    <w:rsid w:val="006D1F7D"/>
    <w:rsid w:val="006D29CD"/>
    <w:rsid w:val="006D2BE3"/>
    <w:rsid w:val="006D2BEB"/>
    <w:rsid w:val="006D2BF3"/>
    <w:rsid w:val="006D2E8C"/>
    <w:rsid w:val="006D37CF"/>
    <w:rsid w:val="006D3C16"/>
    <w:rsid w:val="006D3DCE"/>
    <w:rsid w:val="006D54D7"/>
    <w:rsid w:val="006D60DE"/>
    <w:rsid w:val="006D618B"/>
    <w:rsid w:val="006D67C0"/>
    <w:rsid w:val="006D73A3"/>
    <w:rsid w:val="006DC371"/>
    <w:rsid w:val="006E065A"/>
    <w:rsid w:val="006E11EC"/>
    <w:rsid w:val="006E17B6"/>
    <w:rsid w:val="006E1BDC"/>
    <w:rsid w:val="006E1FC1"/>
    <w:rsid w:val="006E5785"/>
    <w:rsid w:val="006E62A3"/>
    <w:rsid w:val="006E6B3B"/>
    <w:rsid w:val="006E7242"/>
    <w:rsid w:val="006F08D9"/>
    <w:rsid w:val="006F0945"/>
    <w:rsid w:val="006F1665"/>
    <w:rsid w:val="006F19ED"/>
    <w:rsid w:val="006F240B"/>
    <w:rsid w:val="006F30F0"/>
    <w:rsid w:val="006F3BB8"/>
    <w:rsid w:val="006F3C2D"/>
    <w:rsid w:val="006F3EB3"/>
    <w:rsid w:val="006F75CD"/>
    <w:rsid w:val="0070149F"/>
    <w:rsid w:val="007014A4"/>
    <w:rsid w:val="00701B1E"/>
    <w:rsid w:val="007029BE"/>
    <w:rsid w:val="00703D2D"/>
    <w:rsid w:val="007045F6"/>
    <w:rsid w:val="00705F69"/>
    <w:rsid w:val="00706554"/>
    <w:rsid w:val="00706D84"/>
    <w:rsid w:val="00706FE9"/>
    <w:rsid w:val="00707D86"/>
    <w:rsid w:val="00710954"/>
    <w:rsid w:val="00710BF9"/>
    <w:rsid w:val="0071191B"/>
    <w:rsid w:val="00712914"/>
    <w:rsid w:val="00712BAB"/>
    <w:rsid w:val="00713158"/>
    <w:rsid w:val="0071360C"/>
    <w:rsid w:val="0071367B"/>
    <w:rsid w:val="007139B6"/>
    <w:rsid w:val="0071468E"/>
    <w:rsid w:val="007148AA"/>
    <w:rsid w:val="007149DF"/>
    <w:rsid w:val="007150AF"/>
    <w:rsid w:val="00715D70"/>
    <w:rsid w:val="00715DAB"/>
    <w:rsid w:val="0071686F"/>
    <w:rsid w:val="00716A12"/>
    <w:rsid w:val="00716D5C"/>
    <w:rsid w:val="00716E66"/>
    <w:rsid w:val="00717760"/>
    <w:rsid w:val="00717800"/>
    <w:rsid w:val="007208D9"/>
    <w:rsid w:val="00720AF5"/>
    <w:rsid w:val="00720C9D"/>
    <w:rsid w:val="00720FFE"/>
    <w:rsid w:val="00722583"/>
    <w:rsid w:val="00724C0F"/>
    <w:rsid w:val="00725156"/>
    <w:rsid w:val="007251EA"/>
    <w:rsid w:val="0072546B"/>
    <w:rsid w:val="0072549A"/>
    <w:rsid w:val="00726276"/>
    <w:rsid w:val="0073058F"/>
    <w:rsid w:val="00730EF4"/>
    <w:rsid w:val="00731341"/>
    <w:rsid w:val="00731D4F"/>
    <w:rsid w:val="00731DC8"/>
    <w:rsid w:val="00732185"/>
    <w:rsid w:val="0073258B"/>
    <w:rsid w:val="00732BA8"/>
    <w:rsid w:val="0073350E"/>
    <w:rsid w:val="007338D3"/>
    <w:rsid w:val="00733F8C"/>
    <w:rsid w:val="00734E99"/>
    <w:rsid w:val="00734FC9"/>
    <w:rsid w:val="007359A7"/>
    <w:rsid w:val="00736976"/>
    <w:rsid w:val="00736A54"/>
    <w:rsid w:val="00736C1E"/>
    <w:rsid w:val="0073730B"/>
    <w:rsid w:val="007401C4"/>
    <w:rsid w:val="00740228"/>
    <w:rsid w:val="007405AF"/>
    <w:rsid w:val="0074092D"/>
    <w:rsid w:val="0074128D"/>
    <w:rsid w:val="00744ECC"/>
    <w:rsid w:val="0074609B"/>
    <w:rsid w:val="0074674B"/>
    <w:rsid w:val="0074677C"/>
    <w:rsid w:val="00746E21"/>
    <w:rsid w:val="0074740B"/>
    <w:rsid w:val="00747E73"/>
    <w:rsid w:val="00750D09"/>
    <w:rsid w:val="00751046"/>
    <w:rsid w:val="00751064"/>
    <w:rsid w:val="00752294"/>
    <w:rsid w:val="007528E6"/>
    <w:rsid w:val="00752FD1"/>
    <w:rsid w:val="0075393B"/>
    <w:rsid w:val="00753F86"/>
    <w:rsid w:val="00754300"/>
    <w:rsid w:val="0075471A"/>
    <w:rsid w:val="0075515E"/>
    <w:rsid w:val="00755EDE"/>
    <w:rsid w:val="007575A4"/>
    <w:rsid w:val="00757658"/>
    <w:rsid w:val="0075771C"/>
    <w:rsid w:val="00757F88"/>
    <w:rsid w:val="007608D7"/>
    <w:rsid w:val="00761231"/>
    <w:rsid w:val="00762BE4"/>
    <w:rsid w:val="00763D76"/>
    <w:rsid w:val="00764034"/>
    <w:rsid w:val="0076423F"/>
    <w:rsid w:val="00764FAA"/>
    <w:rsid w:val="00765374"/>
    <w:rsid w:val="007658AF"/>
    <w:rsid w:val="00766464"/>
    <w:rsid w:val="00767A04"/>
    <w:rsid w:val="007716CB"/>
    <w:rsid w:val="007725E8"/>
    <w:rsid w:val="007728ED"/>
    <w:rsid w:val="007733A9"/>
    <w:rsid w:val="007736CB"/>
    <w:rsid w:val="00773719"/>
    <w:rsid w:val="00773B58"/>
    <w:rsid w:val="00774343"/>
    <w:rsid w:val="007754E1"/>
    <w:rsid w:val="00776D08"/>
    <w:rsid w:val="00777487"/>
    <w:rsid w:val="007777A1"/>
    <w:rsid w:val="00777913"/>
    <w:rsid w:val="00777925"/>
    <w:rsid w:val="00777AD2"/>
    <w:rsid w:val="00777DD7"/>
    <w:rsid w:val="0078003D"/>
    <w:rsid w:val="00780591"/>
    <w:rsid w:val="0078273E"/>
    <w:rsid w:val="00782DCD"/>
    <w:rsid w:val="00782F88"/>
    <w:rsid w:val="007834EB"/>
    <w:rsid w:val="0078471D"/>
    <w:rsid w:val="00784EC0"/>
    <w:rsid w:val="007863CB"/>
    <w:rsid w:val="0078730F"/>
    <w:rsid w:val="0078760F"/>
    <w:rsid w:val="007913FD"/>
    <w:rsid w:val="0079221B"/>
    <w:rsid w:val="007925C2"/>
    <w:rsid w:val="007935BD"/>
    <w:rsid w:val="007941A5"/>
    <w:rsid w:val="00794678"/>
    <w:rsid w:val="00794F6B"/>
    <w:rsid w:val="00796A50"/>
    <w:rsid w:val="0079727C"/>
    <w:rsid w:val="0079747A"/>
    <w:rsid w:val="007974C5"/>
    <w:rsid w:val="007A01E1"/>
    <w:rsid w:val="007A49C2"/>
    <w:rsid w:val="007A4BDD"/>
    <w:rsid w:val="007A6620"/>
    <w:rsid w:val="007A6BF0"/>
    <w:rsid w:val="007A6E69"/>
    <w:rsid w:val="007A7822"/>
    <w:rsid w:val="007A7C11"/>
    <w:rsid w:val="007B05B3"/>
    <w:rsid w:val="007B11EE"/>
    <w:rsid w:val="007B14CE"/>
    <w:rsid w:val="007B1C6F"/>
    <w:rsid w:val="007B33D7"/>
    <w:rsid w:val="007B35F4"/>
    <w:rsid w:val="007B5893"/>
    <w:rsid w:val="007B6C67"/>
    <w:rsid w:val="007C08F8"/>
    <w:rsid w:val="007C1837"/>
    <w:rsid w:val="007C2377"/>
    <w:rsid w:val="007C293A"/>
    <w:rsid w:val="007C30D1"/>
    <w:rsid w:val="007C3A86"/>
    <w:rsid w:val="007C4005"/>
    <w:rsid w:val="007C41E8"/>
    <w:rsid w:val="007C6657"/>
    <w:rsid w:val="007D0CC0"/>
    <w:rsid w:val="007D2A3C"/>
    <w:rsid w:val="007D436D"/>
    <w:rsid w:val="007D4B63"/>
    <w:rsid w:val="007D537B"/>
    <w:rsid w:val="007D692D"/>
    <w:rsid w:val="007D6F3F"/>
    <w:rsid w:val="007D7220"/>
    <w:rsid w:val="007D7B6E"/>
    <w:rsid w:val="007E1522"/>
    <w:rsid w:val="007E190E"/>
    <w:rsid w:val="007E1D58"/>
    <w:rsid w:val="007E2429"/>
    <w:rsid w:val="007E6CF8"/>
    <w:rsid w:val="007E6ECC"/>
    <w:rsid w:val="007F0157"/>
    <w:rsid w:val="007F0ABE"/>
    <w:rsid w:val="007F0ED9"/>
    <w:rsid w:val="007F157F"/>
    <w:rsid w:val="007F21C3"/>
    <w:rsid w:val="007F241C"/>
    <w:rsid w:val="007F256D"/>
    <w:rsid w:val="007F25A7"/>
    <w:rsid w:val="007F2645"/>
    <w:rsid w:val="007F3EF7"/>
    <w:rsid w:val="007F4668"/>
    <w:rsid w:val="007F4B15"/>
    <w:rsid w:val="007F571B"/>
    <w:rsid w:val="007F5A53"/>
    <w:rsid w:val="007F64C7"/>
    <w:rsid w:val="007F693D"/>
    <w:rsid w:val="007F750F"/>
    <w:rsid w:val="008031EC"/>
    <w:rsid w:val="008034D8"/>
    <w:rsid w:val="008039F0"/>
    <w:rsid w:val="00803DAC"/>
    <w:rsid w:val="008054F0"/>
    <w:rsid w:val="00805BD3"/>
    <w:rsid w:val="0080671A"/>
    <w:rsid w:val="00806BFA"/>
    <w:rsid w:val="00807DB6"/>
    <w:rsid w:val="00811D36"/>
    <w:rsid w:val="00813D31"/>
    <w:rsid w:val="00815425"/>
    <w:rsid w:val="008155E3"/>
    <w:rsid w:val="008173C8"/>
    <w:rsid w:val="008174FC"/>
    <w:rsid w:val="00817638"/>
    <w:rsid w:val="00821A90"/>
    <w:rsid w:val="0082272D"/>
    <w:rsid w:val="008228A5"/>
    <w:rsid w:val="00822B3C"/>
    <w:rsid w:val="0082301D"/>
    <w:rsid w:val="00823BC7"/>
    <w:rsid w:val="00824E9A"/>
    <w:rsid w:val="0082560E"/>
    <w:rsid w:val="008264DB"/>
    <w:rsid w:val="00826F71"/>
    <w:rsid w:val="008308DD"/>
    <w:rsid w:val="00830ED9"/>
    <w:rsid w:val="008315AC"/>
    <w:rsid w:val="00831BE1"/>
    <w:rsid w:val="00831CA0"/>
    <w:rsid w:val="0083222A"/>
    <w:rsid w:val="008322D0"/>
    <w:rsid w:val="008336D4"/>
    <w:rsid w:val="00834367"/>
    <w:rsid w:val="00834AB9"/>
    <w:rsid w:val="00835811"/>
    <w:rsid w:val="008360D4"/>
    <w:rsid w:val="008365E1"/>
    <w:rsid w:val="008369A3"/>
    <w:rsid w:val="00837300"/>
    <w:rsid w:val="00837749"/>
    <w:rsid w:val="00837F65"/>
    <w:rsid w:val="008410B6"/>
    <w:rsid w:val="00841B56"/>
    <w:rsid w:val="00842A20"/>
    <w:rsid w:val="008448C2"/>
    <w:rsid w:val="00845B33"/>
    <w:rsid w:val="00847375"/>
    <w:rsid w:val="008478CE"/>
    <w:rsid w:val="00847C2B"/>
    <w:rsid w:val="00847E7D"/>
    <w:rsid w:val="00847F14"/>
    <w:rsid w:val="00850B48"/>
    <w:rsid w:val="00850CF7"/>
    <w:rsid w:val="00852D06"/>
    <w:rsid w:val="0085459F"/>
    <w:rsid w:val="008547DC"/>
    <w:rsid w:val="00854B58"/>
    <w:rsid w:val="008551F6"/>
    <w:rsid w:val="0085583B"/>
    <w:rsid w:val="00855CE6"/>
    <w:rsid w:val="00856AC4"/>
    <w:rsid w:val="00857E85"/>
    <w:rsid w:val="00857FC1"/>
    <w:rsid w:val="00860E75"/>
    <w:rsid w:val="0086103A"/>
    <w:rsid w:val="00861078"/>
    <w:rsid w:val="008617EA"/>
    <w:rsid w:val="00861F5B"/>
    <w:rsid w:val="0086208D"/>
    <w:rsid w:val="008626CE"/>
    <w:rsid w:val="008629E3"/>
    <w:rsid w:val="00862CB0"/>
    <w:rsid w:val="00862F1D"/>
    <w:rsid w:val="00864321"/>
    <w:rsid w:val="008644E5"/>
    <w:rsid w:val="00864707"/>
    <w:rsid w:val="00864C4A"/>
    <w:rsid w:val="00865740"/>
    <w:rsid w:val="00865DC8"/>
    <w:rsid w:val="008661B9"/>
    <w:rsid w:val="00866A79"/>
    <w:rsid w:val="00870D58"/>
    <w:rsid w:val="008712A0"/>
    <w:rsid w:val="0087176C"/>
    <w:rsid w:val="008717D4"/>
    <w:rsid w:val="0087186B"/>
    <w:rsid w:val="00872621"/>
    <w:rsid w:val="008727AA"/>
    <w:rsid w:val="008729DD"/>
    <w:rsid w:val="00873250"/>
    <w:rsid w:val="00873825"/>
    <w:rsid w:val="008739EF"/>
    <w:rsid w:val="00873ADE"/>
    <w:rsid w:val="00876F9A"/>
    <w:rsid w:val="008774CD"/>
    <w:rsid w:val="00877C17"/>
    <w:rsid w:val="00882B62"/>
    <w:rsid w:val="0088306F"/>
    <w:rsid w:val="008839E5"/>
    <w:rsid w:val="00883C78"/>
    <w:rsid w:val="0088534D"/>
    <w:rsid w:val="00885AF8"/>
    <w:rsid w:val="008860CF"/>
    <w:rsid w:val="00886C3E"/>
    <w:rsid w:val="0088761A"/>
    <w:rsid w:val="00887BA7"/>
    <w:rsid w:val="00890A9E"/>
    <w:rsid w:val="00892576"/>
    <w:rsid w:val="00893D3C"/>
    <w:rsid w:val="008945FD"/>
    <w:rsid w:val="00894601"/>
    <w:rsid w:val="00894CD3"/>
    <w:rsid w:val="00895D49"/>
    <w:rsid w:val="0089699B"/>
    <w:rsid w:val="00896AAD"/>
    <w:rsid w:val="008973FE"/>
    <w:rsid w:val="008A32F4"/>
    <w:rsid w:val="008A3AF3"/>
    <w:rsid w:val="008A4654"/>
    <w:rsid w:val="008A5166"/>
    <w:rsid w:val="008A6007"/>
    <w:rsid w:val="008A6491"/>
    <w:rsid w:val="008A6708"/>
    <w:rsid w:val="008A6C68"/>
    <w:rsid w:val="008A70C3"/>
    <w:rsid w:val="008A7CF1"/>
    <w:rsid w:val="008B0674"/>
    <w:rsid w:val="008B0B60"/>
    <w:rsid w:val="008B0CFF"/>
    <w:rsid w:val="008B20C2"/>
    <w:rsid w:val="008B25B9"/>
    <w:rsid w:val="008B2611"/>
    <w:rsid w:val="008B333C"/>
    <w:rsid w:val="008B3CD2"/>
    <w:rsid w:val="008B46AF"/>
    <w:rsid w:val="008B5558"/>
    <w:rsid w:val="008B5C6E"/>
    <w:rsid w:val="008B6F19"/>
    <w:rsid w:val="008B75E1"/>
    <w:rsid w:val="008C011F"/>
    <w:rsid w:val="008C0613"/>
    <w:rsid w:val="008C0805"/>
    <w:rsid w:val="008C096C"/>
    <w:rsid w:val="008C0B6E"/>
    <w:rsid w:val="008C156D"/>
    <w:rsid w:val="008C1CAA"/>
    <w:rsid w:val="008C1E0F"/>
    <w:rsid w:val="008C2407"/>
    <w:rsid w:val="008C26F4"/>
    <w:rsid w:val="008C3539"/>
    <w:rsid w:val="008C3E80"/>
    <w:rsid w:val="008C4888"/>
    <w:rsid w:val="008C621A"/>
    <w:rsid w:val="008C624A"/>
    <w:rsid w:val="008C6C40"/>
    <w:rsid w:val="008D067D"/>
    <w:rsid w:val="008D17F6"/>
    <w:rsid w:val="008D1DB1"/>
    <w:rsid w:val="008D1DF0"/>
    <w:rsid w:val="008D241D"/>
    <w:rsid w:val="008D35DA"/>
    <w:rsid w:val="008D383D"/>
    <w:rsid w:val="008D3892"/>
    <w:rsid w:val="008D399D"/>
    <w:rsid w:val="008D39AA"/>
    <w:rsid w:val="008D3B16"/>
    <w:rsid w:val="008D4E5D"/>
    <w:rsid w:val="008D5118"/>
    <w:rsid w:val="008D55F9"/>
    <w:rsid w:val="008D5BA0"/>
    <w:rsid w:val="008D5E27"/>
    <w:rsid w:val="008D5EB9"/>
    <w:rsid w:val="008D6A9C"/>
    <w:rsid w:val="008D6AA8"/>
    <w:rsid w:val="008E0D56"/>
    <w:rsid w:val="008E18E3"/>
    <w:rsid w:val="008E2B2F"/>
    <w:rsid w:val="008E2E8D"/>
    <w:rsid w:val="008E348C"/>
    <w:rsid w:val="008E4DFE"/>
    <w:rsid w:val="008E4DFF"/>
    <w:rsid w:val="008E5179"/>
    <w:rsid w:val="008E549E"/>
    <w:rsid w:val="008E54D0"/>
    <w:rsid w:val="008E5877"/>
    <w:rsid w:val="008E5E23"/>
    <w:rsid w:val="008E67C0"/>
    <w:rsid w:val="008E7EEF"/>
    <w:rsid w:val="008E7F9F"/>
    <w:rsid w:val="008F0695"/>
    <w:rsid w:val="008F09FE"/>
    <w:rsid w:val="008F1046"/>
    <w:rsid w:val="008F18B3"/>
    <w:rsid w:val="008F1E40"/>
    <w:rsid w:val="008F281A"/>
    <w:rsid w:val="008F2CE1"/>
    <w:rsid w:val="008F2DC7"/>
    <w:rsid w:val="008F45B9"/>
    <w:rsid w:val="008F4608"/>
    <w:rsid w:val="008F4692"/>
    <w:rsid w:val="008F4BED"/>
    <w:rsid w:val="008F5263"/>
    <w:rsid w:val="008F5890"/>
    <w:rsid w:val="008F5B59"/>
    <w:rsid w:val="008F5EA3"/>
    <w:rsid w:val="008F6E9D"/>
    <w:rsid w:val="008F74CB"/>
    <w:rsid w:val="008F7536"/>
    <w:rsid w:val="0090030C"/>
    <w:rsid w:val="00900C12"/>
    <w:rsid w:val="00901EDF"/>
    <w:rsid w:val="0090296B"/>
    <w:rsid w:val="00903CAE"/>
    <w:rsid w:val="00904219"/>
    <w:rsid w:val="00904B02"/>
    <w:rsid w:val="00904BBF"/>
    <w:rsid w:val="009050B9"/>
    <w:rsid w:val="00905752"/>
    <w:rsid w:val="00905B8A"/>
    <w:rsid w:val="00906288"/>
    <w:rsid w:val="00906376"/>
    <w:rsid w:val="00906E14"/>
    <w:rsid w:val="009076FD"/>
    <w:rsid w:val="00910E97"/>
    <w:rsid w:val="0091113E"/>
    <w:rsid w:val="00911250"/>
    <w:rsid w:val="009122B7"/>
    <w:rsid w:val="009128E8"/>
    <w:rsid w:val="00913FE1"/>
    <w:rsid w:val="00914F3A"/>
    <w:rsid w:val="009153B6"/>
    <w:rsid w:val="00916A25"/>
    <w:rsid w:val="009207A9"/>
    <w:rsid w:val="00920962"/>
    <w:rsid w:val="00920A27"/>
    <w:rsid w:val="009227A9"/>
    <w:rsid w:val="00922D7C"/>
    <w:rsid w:val="009264BA"/>
    <w:rsid w:val="00926D3C"/>
    <w:rsid w:val="0092726F"/>
    <w:rsid w:val="009308F0"/>
    <w:rsid w:val="00931B0D"/>
    <w:rsid w:val="0093251D"/>
    <w:rsid w:val="00932867"/>
    <w:rsid w:val="00933909"/>
    <w:rsid w:val="009357E1"/>
    <w:rsid w:val="00935ECC"/>
    <w:rsid w:val="00935F44"/>
    <w:rsid w:val="009363B3"/>
    <w:rsid w:val="00936C94"/>
    <w:rsid w:val="00937CD8"/>
    <w:rsid w:val="00937DFB"/>
    <w:rsid w:val="00941D69"/>
    <w:rsid w:val="009423B5"/>
    <w:rsid w:val="00943419"/>
    <w:rsid w:val="00944597"/>
    <w:rsid w:val="00944936"/>
    <w:rsid w:val="00944AA7"/>
    <w:rsid w:val="0094502F"/>
    <w:rsid w:val="0094662F"/>
    <w:rsid w:val="00946AD7"/>
    <w:rsid w:val="00947C30"/>
    <w:rsid w:val="00947F91"/>
    <w:rsid w:val="0095045E"/>
    <w:rsid w:val="00950571"/>
    <w:rsid w:val="0095195F"/>
    <w:rsid w:val="009520BC"/>
    <w:rsid w:val="00952D7C"/>
    <w:rsid w:val="009540D9"/>
    <w:rsid w:val="009546F6"/>
    <w:rsid w:val="00954D7F"/>
    <w:rsid w:val="0095626F"/>
    <w:rsid w:val="00956306"/>
    <w:rsid w:val="009569C9"/>
    <w:rsid w:val="00956BA1"/>
    <w:rsid w:val="00960AD4"/>
    <w:rsid w:val="00961356"/>
    <w:rsid w:val="009628AB"/>
    <w:rsid w:val="00962C9F"/>
    <w:rsid w:val="00963C80"/>
    <w:rsid w:val="00963DA9"/>
    <w:rsid w:val="009642CA"/>
    <w:rsid w:val="0096455D"/>
    <w:rsid w:val="00964F55"/>
    <w:rsid w:val="00965CBF"/>
    <w:rsid w:val="00966271"/>
    <w:rsid w:val="00966BED"/>
    <w:rsid w:val="009673A3"/>
    <w:rsid w:val="009703B6"/>
    <w:rsid w:val="009709DA"/>
    <w:rsid w:val="00971EDC"/>
    <w:rsid w:val="0097372C"/>
    <w:rsid w:val="00973788"/>
    <w:rsid w:val="00973F37"/>
    <w:rsid w:val="00973F41"/>
    <w:rsid w:val="00975A0F"/>
    <w:rsid w:val="009764AB"/>
    <w:rsid w:val="009769C6"/>
    <w:rsid w:val="00977F47"/>
    <w:rsid w:val="00980707"/>
    <w:rsid w:val="00980FD2"/>
    <w:rsid w:val="00981B7B"/>
    <w:rsid w:val="009837EF"/>
    <w:rsid w:val="00984BDC"/>
    <w:rsid w:val="009857E0"/>
    <w:rsid w:val="00986681"/>
    <w:rsid w:val="00987A1D"/>
    <w:rsid w:val="009918FB"/>
    <w:rsid w:val="00991CE2"/>
    <w:rsid w:val="009931D3"/>
    <w:rsid w:val="009945D6"/>
    <w:rsid w:val="009956E4"/>
    <w:rsid w:val="00995CA4"/>
    <w:rsid w:val="009A0497"/>
    <w:rsid w:val="009A1142"/>
    <w:rsid w:val="009A1A9A"/>
    <w:rsid w:val="009A2D21"/>
    <w:rsid w:val="009A3D03"/>
    <w:rsid w:val="009A4ADA"/>
    <w:rsid w:val="009A72C2"/>
    <w:rsid w:val="009A7C34"/>
    <w:rsid w:val="009B157C"/>
    <w:rsid w:val="009B2293"/>
    <w:rsid w:val="009B25BD"/>
    <w:rsid w:val="009B2F34"/>
    <w:rsid w:val="009B33E6"/>
    <w:rsid w:val="009B36BF"/>
    <w:rsid w:val="009B389A"/>
    <w:rsid w:val="009B41A2"/>
    <w:rsid w:val="009B5872"/>
    <w:rsid w:val="009B5A80"/>
    <w:rsid w:val="009B671B"/>
    <w:rsid w:val="009B6ACF"/>
    <w:rsid w:val="009B6B48"/>
    <w:rsid w:val="009B7123"/>
    <w:rsid w:val="009B71CD"/>
    <w:rsid w:val="009B75E4"/>
    <w:rsid w:val="009B7B65"/>
    <w:rsid w:val="009B7EC0"/>
    <w:rsid w:val="009C0229"/>
    <w:rsid w:val="009C0332"/>
    <w:rsid w:val="009C0CEB"/>
    <w:rsid w:val="009C0D73"/>
    <w:rsid w:val="009C19B3"/>
    <w:rsid w:val="009C320E"/>
    <w:rsid w:val="009C36CB"/>
    <w:rsid w:val="009C3E19"/>
    <w:rsid w:val="009C6DA0"/>
    <w:rsid w:val="009C74B5"/>
    <w:rsid w:val="009C7BD2"/>
    <w:rsid w:val="009D0E47"/>
    <w:rsid w:val="009D0F47"/>
    <w:rsid w:val="009D13C3"/>
    <w:rsid w:val="009D1F1C"/>
    <w:rsid w:val="009D27DA"/>
    <w:rsid w:val="009D2902"/>
    <w:rsid w:val="009D2FF5"/>
    <w:rsid w:val="009D3543"/>
    <w:rsid w:val="009D3AEC"/>
    <w:rsid w:val="009D44D6"/>
    <w:rsid w:val="009D53A4"/>
    <w:rsid w:val="009D64A3"/>
    <w:rsid w:val="009D7957"/>
    <w:rsid w:val="009D7CE6"/>
    <w:rsid w:val="009E008F"/>
    <w:rsid w:val="009E0870"/>
    <w:rsid w:val="009E0D56"/>
    <w:rsid w:val="009E262C"/>
    <w:rsid w:val="009E2E88"/>
    <w:rsid w:val="009E3B03"/>
    <w:rsid w:val="009E41D3"/>
    <w:rsid w:val="009E5C65"/>
    <w:rsid w:val="009E5D79"/>
    <w:rsid w:val="009E62D7"/>
    <w:rsid w:val="009E6391"/>
    <w:rsid w:val="009E6430"/>
    <w:rsid w:val="009E720C"/>
    <w:rsid w:val="009E733D"/>
    <w:rsid w:val="009E771F"/>
    <w:rsid w:val="009F1B29"/>
    <w:rsid w:val="009F1E00"/>
    <w:rsid w:val="009F48BD"/>
    <w:rsid w:val="009F4D8A"/>
    <w:rsid w:val="009F56A0"/>
    <w:rsid w:val="009F6685"/>
    <w:rsid w:val="009F6692"/>
    <w:rsid w:val="00A00F82"/>
    <w:rsid w:val="00A01176"/>
    <w:rsid w:val="00A01AE0"/>
    <w:rsid w:val="00A02AB8"/>
    <w:rsid w:val="00A03D32"/>
    <w:rsid w:val="00A03F1E"/>
    <w:rsid w:val="00A0444F"/>
    <w:rsid w:val="00A04A32"/>
    <w:rsid w:val="00A05393"/>
    <w:rsid w:val="00A05924"/>
    <w:rsid w:val="00A079BB"/>
    <w:rsid w:val="00A07BDC"/>
    <w:rsid w:val="00A10017"/>
    <w:rsid w:val="00A118BD"/>
    <w:rsid w:val="00A11CC4"/>
    <w:rsid w:val="00A12337"/>
    <w:rsid w:val="00A127AE"/>
    <w:rsid w:val="00A1378F"/>
    <w:rsid w:val="00A1386D"/>
    <w:rsid w:val="00A13C00"/>
    <w:rsid w:val="00A143E0"/>
    <w:rsid w:val="00A16B47"/>
    <w:rsid w:val="00A1730C"/>
    <w:rsid w:val="00A209C5"/>
    <w:rsid w:val="00A20E86"/>
    <w:rsid w:val="00A212FC"/>
    <w:rsid w:val="00A21C2A"/>
    <w:rsid w:val="00A21C3A"/>
    <w:rsid w:val="00A21EBB"/>
    <w:rsid w:val="00A221E8"/>
    <w:rsid w:val="00A22274"/>
    <w:rsid w:val="00A223AF"/>
    <w:rsid w:val="00A2267C"/>
    <w:rsid w:val="00A230F4"/>
    <w:rsid w:val="00A23419"/>
    <w:rsid w:val="00A27833"/>
    <w:rsid w:val="00A30E0A"/>
    <w:rsid w:val="00A30EA0"/>
    <w:rsid w:val="00A314F5"/>
    <w:rsid w:val="00A32793"/>
    <w:rsid w:val="00A330E3"/>
    <w:rsid w:val="00A33FCB"/>
    <w:rsid w:val="00A362CE"/>
    <w:rsid w:val="00A3656D"/>
    <w:rsid w:val="00A376D1"/>
    <w:rsid w:val="00A403CD"/>
    <w:rsid w:val="00A404D9"/>
    <w:rsid w:val="00A412A4"/>
    <w:rsid w:val="00A415F7"/>
    <w:rsid w:val="00A417ED"/>
    <w:rsid w:val="00A439D3"/>
    <w:rsid w:val="00A43FD9"/>
    <w:rsid w:val="00A44755"/>
    <w:rsid w:val="00A44E29"/>
    <w:rsid w:val="00A45752"/>
    <w:rsid w:val="00A46BA8"/>
    <w:rsid w:val="00A476AE"/>
    <w:rsid w:val="00A47A14"/>
    <w:rsid w:val="00A47E93"/>
    <w:rsid w:val="00A5003A"/>
    <w:rsid w:val="00A509D6"/>
    <w:rsid w:val="00A5267E"/>
    <w:rsid w:val="00A5275B"/>
    <w:rsid w:val="00A54511"/>
    <w:rsid w:val="00A54607"/>
    <w:rsid w:val="00A549AF"/>
    <w:rsid w:val="00A5615B"/>
    <w:rsid w:val="00A566F7"/>
    <w:rsid w:val="00A602F8"/>
    <w:rsid w:val="00A60788"/>
    <w:rsid w:val="00A61A5E"/>
    <w:rsid w:val="00A624D4"/>
    <w:rsid w:val="00A63795"/>
    <w:rsid w:val="00A63817"/>
    <w:rsid w:val="00A63AEB"/>
    <w:rsid w:val="00A63B04"/>
    <w:rsid w:val="00A64D93"/>
    <w:rsid w:val="00A64DFC"/>
    <w:rsid w:val="00A64E67"/>
    <w:rsid w:val="00A65708"/>
    <w:rsid w:val="00A66331"/>
    <w:rsid w:val="00A70845"/>
    <w:rsid w:val="00A71D00"/>
    <w:rsid w:val="00A72B92"/>
    <w:rsid w:val="00A74FE2"/>
    <w:rsid w:val="00A75DAF"/>
    <w:rsid w:val="00A75F80"/>
    <w:rsid w:val="00A76ACC"/>
    <w:rsid w:val="00A77F39"/>
    <w:rsid w:val="00A80316"/>
    <w:rsid w:val="00A809EC"/>
    <w:rsid w:val="00A80DCD"/>
    <w:rsid w:val="00A828AF"/>
    <w:rsid w:val="00A83235"/>
    <w:rsid w:val="00A8360B"/>
    <w:rsid w:val="00A857D9"/>
    <w:rsid w:val="00A90566"/>
    <w:rsid w:val="00A90857"/>
    <w:rsid w:val="00A90A64"/>
    <w:rsid w:val="00A90CA3"/>
    <w:rsid w:val="00A91448"/>
    <w:rsid w:val="00A92245"/>
    <w:rsid w:val="00A93A78"/>
    <w:rsid w:val="00A93CAC"/>
    <w:rsid w:val="00A93DD9"/>
    <w:rsid w:val="00A94548"/>
    <w:rsid w:val="00A952B7"/>
    <w:rsid w:val="00AA1EB8"/>
    <w:rsid w:val="00AA2530"/>
    <w:rsid w:val="00AA25A1"/>
    <w:rsid w:val="00AA2B6A"/>
    <w:rsid w:val="00AA3306"/>
    <w:rsid w:val="00AA39E9"/>
    <w:rsid w:val="00AA4500"/>
    <w:rsid w:val="00AA4B2C"/>
    <w:rsid w:val="00AA4B70"/>
    <w:rsid w:val="00AA7756"/>
    <w:rsid w:val="00AB0E77"/>
    <w:rsid w:val="00AB19AD"/>
    <w:rsid w:val="00AB1F4E"/>
    <w:rsid w:val="00AB23AE"/>
    <w:rsid w:val="00AB2662"/>
    <w:rsid w:val="00AB2960"/>
    <w:rsid w:val="00AB4238"/>
    <w:rsid w:val="00AB4A42"/>
    <w:rsid w:val="00AB574B"/>
    <w:rsid w:val="00AB6CC7"/>
    <w:rsid w:val="00AB6DF3"/>
    <w:rsid w:val="00AB79EC"/>
    <w:rsid w:val="00AB7DEF"/>
    <w:rsid w:val="00AC06AD"/>
    <w:rsid w:val="00AC1849"/>
    <w:rsid w:val="00AC1DB2"/>
    <w:rsid w:val="00AC23DD"/>
    <w:rsid w:val="00AC4436"/>
    <w:rsid w:val="00AC6CBB"/>
    <w:rsid w:val="00AC6D7C"/>
    <w:rsid w:val="00AC750B"/>
    <w:rsid w:val="00AC758F"/>
    <w:rsid w:val="00AD01BB"/>
    <w:rsid w:val="00AD02B4"/>
    <w:rsid w:val="00AD0B91"/>
    <w:rsid w:val="00AD3AAC"/>
    <w:rsid w:val="00AD49E1"/>
    <w:rsid w:val="00AD4CDC"/>
    <w:rsid w:val="00AD5620"/>
    <w:rsid w:val="00AD56B6"/>
    <w:rsid w:val="00AD5C7A"/>
    <w:rsid w:val="00AD640D"/>
    <w:rsid w:val="00AD6B21"/>
    <w:rsid w:val="00AD6D7F"/>
    <w:rsid w:val="00AD6EA0"/>
    <w:rsid w:val="00AE0221"/>
    <w:rsid w:val="00AE0792"/>
    <w:rsid w:val="00AE0DAF"/>
    <w:rsid w:val="00AE1C8C"/>
    <w:rsid w:val="00AE1E77"/>
    <w:rsid w:val="00AE22C2"/>
    <w:rsid w:val="00AE30D2"/>
    <w:rsid w:val="00AE311C"/>
    <w:rsid w:val="00AE32FC"/>
    <w:rsid w:val="00AE3926"/>
    <w:rsid w:val="00AE46AA"/>
    <w:rsid w:val="00AE6061"/>
    <w:rsid w:val="00AE6822"/>
    <w:rsid w:val="00AE6842"/>
    <w:rsid w:val="00AF0388"/>
    <w:rsid w:val="00AF05EF"/>
    <w:rsid w:val="00AF0863"/>
    <w:rsid w:val="00AF1668"/>
    <w:rsid w:val="00AF1C9D"/>
    <w:rsid w:val="00AF26C8"/>
    <w:rsid w:val="00AF29BB"/>
    <w:rsid w:val="00AF2AA6"/>
    <w:rsid w:val="00AF2B4D"/>
    <w:rsid w:val="00AF2B88"/>
    <w:rsid w:val="00AF2F63"/>
    <w:rsid w:val="00AF5A6D"/>
    <w:rsid w:val="00AF5F2E"/>
    <w:rsid w:val="00AF60CA"/>
    <w:rsid w:val="00AF63A9"/>
    <w:rsid w:val="00AF7108"/>
    <w:rsid w:val="00AF739D"/>
    <w:rsid w:val="00B00194"/>
    <w:rsid w:val="00B006A9"/>
    <w:rsid w:val="00B00A2C"/>
    <w:rsid w:val="00B016A8"/>
    <w:rsid w:val="00B01ECE"/>
    <w:rsid w:val="00B02029"/>
    <w:rsid w:val="00B02CD8"/>
    <w:rsid w:val="00B02F93"/>
    <w:rsid w:val="00B034D0"/>
    <w:rsid w:val="00B06148"/>
    <w:rsid w:val="00B061A7"/>
    <w:rsid w:val="00B068F2"/>
    <w:rsid w:val="00B07689"/>
    <w:rsid w:val="00B10278"/>
    <w:rsid w:val="00B12922"/>
    <w:rsid w:val="00B13032"/>
    <w:rsid w:val="00B13310"/>
    <w:rsid w:val="00B13388"/>
    <w:rsid w:val="00B13654"/>
    <w:rsid w:val="00B154EA"/>
    <w:rsid w:val="00B15D54"/>
    <w:rsid w:val="00B162A0"/>
    <w:rsid w:val="00B16720"/>
    <w:rsid w:val="00B1682F"/>
    <w:rsid w:val="00B170A5"/>
    <w:rsid w:val="00B20969"/>
    <w:rsid w:val="00B2103B"/>
    <w:rsid w:val="00B2109F"/>
    <w:rsid w:val="00B21702"/>
    <w:rsid w:val="00B21809"/>
    <w:rsid w:val="00B22390"/>
    <w:rsid w:val="00B2258D"/>
    <w:rsid w:val="00B225B0"/>
    <w:rsid w:val="00B25D8A"/>
    <w:rsid w:val="00B2698F"/>
    <w:rsid w:val="00B2791F"/>
    <w:rsid w:val="00B318B0"/>
    <w:rsid w:val="00B319B3"/>
    <w:rsid w:val="00B31E83"/>
    <w:rsid w:val="00B31EE6"/>
    <w:rsid w:val="00B3230A"/>
    <w:rsid w:val="00B325B0"/>
    <w:rsid w:val="00B32840"/>
    <w:rsid w:val="00B328FC"/>
    <w:rsid w:val="00B3411C"/>
    <w:rsid w:val="00B342C4"/>
    <w:rsid w:val="00B3479B"/>
    <w:rsid w:val="00B3539F"/>
    <w:rsid w:val="00B354ED"/>
    <w:rsid w:val="00B36474"/>
    <w:rsid w:val="00B371A1"/>
    <w:rsid w:val="00B37A66"/>
    <w:rsid w:val="00B4136C"/>
    <w:rsid w:val="00B424EA"/>
    <w:rsid w:val="00B4271C"/>
    <w:rsid w:val="00B42A04"/>
    <w:rsid w:val="00B43453"/>
    <w:rsid w:val="00B450F8"/>
    <w:rsid w:val="00B47A0F"/>
    <w:rsid w:val="00B47CFD"/>
    <w:rsid w:val="00B50649"/>
    <w:rsid w:val="00B51611"/>
    <w:rsid w:val="00B51DCA"/>
    <w:rsid w:val="00B51EDA"/>
    <w:rsid w:val="00B5400D"/>
    <w:rsid w:val="00B549E8"/>
    <w:rsid w:val="00B54E6C"/>
    <w:rsid w:val="00B55516"/>
    <w:rsid w:val="00B557B6"/>
    <w:rsid w:val="00B55E3F"/>
    <w:rsid w:val="00B56780"/>
    <w:rsid w:val="00B57294"/>
    <w:rsid w:val="00B60A1E"/>
    <w:rsid w:val="00B61595"/>
    <w:rsid w:val="00B62EA9"/>
    <w:rsid w:val="00B6327A"/>
    <w:rsid w:val="00B6356C"/>
    <w:rsid w:val="00B63710"/>
    <w:rsid w:val="00B64C58"/>
    <w:rsid w:val="00B657A0"/>
    <w:rsid w:val="00B65C8A"/>
    <w:rsid w:val="00B65FA8"/>
    <w:rsid w:val="00B66384"/>
    <w:rsid w:val="00B664D8"/>
    <w:rsid w:val="00B66502"/>
    <w:rsid w:val="00B66B72"/>
    <w:rsid w:val="00B675F4"/>
    <w:rsid w:val="00B67DE2"/>
    <w:rsid w:val="00B67EB0"/>
    <w:rsid w:val="00B7014D"/>
    <w:rsid w:val="00B7017B"/>
    <w:rsid w:val="00B70190"/>
    <w:rsid w:val="00B722B5"/>
    <w:rsid w:val="00B72E57"/>
    <w:rsid w:val="00B73F2E"/>
    <w:rsid w:val="00B74113"/>
    <w:rsid w:val="00B764DB"/>
    <w:rsid w:val="00B80EFC"/>
    <w:rsid w:val="00B81813"/>
    <w:rsid w:val="00B819C3"/>
    <w:rsid w:val="00B827C5"/>
    <w:rsid w:val="00B83B44"/>
    <w:rsid w:val="00B83D1F"/>
    <w:rsid w:val="00B83DE6"/>
    <w:rsid w:val="00B84190"/>
    <w:rsid w:val="00B84C67"/>
    <w:rsid w:val="00B9057D"/>
    <w:rsid w:val="00B91546"/>
    <w:rsid w:val="00B919DC"/>
    <w:rsid w:val="00B91D3B"/>
    <w:rsid w:val="00B930F5"/>
    <w:rsid w:val="00B93466"/>
    <w:rsid w:val="00B9398F"/>
    <w:rsid w:val="00B94293"/>
    <w:rsid w:val="00B94B1E"/>
    <w:rsid w:val="00B94CBF"/>
    <w:rsid w:val="00B94CF1"/>
    <w:rsid w:val="00B95FCE"/>
    <w:rsid w:val="00B9718C"/>
    <w:rsid w:val="00B97A96"/>
    <w:rsid w:val="00BA0F86"/>
    <w:rsid w:val="00BA1691"/>
    <w:rsid w:val="00BA188B"/>
    <w:rsid w:val="00BA1C21"/>
    <w:rsid w:val="00BA1E1C"/>
    <w:rsid w:val="00BA2000"/>
    <w:rsid w:val="00BA205E"/>
    <w:rsid w:val="00BA326C"/>
    <w:rsid w:val="00BA40D2"/>
    <w:rsid w:val="00BA4224"/>
    <w:rsid w:val="00BA5652"/>
    <w:rsid w:val="00BA5721"/>
    <w:rsid w:val="00BA7BDC"/>
    <w:rsid w:val="00BB1709"/>
    <w:rsid w:val="00BB249D"/>
    <w:rsid w:val="00BB4845"/>
    <w:rsid w:val="00BB5F9B"/>
    <w:rsid w:val="00BB662C"/>
    <w:rsid w:val="00BB6A70"/>
    <w:rsid w:val="00BB76DF"/>
    <w:rsid w:val="00BB7A83"/>
    <w:rsid w:val="00BB7CD3"/>
    <w:rsid w:val="00BC0863"/>
    <w:rsid w:val="00BC08E4"/>
    <w:rsid w:val="00BC1511"/>
    <w:rsid w:val="00BC17BE"/>
    <w:rsid w:val="00BC24AF"/>
    <w:rsid w:val="00BC2FCC"/>
    <w:rsid w:val="00BC468A"/>
    <w:rsid w:val="00BC5524"/>
    <w:rsid w:val="00BC63AF"/>
    <w:rsid w:val="00BC714B"/>
    <w:rsid w:val="00BC7D24"/>
    <w:rsid w:val="00BD0413"/>
    <w:rsid w:val="00BD085F"/>
    <w:rsid w:val="00BD0C96"/>
    <w:rsid w:val="00BD1FCE"/>
    <w:rsid w:val="00BD220C"/>
    <w:rsid w:val="00BD2E17"/>
    <w:rsid w:val="00BD345C"/>
    <w:rsid w:val="00BD3E7B"/>
    <w:rsid w:val="00BD420F"/>
    <w:rsid w:val="00BD483E"/>
    <w:rsid w:val="00BD5D5C"/>
    <w:rsid w:val="00BD6C20"/>
    <w:rsid w:val="00BD6E3E"/>
    <w:rsid w:val="00BD6EAE"/>
    <w:rsid w:val="00BD7B1A"/>
    <w:rsid w:val="00BD7CB8"/>
    <w:rsid w:val="00BE0377"/>
    <w:rsid w:val="00BE0BFB"/>
    <w:rsid w:val="00BE1192"/>
    <w:rsid w:val="00BE137C"/>
    <w:rsid w:val="00BE1A06"/>
    <w:rsid w:val="00BE2ED0"/>
    <w:rsid w:val="00BE3370"/>
    <w:rsid w:val="00BE3B2E"/>
    <w:rsid w:val="00BE4286"/>
    <w:rsid w:val="00BE4622"/>
    <w:rsid w:val="00BE5FB9"/>
    <w:rsid w:val="00BE647C"/>
    <w:rsid w:val="00BE650A"/>
    <w:rsid w:val="00BE655B"/>
    <w:rsid w:val="00BE6BDB"/>
    <w:rsid w:val="00BE7CC4"/>
    <w:rsid w:val="00BF0BF8"/>
    <w:rsid w:val="00BF156D"/>
    <w:rsid w:val="00BF230E"/>
    <w:rsid w:val="00BF268F"/>
    <w:rsid w:val="00BF385C"/>
    <w:rsid w:val="00BF3B2C"/>
    <w:rsid w:val="00BF40DF"/>
    <w:rsid w:val="00BF45CA"/>
    <w:rsid w:val="00BF5AAF"/>
    <w:rsid w:val="00BF6B96"/>
    <w:rsid w:val="00BF7885"/>
    <w:rsid w:val="00C02780"/>
    <w:rsid w:val="00C03042"/>
    <w:rsid w:val="00C0349A"/>
    <w:rsid w:val="00C04A7D"/>
    <w:rsid w:val="00C0679D"/>
    <w:rsid w:val="00C06A01"/>
    <w:rsid w:val="00C078B5"/>
    <w:rsid w:val="00C0798B"/>
    <w:rsid w:val="00C079DC"/>
    <w:rsid w:val="00C07E74"/>
    <w:rsid w:val="00C104E9"/>
    <w:rsid w:val="00C10E2D"/>
    <w:rsid w:val="00C11A81"/>
    <w:rsid w:val="00C120C0"/>
    <w:rsid w:val="00C123A7"/>
    <w:rsid w:val="00C13270"/>
    <w:rsid w:val="00C13EF0"/>
    <w:rsid w:val="00C14AF4"/>
    <w:rsid w:val="00C15A21"/>
    <w:rsid w:val="00C15EE5"/>
    <w:rsid w:val="00C17AAA"/>
    <w:rsid w:val="00C17D44"/>
    <w:rsid w:val="00C202C8"/>
    <w:rsid w:val="00C2190A"/>
    <w:rsid w:val="00C22EBB"/>
    <w:rsid w:val="00C24CF7"/>
    <w:rsid w:val="00C24E00"/>
    <w:rsid w:val="00C24ED8"/>
    <w:rsid w:val="00C2545A"/>
    <w:rsid w:val="00C265A6"/>
    <w:rsid w:val="00C2670E"/>
    <w:rsid w:val="00C26BA5"/>
    <w:rsid w:val="00C27632"/>
    <w:rsid w:val="00C27B66"/>
    <w:rsid w:val="00C303BE"/>
    <w:rsid w:val="00C30AB4"/>
    <w:rsid w:val="00C31CC0"/>
    <w:rsid w:val="00C3203A"/>
    <w:rsid w:val="00C32049"/>
    <w:rsid w:val="00C33045"/>
    <w:rsid w:val="00C33C83"/>
    <w:rsid w:val="00C356BB"/>
    <w:rsid w:val="00C364F8"/>
    <w:rsid w:val="00C4022F"/>
    <w:rsid w:val="00C40642"/>
    <w:rsid w:val="00C41A41"/>
    <w:rsid w:val="00C4306B"/>
    <w:rsid w:val="00C430E6"/>
    <w:rsid w:val="00C45146"/>
    <w:rsid w:val="00C45162"/>
    <w:rsid w:val="00C45730"/>
    <w:rsid w:val="00C457A8"/>
    <w:rsid w:val="00C46EA7"/>
    <w:rsid w:val="00C471F2"/>
    <w:rsid w:val="00C50200"/>
    <w:rsid w:val="00C509D3"/>
    <w:rsid w:val="00C522A9"/>
    <w:rsid w:val="00C5319B"/>
    <w:rsid w:val="00C54789"/>
    <w:rsid w:val="00C5584C"/>
    <w:rsid w:val="00C55939"/>
    <w:rsid w:val="00C55D0F"/>
    <w:rsid w:val="00C56FDC"/>
    <w:rsid w:val="00C576EF"/>
    <w:rsid w:val="00C60191"/>
    <w:rsid w:val="00C6059E"/>
    <w:rsid w:val="00C60BBD"/>
    <w:rsid w:val="00C6307C"/>
    <w:rsid w:val="00C638DD"/>
    <w:rsid w:val="00C639AD"/>
    <w:rsid w:val="00C63CA5"/>
    <w:rsid w:val="00C646AE"/>
    <w:rsid w:val="00C64E09"/>
    <w:rsid w:val="00C66474"/>
    <w:rsid w:val="00C67914"/>
    <w:rsid w:val="00C67CDD"/>
    <w:rsid w:val="00C7073B"/>
    <w:rsid w:val="00C734E1"/>
    <w:rsid w:val="00C74661"/>
    <w:rsid w:val="00C746AE"/>
    <w:rsid w:val="00C74CBD"/>
    <w:rsid w:val="00C75BD4"/>
    <w:rsid w:val="00C75C12"/>
    <w:rsid w:val="00C76BE2"/>
    <w:rsid w:val="00C77D7F"/>
    <w:rsid w:val="00C80ADE"/>
    <w:rsid w:val="00C82E2C"/>
    <w:rsid w:val="00C83E63"/>
    <w:rsid w:val="00C850F4"/>
    <w:rsid w:val="00C85510"/>
    <w:rsid w:val="00C8797D"/>
    <w:rsid w:val="00C87B28"/>
    <w:rsid w:val="00C902D7"/>
    <w:rsid w:val="00C9144E"/>
    <w:rsid w:val="00C91F26"/>
    <w:rsid w:val="00C94463"/>
    <w:rsid w:val="00C94CD6"/>
    <w:rsid w:val="00C95DF6"/>
    <w:rsid w:val="00C96340"/>
    <w:rsid w:val="00C96388"/>
    <w:rsid w:val="00C9661C"/>
    <w:rsid w:val="00C96C0C"/>
    <w:rsid w:val="00C971CD"/>
    <w:rsid w:val="00C97732"/>
    <w:rsid w:val="00C979EA"/>
    <w:rsid w:val="00CA026A"/>
    <w:rsid w:val="00CA054F"/>
    <w:rsid w:val="00CA0DA8"/>
    <w:rsid w:val="00CA0DC5"/>
    <w:rsid w:val="00CA10EB"/>
    <w:rsid w:val="00CA216C"/>
    <w:rsid w:val="00CA2D9C"/>
    <w:rsid w:val="00CA2E13"/>
    <w:rsid w:val="00CA31D5"/>
    <w:rsid w:val="00CA5B78"/>
    <w:rsid w:val="00CA6695"/>
    <w:rsid w:val="00CA70B9"/>
    <w:rsid w:val="00CA761C"/>
    <w:rsid w:val="00CB1E51"/>
    <w:rsid w:val="00CB2BA2"/>
    <w:rsid w:val="00CB3B1D"/>
    <w:rsid w:val="00CB3CD6"/>
    <w:rsid w:val="00CB511B"/>
    <w:rsid w:val="00CC05BF"/>
    <w:rsid w:val="00CC0F66"/>
    <w:rsid w:val="00CC1544"/>
    <w:rsid w:val="00CC199B"/>
    <w:rsid w:val="00CC2D41"/>
    <w:rsid w:val="00CC3809"/>
    <w:rsid w:val="00CC45AC"/>
    <w:rsid w:val="00CC7744"/>
    <w:rsid w:val="00CC7EE9"/>
    <w:rsid w:val="00CD00EC"/>
    <w:rsid w:val="00CD058E"/>
    <w:rsid w:val="00CD0FC6"/>
    <w:rsid w:val="00CD16E8"/>
    <w:rsid w:val="00CD2899"/>
    <w:rsid w:val="00CD2C94"/>
    <w:rsid w:val="00CD3C4F"/>
    <w:rsid w:val="00CD3F58"/>
    <w:rsid w:val="00CD44C8"/>
    <w:rsid w:val="00CD49DF"/>
    <w:rsid w:val="00CD58EE"/>
    <w:rsid w:val="00CD5A0E"/>
    <w:rsid w:val="00CD70EA"/>
    <w:rsid w:val="00CD74B8"/>
    <w:rsid w:val="00CD7C25"/>
    <w:rsid w:val="00CE1138"/>
    <w:rsid w:val="00CE2F12"/>
    <w:rsid w:val="00CE30A6"/>
    <w:rsid w:val="00CE42A1"/>
    <w:rsid w:val="00CE4AA4"/>
    <w:rsid w:val="00CE61C4"/>
    <w:rsid w:val="00CE6738"/>
    <w:rsid w:val="00CE7024"/>
    <w:rsid w:val="00CE7034"/>
    <w:rsid w:val="00CE7892"/>
    <w:rsid w:val="00CE7C01"/>
    <w:rsid w:val="00CF0C71"/>
    <w:rsid w:val="00CF169F"/>
    <w:rsid w:val="00CF1BB5"/>
    <w:rsid w:val="00CF2024"/>
    <w:rsid w:val="00CF2494"/>
    <w:rsid w:val="00CF2765"/>
    <w:rsid w:val="00CF3FBF"/>
    <w:rsid w:val="00CF4458"/>
    <w:rsid w:val="00CF4AD8"/>
    <w:rsid w:val="00CF53AC"/>
    <w:rsid w:val="00CF61B6"/>
    <w:rsid w:val="00CF6264"/>
    <w:rsid w:val="00CF671F"/>
    <w:rsid w:val="00CF721F"/>
    <w:rsid w:val="00D001B4"/>
    <w:rsid w:val="00D00503"/>
    <w:rsid w:val="00D00846"/>
    <w:rsid w:val="00D0089E"/>
    <w:rsid w:val="00D01950"/>
    <w:rsid w:val="00D02C83"/>
    <w:rsid w:val="00D02C89"/>
    <w:rsid w:val="00D03450"/>
    <w:rsid w:val="00D04919"/>
    <w:rsid w:val="00D052B4"/>
    <w:rsid w:val="00D052B6"/>
    <w:rsid w:val="00D06C8D"/>
    <w:rsid w:val="00D07E33"/>
    <w:rsid w:val="00D10076"/>
    <w:rsid w:val="00D10D1E"/>
    <w:rsid w:val="00D10D72"/>
    <w:rsid w:val="00D1188C"/>
    <w:rsid w:val="00D12778"/>
    <w:rsid w:val="00D13B5A"/>
    <w:rsid w:val="00D13DCC"/>
    <w:rsid w:val="00D1488F"/>
    <w:rsid w:val="00D157EF"/>
    <w:rsid w:val="00D157FB"/>
    <w:rsid w:val="00D16690"/>
    <w:rsid w:val="00D178CD"/>
    <w:rsid w:val="00D20645"/>
    <w:rsid w:val="00D20D4C"/>
    <w:rsid w:val="00D20FA8"/>
    <w:rsid w:val="00D22AD5"/>
    <w:rsid w:val="00D23466"/>
    <w:rsid w:val="00D235EB"/>
    <w:rsid w:val="00D23782"/>
    <w:rsid w:val="00D23A87"/>
    <w:rsid w:val="00D2449C"/>
    <w:rsid w:val="00D24AAD"/>
    <w:rsid w:val="00D252D1"/>
    <w:rsid w:val="00D253F4"/>
    <w:rsid w:val="00D25FD3"/>
    <w:rsid w:val="00D26DB5"/>
    <w:rsid w:val="00D2758D"/>
    <w:rsid w:val="00D278B8"/>
    <w:rsid w:val="00D3177D"/>
    <w:rsid w:val="00D32D0D"/>
    <w:rsid w:val="00D32FBC"/>
    <w:rsid w:val="00D337D0"/>
    <w:rsid w:val="00D337D1"/>
    <w:rsid w:val="00D33EFF"/>
    <w:rsid w:val="00D34F4F"/>
    <w:rsid w:val="00D357D2"/>
    <w:rsid w:val="00D35822"/>
    <w:rsid w:val="00D35E1C"/>
    <w:rsid w:val="00D35E5E"/>
    <w:rsid w:val="00D35EAF"/>
    <w:rsid w:val="00D37EA7"/>
    <w:rsid w:val="00D406B9"/>
    <w:rsid w:val="00D41FA2"/>
    <w:rsid w:val="00D420DA"/>
    <w:rsid w:val="00D43E31"/>
    <w:rsid w:val="00D45186"/>
    <w:rsid w:val="00D45588"/>
    <w:rsid w:val="00D463C8"/>
    <w:rsid w:val="00D46824"/>
    <w:rsid w:val="00D46F5C"/>
    <w:rsid w:val="00D478C9"/>
    <w:rsid w:val="00D50283"/>
    <w:rsid w:val="00D5127D"/>
    <w:rsid w:val="00D52F75"/>
    <w:rsid w:val="00D534A1"/>
    <w:rsid w:val="00D54B56"/>
    <w:rsid w:val="00D54F5E"/>
    <w:rsid w:val="00D553D3"/>
    <w:rsid w:val="00D55530"/>
    <w:rsid w:val="00D576AD"/>
    <w:rsid w:val="00D60604"/>
    <w:rsid w:val="00D6060B"/>
    <w:rsid w:val="00D60CE4"/>
    <w:rsid w:val="00D60E57"/>
    <w:rsid w:val="00D62139"/>
    <w:rsid w:val="00D64154"/>
    <w:rsid w:val="00D64409"/>
    <w:rsid w:val="00D653E8"/>
    <w:rsid w:val="00D65A9C"/>
    <w:rsid w:val="00D6636A"/>
    <w:rsid w:val="00D66F5E"/>
    <w:rsid w:val="00D675F9"/>
    <w:rsid w:val="00D6772B"/>
    <w:rsid w:val="00D70300"/>
    <w:rsid w:val="00D70555"/>
    <w:rsid w:val="00D70667"/>
    <w:rsid w:val="00D71E09"/>
    <w:rsid w:val="00D71F7D"/>
    <w:rsid w:val="00D71F97"/>
    <w:rsid w:val="00D7239D"/>
    <w:rsid w:val="00D73421"/>
    <w:rsid w:val="00D7368F"/>
    <w:rsid w:val="00D7450E"/>
    <w:rsid w:val="00D74A41"/>
    <w:rsid w:val="00D75A42"/>
    <w:rsid w:val="00D76907"/>
    <w:rsid w:val="00D807A0"/>
    <w:rsid w:val="00D81644"/>
    <w:rsid w:val="00D817A1"/>
    <w:rsid w:val="00D83583"/>
    <w:rsid w:val="00D8498C"/>
    <w:rsid w:val="00D85D6C"/>
    <w:rsid w:val="00D8754E"/>
    <w:rsid w:val="00D9183E"/>
    <w:rsid w:val="00D93CD0"/>
    <w:rsid w:val="00D9441D"/>
    <w:rsid w:val="00D94FEC"/>
    <w:rsid w:val="00D95AEB"/>
    <w:rsid w:val="00D971C4"/>
    <w:rsid w:val="00D97355"/>
    <w:rsid w:val="00DA04ED"/>
    <w:rsid w:val="00DA069E"/>
    <w:rsid w:val="00DA166D"/>
    <w:rsid w:val="00DA212A"/>
    <w:rsid w:val="00DA23C1"/>
    <w:rsid w:val="00DA35CD"/>
    <w:rsid w:val="00DA51DC"/>
    <w:rsid w:val="00DA5F5F"/>
    <w:rsid w:val="00DA664C"/>
    <w:rsid w:val="00DA6B77"/>
    <w:rsid w:val="00DA72E4"/>
    <w:rsid w:val="00DA791C"/>
    <w:rsid w:val="00DB0FFF"/>
    <w:rsid w:val="00DB10D7"/>
    <w:rsid w:val="00DB1384"/>
    <w:rsid w:val="00DB1479"/>
    <w:rsid w:val="00DB17A2"/>
    <w:rsid w:val="00DB1D74"/>
    <w:rsid w:val="00DB25E4"/>
    <w:rsid w:val="00DB2770"/>
    <w:rsid w:val="00DB3041"/>
    <w:rsid w:val="00DB3596"/>
    <w:rsid w:val="00DB36C2"/>
    <w:rsid w:val="00DB3913"/>
    <w:rsid w:val="00DB45EC"/>
    <w:rsid w:val="00DB4917"/>
    <w:rsid w:val="00DB5F07"/>
    <w:rsid w:val="00DB6524"/>
    <w:rsid w:val="00DB6D0F"/>
    <w:rsid w:val="00DB6FE7"/>
    <w:rsid w:val="00DB79C5"/>
    <w:rsid w:val="00DB7B04"/>
    <w:rsid w:val="00DC14F0"/>
    <w:rsid w:val="00DC1945"/>
    <w:rsid w:val="00DC228D"/>
    <w:rsid w:val="00DC3DE0"/>
    <w:rsid w:val="00DC4D19"/>
    <w:rsid w:val="00DC5D87"/>
    <w:rsid w:val="00DC68C9"/>
    <w:rsid w:val="00DC7002"/>
    <w:rsid w:val="00DD04F2"/>
    <w:rsid w:val="00DD0B30"/>
    <w:rsid w:val="00DD0B57"/>
    <w:rsid w:val="00DD1B1B"/>
    <w:rsid w:val="00DD32DC"/>
    <w:rsid w:val="00DD467E"/>
    <w:rsid w:val="00DD47BD"/>
    <w:rsid w:val="00DD4C6C"/>
    <w:rsid w:val="00DD5019"/>
    <w:rsid w:val="00DD5C26"/>
    <w:rsid w:val="00DD617D"/>
    <w:rsid w:val="00DD785D"/>
    <w:rsid w:val="00DD7E6B"/>
    <w:rsid w:val="00DE0171"/>
    <w:rsid w:val="00DE04E0"/>
    <w:rsid w:val="00DE06E0"/>
    <w:rsid w:val="00DE08CC"/>
    <w:rsid w:val="00DE39C4"/>
    <w:rsid w:val="00DE4FD8"/>
    <w:rsid w:val="00DE50EF"/>
    <w:rsid w:val="00DE55FF"/>
    <w:rsid w:val="00DE5F6F"/>
    <w:rsid w:val="00DE79D3"/>
    <w:rsid w:val="00DE7F03"/>
    <w:rsid w:val="00DF2E3C"/>
    <w:rsid w:val="00DF2F4B"/>
    <w:rsid w:val="00DF3B2C"/>
    <w:rsid w:val="00DF3C2F"/>
    <w:rsid w:val="00DF465A"/>
    <w:rsid w:val="00DF5195"/>
    <w:rsid w:val="00DF6ECD"/>
    <w:rsid w:val="00DF71A3"/>
    <w:rsid w:val="00DF7344"/>
    <w:rsid w:val="00DF7EDE"/>
    <w:rsid w:val="00E00448"/>
    <w:rsid w:val="00E00B23"/>
    <w:rsid w:val="00E0117D"/>
    <w:rsid w:val="00E01689"/>
    <w:rsid w:val="00E019F3"/>
    <w:rsid w:val="00E0310F"/>
    <w:rsid w:val="00E03125"/>
    <w:rsid w:val="00E03E74"/>
    <w:rsid w:val="00E04454"/>
    <w:rsid w:val="00E04B90"/>
    <w:rsid w:val="00E04D95"/>
    <w:rsid w:val="00E06789"/>
    <w:rsid w:val="00E06F04"/>
    <w:rsid w:val="00E06F06"/>
    <w:rsid w:val="00E074A2"/>
    <w:rsid w:val="00E0769B"/>
    <w:rsid w:val="00E076CD"/>
    <w:rsid w:val="00E10B5C"/>
    <w:rsid w:val="00E10B5E"/>
    <w:rsid w:val="00E11760"/>
    <w:rsid w:val="00E119E8"/>
    <w:rsid w:val="00E11A95"/>
    <w:rsid w:val="00E12687"/>
    <w:rsid w:val="00E12973"/>
    <w:rsid w:val="00E13CEC"/>
    <w:rsid w:val="00E141EC"/>
    <w:rsid w:val="00E14792"/>
    <w:rsid w:val="00E14DAE"/>
    <w:rsid w:val="00E155FA"/>
    <w:rsid w:val="00E16600"/>
    <w:rsid w:val="00E169CD"/>
    <w:rsid w:val="00E16E8F"/>
    <w:rsid w:val="00E205A2"/>
    <w:rsid w:val="00E217A2"/>
    <w:rsid w:val="00E21E99"/>
    <w:rsid w:val="00E224C3"/>
    <w:rsid w:val="00E22535"/>
    <w:rsid w:val="00E2280E"/>
    <w:rsid w:val="00E228DE"/>
    <w:rsid w:val="00E22CDD"/>
    <w:rsid w:val="00E23208"/>
    <w:rsid w:val="00E23A17"/>
    <w:rsid w:val="00E23F68"/>
    <w:rsid w:val="00E23FD3"/>
    <w:rsid w:val="00E24758"/>
    <w:rsid w:val="00E24C1C"/>
    <w:rsid w:val="00E2648C"/>
    <w:rsid w:val="00E26B5D"/>
    <w:rsid w:val="00E2763D"/>
    <w:rsid w:val="00E301A8"/>
    <w:rsid w:val="00E31D85"/>
    <w:rsid w:val="00E3374A"/>
    <w:rsid w:val="00E33CF4"/>
    <w:rsid w:val="00E345DB"/>
    <w:rsid w:val="00E3545D"/>
    <w:rsid w:val="00E3574A"/>
    <w:rsid w:val="00E35A46"/>
    <w:rsid w:val="00E35F52"/>
    <w:rsid w:val="00E36123"/>
    <w:rsid w:val="00E3653D"/>
    <w:rsid w:val="00E36721"/>
    <w:rsid w:val="00E37688"/>
    <w:rsid w:val="00E40109"/>
    <w:rsid w:val="00E40533"/>
    <w:rsid w:val="00E405B8"/>
    <w:rsid w:val="00E413B9"/>
    <w:rsid w:val="00E41803"/>
    <w:rsid w:val="00E435D8"/>
    <w:rsid w:val="00E4448D"/>
    <w:rsid w:val="00E45B52"/>
    <w:rsid w:val="00E45DA7"/>
    <w:rsid w:val="00E46037"/>
    <w:rsid w:val="00E46F96"/>
    <w:rsid w:val="00E475AC"/>
    <w:rsid w:val="00E505C0"/>
    <w:rsid w:val="00E50D28"/>
    <w:rsid w:val="00E51807"/>
    <w:rsid w:val="00E51DFA"/>
    <w:rsid w:val="00E526E3"/>
    <w:rsid w:val="00E52866"/>
    <w:rsid w:val="00E53642"/>
    <w:rsid w:val="00E53896"/>
    <w:rsid w:val="00E5597A"/>
    <w:rsid w:val="00E55ABB"/>
    <w:rsid w:val="00E5686D"/>
    <w:rsid w:val="00E57295"/>
    <w:rsid w:val="00E57DA4"/>
    <w:rsid w:val="00E6038C"/>
    <w:rsid w:val="00E60876"/>
    <w:rsid w:val="00E60BCA"/>
    <w:rsid w:val="00E611D5"/>
    <w:rsid w:val="00E61235"/>
    <w:rsid w:val="00E62FEA"/>
    <w:rsid w:val="00E636AA"/>
    <w:rsid w:val="00E64602"/>
    <w:rsid w:val="00E64AB3"/>
    <w:rsid w:val="00E659E5"/>
    <w:rsid w:val="00E67B60"/>
    <w:rsid w:val="00E67D90"/>
    <w:rsid w:val="00E719A8"/>
    <w:rsid w:val="00E7289E"/>
    <w:rsid w:val="00E72931"/>
    <w:rsid w:val="00E74DC5"/>
    <w:rsid w:val="00E74F57"/>
    <w:rsid w:val="00E752C7"/>
    <w:rsid w:val="00E75302"/>
    <w:rsid w:val="00E75380"/>
    <w:rsid w:val="00E7665D"/>
    <w:rsid w:val="00E766DF"/>
    <w:rsid w:val="00E7698F"/>
    <w:rsid w:val="00E77B62"/>
    <w:rsid w:val="00E77B92"/>
    <w:rsid w:val="00E8172C"/>
    <w:rsid w:val="00E81F35"/>
    <w:rsid w:val="00E820D3"/>
    <w:rsid w:val="00E82A56"/>
    <w:rsid w:val="00E82B1A"/>
    <w:rsid w:val="00E83D8A"/>
    <w:rsid w:val="00E862B8"/>
    <w:rsid w:val="00E86D32"/>
    <w:rsid w:val="00E90731"/>
    <w:rsid w:val="00E921CF"/>
    <w:rsid w:val="00E924E5"/>
    <w:rsid w:val="00E94CA8"/>
    <w:rsid w:val="00E95A84"/>
    <w:rsid w:val="00E96CB5"/>
    <w:rsid w:val="00E9789E"/>
    <w:rsid w:val="00E97B09"/>
    <w:rsid w:val="00E97BF4"/>
    <w:rsid w:val="00E97FA3"/>
    <w:rsid w:val="00EA013E"/>
    <w:rsid w:val="00EA0B74"/>
    <w:rsid w:val="00EA2A88"/>
    <w:rsid w:val="00EA3E93"/>
    <w:rsid w:val="00EA4955"/>
    <w:rsid w:val="00EA520D"/>
    <w:rsid w:val="00EA78FF"/>
    <w:rsid w:val="00EA7C9B"/>
    <w:rsid w:val="00EB002B"/>
    <w:rsid w:val="00EB094A"/>
    <w:rsid w:val="00EB25F4"/>
    <w:rsid w:val="00EB279B"/>
    <w:rsid w:val="00EB2CA5"/>
    <w:rsid w:val="00EB4342"/>
    <w:rsid w:val="00EB43FD"/>
    <w:rsid w:val="00EB44BE"/>
    <w:rsid w:val="00EB4682"/>
    <w:rsid w:val="00EB477D"/>
    <w:rsid w:val="00EB493D"/>
    <w:rsid w:val="00EB4B62"/>
    <w:rsid w:val="00EB7FCF"/>
    <w:rsid w:val="00EC26A0"/>
    <w:rsid w:val="00EC28E5"/>
    <w:rsid w:val="00EC4DB1"/>
    <w:rsid w:val="00EC5183"/>
    <w:rsid w:val="00EC6350"/>
    <w:rsid w:val="00EC6A63"/>
    <w:rsid w:val="00EC6B93"/>
    <w:rsid w:val="00EC6E0C"/>
    <w:rsid w:val="00EC741D"/>
    <w:rsid w:val="00ED03A2"/>
    <w:rsid w:val="00ED18D4"/>
    <w:rsid w:val="00ED2526"/>
    <w:rsid w:val="00ED2536"/>
    <w:rsid w:val="00ED2A01"/>
    <w:rsid w:val="00ED2D7F"/>
    <w:rsid w:val="00ED4411"/>
    <w:rsid w:val="00ED4D0F"/>
    <w:rsid w:val="00ED684C"/>
    <w:rsid w:val="00ED6BC4"/>
    <w:rsid w:val="00EE0868"/>
    <w:rsid w:val="00EE1372"/>
    <w:rsid w:val="00EE15B5"/>
    <w:rsid w:val="00EE1BFF"/>
    <w:rsid w:val="00EE1F4E"/>
    <w:rsid w:val="00EE27F0"/>
    <w:rsid w:val="00EE330F"/>
    <w:rsid w:val="00EE4C37"/>
    <w:rsid w:val="00EE4F57"/>
    <w:rsid w:val="00EE585D"/>
    <w:rsid w:val="00EE653F"/>
    <w:rsid w:val="00EE6B44"/>
    <w:rsid w:val="00EE7440"/>
    <w:rsid w:val="00EF0B62"/>
    <w:rsid w:val="00EF1989"/>
    <w:rsid w:val="00EF226B"/>
    <w:rsid w:val="00EF37C4"/>
    <w:rsid w:val="00EF381E"/>
    <w:rsid w:val="00EF3A40"/>
    <w:rsid w:val="00EF468B"/>
    <w:rsid w:val="00EF53FF"/>
    <w:rsid w:val="00EF5429"/>
    <w:rsid w:val="00EF564B"/>
    <w:rsid w:val="00EF5C57"/>
    <w:rsid w:val="00F00157"/>
    <w:rsid w:val="00F0078E"/>
    <w:rsid w:val="00F008FD"/>
    <w:rsid w:val="00F01234"/>
    <w:rsid w:val="00F0141B"/>
    <w:rsid w:val="00F0146B"/>
    <w:rsid w:val="00F02857"/>
    <w:rsid w:val="00F02902"/>
    <w:rsid w:val="00F03424"/>
    <w:rsid w:val="00F04CAF"/>
    <w:rsid w:val="00F04CDD"/>
    <w:rsid w:val="00F05038"/>
    <w:rsid w:val="00F05B07"/>
    <w:rsid w:val="00F0606D"/>
    <w:rsid w:val="00F0655A"/>
    <w:rsid w:val="00F06858"/>
    <w:rsid w:val="00F071A7"/>
    <w:rsid w:val="00F0778D"/>
    <w:rsid w:val="00F077D3"/>
    <w:rsid w:val="00F07E0C"/>
    <w:rsid w:val="00F1025E"/>
    <w:rsid w:val="00F104A9"/>
    <w:rsid w:val="00F10B1C"/>
    <w:rsid w:val="00F1328C"/>
    <w:rsid w:val="00F13817"/>
    <w:rsid w:val="00F13939"/>
    <w:rsid w:val="00F13B21"/>
    <w:rsid w:val="00F14463"/>
    <w:rsid w:val="00F148A4"/>
    <w:rsid w:val="00F149D1"/>
    <w:rsid w:val="00F14FCD"/>
    <w:rsid w:val="00F161BE"/>
    <w:rsid w:val="00F1653E"/>
    <w:rsid w:val="00F16C75"/>
    <w:rsid w:val="00F17FE9"/>
    <w:rsid w:val="00F1E96C"/>
    <w:rsid w:val="00F20AA9"/>
    <w:rsid w:val="00F2128C"/>
    <w:rsid w:val="00F216C8"/>
    <w:rsid w:val="00F2200C"/>
    <w:rsid w:val="00F22302"/>
    <w:rsid w:val="00F23291"/>
    <w:rsid w:val="00F23339"/>
    <w:rsid w:val="00F24652"/>
    <w:rsid w:val="00F24A86"/>
    <w:rsid w:val="00F25284"/>
    <w:rsid w:val="00F26186"/>
    <w:rsid w:val="00F26251"/>
    <w:rsid w:val="00F26518"/>
    <w:rsid w:val="00F26B7A"/>
    <w:rsid w:val="00F26CA1"/>
    <w:rsid w:val="00F2FE9D"/>
    <w:rsid w:val="00F31416"/>
    <w:rsid w:val="00F322EA"/>
    <w:rsid w:val="00F32788"/>
    <w:rsid w:val="00F33190"/>
    <w:rsid w:val="00F332A2"/>
    <w:rsid w:val="00F337B2"/>
    <w:rsid w:val="00F33D36"/>
    <w:rsid w:val="00F3410D"/>
    <w:rsid w:val="00F35AA3"/>
    <w:rsid w:val="00F35E95"/>
    <w:rsid w:val="00F364D4"/>
    <w:rsid w:val="00F37DE2"/>
    <w:rsid w:val="00F4080E"/>
    <w:rsid w:val="00F41A43"/>
    <w:rsid w:val="00F43108"/>
    <w:rsid w:val="00F455A7"/>
    <w:rsid w:val="00F45799"/>
    <w:rsid w:val="00F46C39"/>
    <w:rsid w:val="00F472E9"/>
    <w:rsid w:val="00F4755A"/>
    <w:rsid w:val="00F52E2B"/>
    <w:rsid w:val="00F53A36"/>
    <w:rsid w:val="00F53F13"/>
    <w:rsid w:val="00F547A2"/>
    <w:rsid w:val="00F54A68"/>
    <w:rsid w:val="00F54DC2"/>
    <w:rsid w:val="00F55265"/>
    <w:rsid w:val="00F555C6"/>
    <w:rsid w:val="00F563F6"/>
    <w:rsid w:val="00F56652"/>
    <w:rsid w:val="00F60727"/>
    <w:rsid w:val="00F60CC6"/>
    <w:rsid w:val="00F6123A"/>
    <w:rsid w:val="00F62153"/>
    <w:rsid w:val="00F6222F"/>
    <w:rsid w:val="00F622E8"/>
    <w:rsid w:val="00F62637"/>
    <w:rsid w:val="00F62D11"/>
    <w:rsid w:val="00F63895"/>
    <w:rsid w:val="00F63F4E"/>
    <w:rsid w:val="00F63FBD"/>
    <w:rsid w:val="00F64822"/>
    <w:rsid w:val="00F64DF3"/>
    <w:rsid w:val="00F6516D"/>
    <w:rsid w:val="00F65B84"/>
    <w:rsid w:val="00F65CB3"/>
    <w:rsid w:val="00F661F3"/>
    <w:rsid w:val="00F663C7"/>
    <w:rsid w:val="00F66B4C"/>
    <w:rsid w:val="00F6759D"/>
    <w:rsid w:val="00F676A0"/>
    <w:rsid w:val="00F67F94"/>
    <w:rsid w:val="00F707E3"/>
    <w:rsid w:val="00F70A77"/>
    <w:rsid w:val="00F7192D"/>
    <w:rsid w:val="00F71CD0"/>
    <w:rsid w:val="00F71FC5"/>
    <w:rsid w:val="00F73049"/>
    <w:rsid w:val="00F7378F"/>
    <w:rsid w:val="00F7521E"/>
    <w:rsid w:val="00F76F3C"/>
    <w:rsid w:val="00F770E2"/>
    <w:rsid w:val="00F77609"/>
    <w:rsid w:val="00F77B69"/>
    <w:rsid w:val="00F80AE5"/>
    <w:rsid w:val="00F81B31"/>
    <w:rsid w:val="00F8232F"/>
    <w:rsid w:val="00F846D6"/>
    <w:rsid w:val="00F84E50"/>
    <w:rsid w:val="00F86452"/>
    <w:rsid w:val="00F9065F"/>
    <w:rsid w:val="00F906A2"/>
    <w:rsid w:val="00F9142F"/>
    <w:rsid w:val="00F91F5A"/>
    <w:rsid w:val="00F92F01"/>
    <w:rsid w:val="00F941C2"/>
    <w:rsid w:val="00F95B2C"/>
    <w:rsid w:val="00F963E8"/>
    <w:rsid w:val="00F971E5"/>
    <w:rsid w:val="00F97201"/>
    <w:rsid w:val="00FA0AA2"/>
    <w:rsid w:val="00FA17A2"/>
    <w:rsid w:val="00FA202D"/>
    <w:rsid w:val="00FA3A11"/>
    <w:rsid w:val="00FA44A3"/>
    <w:rsid w:val="00FA4D9E"/>
    <w:rsid w:val="00FA509B"/>
    <w:rsid w:val="00FA5139"/>
    <w:rsid w:val="00FB0173"/>
    <w:rsid w:val="00FB0C09"/>
    <w:rsid w:val="00FB0F81"/>
    <w:rsid w:val="00FB17F6"/>
    <w:rsid w:val="00FB3263"/>
    <w:rsid w:val="00FB5CFE"/>
    <w:rsid w:val="00FB6E33"/>
    <w:rsid w:val="00FB6ED3"/>
    <w:rsid w:val="00FB7427"/>
    <w:rsid w:val="00FB79D5"/>
    <w:rsid w:val="00FB7B93"/>
    <w:rsid w:val="00FC014C"/>
    <w:rsid w:val="00FC038F"/>
    <w:rsid w:val="00FC059D"/>
    <w:rsid w:val="00FC05A0"/>
    <w:rsid w:val="00FC07D5"/>
    <w:rsid w:val="00FC0D50"/>
    <w:rsid w:val="00FC0E93"/>
    <w:rsid w:val="00FC1780"/>
    <w:rsid w:val="00FC1AC1"/>
    <w:rsid w:val="00FC3832"/>
    <w:rsid w:val="00FC4514"/>
    <w:rsid w:val="00FC4754"/>
    <w:rsid w:val="00FC4A53"/>
    <w:rsid w:val="00FC51F0"/>
    <w:rsid w:val="00FC6BFA"/>
    <w:rsid w:val="00FC732A"/>
    <w:rsid w:val="00FC7415"/>
    <w:rsid w:val="00FD1F2A"/>
    <w:rsid w:val="00FD4195"/>
    <w:rsid w:val="00FD59D7"/>
    <w:rsid w:val="00FD5FBF"/>
    <w:rsid w:val="00FD78F8"/>
    <w:rsid w:val="00FE13E4"/>
    <w:rsid w:val="00FE2060"/>
    <w:rsid w:val="00FE41CB"/>
    <w:rsid w:val="00FE4931"/>
    <w:rsid w:val="00FE574F"/>
    <w:rsid w:val="00FE5AD3"/>
    <w:rsid w:val="00FE610F"/>
    <w:rsid w:val="00FE6452"/>
    <w:rsid w:val="00FE7920"/>
    <w:rsid w:val="00FF029E"/>
    <w:rsid w:val="00FF0918"/>
    <w:rsid w:val="00FF0A78"/>
    <w:rsid w:val="00FF160F"/>
    <w:rsid w:val="00FF2332"/>
    <w:rsid w:val="00FF48F9"/>
    <w:rsid w:val="00FF5023"/>
    <w:rsid w:val="00FF58E8"/>
    <w:rsid w:val="00FF6F4D"/>
    <w:rsid w:val="00FF77EE"/>
    <w:rsid w:val="00FF7B29"/>
    <w:rsid w:val="010A8155"/>
    <w:rsid w:val="01122771"/>
    <w:rsid w:val="011DAE32"/>
    <w:rsid w:val="0130C041"/>
    <w:rsid w:val="0133D871"/>
    <w:rsid w:val="0180A30E"/>
    <w:rsid w:val="019965C9"/>
    <w:rsid w:val="01C23603"/>
    <w:rsid w:val="01E2BEE2"/>
    <w:rsid w:val="01F6DC20"/>
    <w:rsid w:val="021F5930"/>
    <w:rsid w:val="022E7A0B"/>
    <w:rsid w:val="02355771"/>
    <w:rsid w:val="023B5FBF"/>
    <w:rsid w:val="0258A25B"/>
    <w:rsid w:val="025A8893"/>
    <w:rsid w:val="02635ACF"/>
    <w:rsid w:val="026BA532"/>
    <w:rsid w:val="026D24D6"/>
    <w:rsid w:val="028A1E2B"/>
    <w:rsid w:val="028DD2DF"/>
    <w:rsid w:val="028F33A5"/>
    <w:rsid w:val="0298A2B4"/>
    <w:rsid w:val="029F614A"/>
    <w:rsid w:val="02AD5430"/>
    <w:rsid w:val="02B132CD"/>
    <w:rsid w:val="02BC4269"/>
    <w:rsid w:val="030CA171"/>
    <w:rsid w:val="031502F7"/>
    <w:rsid w:val="031D0AE7"/>
    <w:rsid w:val="03333CBF"/>
    <w:rsid w:val="033AF670"/>
    <w:rsid w:val="033EC9F2"/>
    <w:rsid w:val="03461F05"/>
    <w:rsid w:val="035512C3"/>
    <w:rsid w:val="03854C1C"/>
    <w:rsid w:val="03C0B79F"/>
    <w:rsid w:val="03F49B48"/>
    <w:rsid w:val="03F64851"/>
    <w:rsid w:val="03F90643"/>
    <w:rsid w:val="04012469"/>
    <w:rsid w:val="0411CFB3"/>
    <w:rsid w:val="0440F64B"/>
    <w:rsid w:val="0442C2AD"/>
    <w:rsid w:val="04584E59"/>
    <w:rsid w:val="047C2239"/>
    <w:rsid w:val="047E19D2"/>
    <w:rsid w:val="048E8027"/>
    <w:rsid w:val="0499A4AC"/>
    <w:rsid w:val="04B714E0"/>
    <w:rsid w:val="04C8DFED"/>
    <w:rsid w:val="04E87B2B"/>
    <w:rsid w:val="0508E5F0"/>
    <w:rsid w:val="051FF5E9"/>
    <w:rsid w:val="053F773A"/>
    <w:rsid w:val="05653C29"/>
    <w:rsid w:val="058592D5"/>
    <w:rsid w:val="0604956E"/>
    <w:rsid w:val="0631C5C1"/>
    <w:rsid w:val="06383160"/>
    <w:rsid w:val="0638E1F4"/>
    <w:rsid w:val="0661CBB5"/>
    <w:rsid w:val="0669D2BB"/>
    <w:rsid w:val="06783021"/>
    <w:rsid w:val="06786D51"/>
    <w:rsid w:val="0686A159"/>
    <w:rsid w:val="06B0631A"/>
    <w:rsid w:val="06CC1A32"/>
    <w:rsid w:val="06CDF3F7"/>
    <w:rsid w:val="06DE4298"/>
    <w:rsid w:val="06E7C7AD"/>
    <w:rsid w:val="06EF1CC0"/>
    <w:rsid w:val="06F7560E"/>
    <w:rsid w:val="071995C0"/>
    <w:rsid w:val="072F643B"/>
    <w:rsid w:val="07344680"/>
    <w:rsid w:val="0736A365"/>
    <w:rsid w:val="076B4A89"/>
    <w:rsid w:val="078BABB5"/>
    <w:rsid w:val="07A5F575"/>
    <w:rsid w:val="07AD9004"/>
    <w:rsid w:val="07C6BF12"/>
    <w:rsid w:val="07DA8D86"/>
    <w:rsid w:val="0847A9EF"/>
    <w:rsid w:val="084C81F7"/>
    <w:rsid w:val="0850D39C"/>
    <w:rsid w:val="086FB9DB"/>
    <w:rsid w:val="0894F3A8"/>
    <w:rsid w:val="08E6CE83"/>
    <w:rsid w:val="08EA324F"/>
    <w:rsid w:val="08EFFCD9"/>
    <w:rsid w:val="0909E671"/>
    <w:rsid w:val="09107A49"/>
    <w:rsid w:val="09157277"/>
    <w:rsid w:val="093B9EB8"/>
    <w:rsid w:val="0941F944"/>
    <w:rsid w:val="0943E52C"/>
    <w:rsid w:val="09518AF5"/>
    <w:rsid w:val="095366EC"/>
    <w:rsid w:val="096A427C"/>
    <w:rsid w:val="0975AAC4"/>
    <w:rsid w:val="09AF396B"/>
    <w:rsid w:val="09C00652"/>
    <w:rsid w:val="09EA91F3"/>
    <w:rsid w:val="09ECD103"/>
    <w:rsid w:val="09FEC821"/>
    <w:rsid w:val="0A083850"/>
    <w:rsid w:val="0A0D85AF"/>
    <w:rsid w:val="0A28B5C0"/>
    <w:rsid w:val="0A2DADEE"/>
    <w:rsid w:val="0A42D229"/>
    <w:rsid w:val="0A59856E"/>
    <w:rsid w:val="0A5DD399"/>
    <w:rsid w:val="0A634F99"/>
    <w:rsid w:val="0A853962"/>
    <w:rsid w:val="0AB7CE9D"/>
    <w:rsid w:val="0ABDD915"/>
    <w:rsid w:val="0ABF0C4B"/>
    <w:rsid w:val="0AD6F771"/>
    <w:rsid w:val="0B0A41BD"/>
    <w:rsid w:val="0B0E3D30"/>
    <w:rsid w:val="0B441960"/>
    <w:rsid w:val="0B4C597F"/>
    <w:rsid w:val="0B509972"/>
    <w:rsid w:val="0B73F3F4"/>
    <w:rsid w:val="0B960CD6"/>
    <w:rsid w:val="0BB734AE"/>
    <w:rsid w:val="0BD00A14"/>
    <w:rsid w:val="0BFFEA43"/>
    <w:rsid w:val="0C0FDD9B"/>
    <w:rsid w:val="0C1198EE"/>
    <w:rsid w:val="0C1CA90D"/>
    <w:rsid w:val="0C203F7A"/>
    <w:rsid w:val="0C28F64E"/>
    <w:rsid w:val="0C2D7FDA"/>
    <w:rsid w:val="0C30B103"/>
    <w:rsid w:val="0C3E0EA5"/>
    <w:rsid w:val="0C40EFBB"/>
    <w:rsid w:val="0C4C5CC0"/>
    <w:rsid w:val="0C619FFC"/>
    <w:rsid w:val="0C94ED72"/>
    <w:rsid w:val="0CB87BE5"/>
    <w:rsid w:val="0CD6BC38"/>
    <w:rsid w:val="0CF1AAFD"/>
    <w:rsid w:val="0CFF95D0"/>
    <w:rsid w:val="0D03EC8B"/>
    <w:rsid w:val="0D15408F"/>
    <w:rsid w:val="0D1CF425"/>
    <w:rsid w:val="0D1D50B9"/>
    <w:rsid w:val="0D336DCE"/>
    <w:rsid w:val="0D4459EE"/>
    <w:rsid w:val="0D46F43C"/>
    <w:rsid w:val="0D4FE5F4"/>
    <w:rsid w:val="0D774BBD"/>
    <w:rsid w:val="0D802B67"/>
    <w:rsid w:val="0D880CB2"/>
    <w:rsid w:val="0DC5663A"/>
    <w:rsid w:val="0DD63321"/>
    <w:rsid w:val="0DDE4589"/>
    <w:rsid w:val="0DF038AD"/>
    <w:rsid w:val="0E1BD569"/>
    <w:rsid w:val="0E1C5D81"/>
    <w:rsid w:val="0E1F502B"/>
    <w:rsid w:val="0E22B3BA"/>
    <w:rsid w:val="0E3EC2AF"/>
    <w:rsid w:val="0E580673"/>
    <w:rsid w:val="0E58C5CC"/>
    <w:rsid w:val="0E60CC58"/>
    <w:rsid w:val="0EAD4B2B"/>
    <w:rsid w:val="0EDFCDBB"/>
    <w:rsid w:val="0F012F01"/>
    <w:rsid w:val="0F1EFA20"/>
    <w:rsid w:val="0F20CB20"/>
    <w:rsid w:val="0F26B4D5"/>
    <w:rsid w:val="0F3496FF"/>
    <w:rsid w:val="0F4E676B"/>
    <w:rsid w:val="0F6B5D02"/>
    <w:rsid w:val="0F742FC7"/>
    <w:rsid w:val="0F77F905"/>
    <w:rsid w:val="0F78AEBB"/>
    <w:rsid w:val="0F83B7DC"/>
    <w:rsid w:val="0F949A5A"/>
    <w:rsid w:val="0F9A0EB0"/>
    <w:rsid w:val="0FBC2475"/>
    <w:rsid w:val="0FBF6037"/>
    <w:rsid w:val="0FD673E2"/>
    <w:rsid w:val="0FF5AC4D"/>
    <w:rsid w:val="0FFD0160"/>
    <w:rsid w:val="0FFF5A1A"/>
    <w:rsid w:val="100D603E"/>
    <w:rsid w:val="10483598"/>
    <w:rsid w:val="107735F0"/>
    <w:rsid w:val="10ADBCA3"/>
    <w:rsid w:val="10D7E87F"/>
    <w:rsid w:val="10E497D5"/>
    <w:rsid w:val="10F1B0DF"/>
    <w:rsid w:val="11032436"/>
    <w:rsid w:val="11116286"/>
    <w:rsid w:val="11136CD2"/>
    <w:rsid w:val="1130F4EA"/>
    <w:rsid w:val="11605AE4"/>
    <w:rsid w:val="1160A3E0"/>
    <w:rsid w:val="1187C999"/>
    <w:rsid w:val="11975E17"/>
    <w:rsid w:val="11BAD1B5"/>
    <w:rsid w:val="11CA80BF"/>
    <w:rsid w:val="11EACC9C"/>
    <w:rsid w:val="12373770"/>
    <w:rsid w:val="123A1981"/>
    <w:rsid w:val="12505921"/>
    <w:rsid w:val="125DBE1F"/>
    <w:rsid w:val="127A2CEF"/>
    <w:rsid w:val="128E3301"/>
    <w:rsid w:val="12A6AEEC"/>
    <w:rsid w:val="12A831B3"/>
    <w:rsid w:val="12B4EBB0"/>
    <w:rsid w:val="12BF4107"/>
    <w:rsid w:val="12E37059"/>
    <w:rsid w:val="12E91F6E"/>
    <w:rsid w:val="12EF13BB"/>
    <w:rsid w:val="1309B309"/>
    <w:rsid w:val="131476AE"/>
    <w:rsid w:val="131F3966"/>
    <w:rsid w:val="13303959"/>
    <w:rsid w:val="133A47F3"/>
    <w:rsid w:val="13426FDF"/>
    <w:rsid w:val="13500B5A"/>
    <w:rsid w:val="1356DDE7"/>
    <w:rsid w:val="136B368D"/>
    <w:rsid w:val="1379346A"/>
    <w:rsid w:val="1383F8D5"/>
    <w:rsid w:val="1385A1D1"/>
    <w:rsid w:val="138AB397"/>
    <w:rsid w:val="13AD0302"/>
    <w:rsid w:val="13BE3DDA"/>
    <w:rsid w:val="13CEC6A5"/>
    <w:rsid w:val="13E62669"/>
    <w:rsid w:val="1408287C"/>
    <w:rsid w:val="14161943"/>
    <w:rsid w:val="141B3181"/>
    <w:rsid w:val="14525941"/>
    <w:rsid w:val="145C71B6"/>
    <w:rsid w:val="14708ABD"/>
    <w:rsid w:val="147BC9A3"/>
    <w:rsid w:val="14A3455F"/>
    <w:rsid w:val="14A3D89A"/>
    <w:rsid w:val="14ADA726"/>
    <w:rsid w:val="14BDB038"/>
    <w:rsid w:val="14DB7F24"/>
    <w:rsid w:val="14E9F383"/>
    <w:rsid w:val="14F70466"/>
    <w:rsid w:val="150CFDD8"/>
    <w:rsid w:val="1525345B"/>
    <w:rsid w:val="15506199"/>
    <w:rsid w:val="15795EED"/>
    <w:rsid w:val="1594574B"/>
    <w:rsid w:val="15A824E6"/>
    <w:rsid w:val="15B64290"/>
    <w:rsid w:val="15E63E6A"/>
    <w:rsid w:val="15F56D8D"/>
    <w:rsid w:val="16065D38"/>
    <w:rsid w:val="161DB928"/>
    <w:rsid w:val="1623D0D9"/>
    <w:rsid w:val="163E4943"/>
    <w:rsid w:val="168D3B26"/>
    <w:rsid w:val="169F0D75"/>
    <w:rsid w:val="16B385A5"/>
    <w:rsid w:val="16C432FF"/>
    <w:rsid w:val="17052DDF"/>
    <w:rsid w:val="170E8ED6"/>
    <w:rsid w:val="17134C20"/>
    <w:rsid w:val="171F53BA"/>
    <w:rsid w:val="17241CF4"/>
    <w:rsid w:val="172A7530"/>
    <w:rsid w:val="17639D39"/>
    <w:rsid w:val="1763A7D7"/>
    <w:rsid w:val="17710DDD"/>
    <w:rsid w:val="1786D428"/>
    <w:rsid w:val="1786FCFE"/>
    <w:rsid w:val="1793216E"/>
    <w:rsid w:val="181BABFC"/>
    <w:rsid w:val="183A1488"/>
    <w:rsid w:val="186590D5"/>
    <w:rsid w:val="1875631C"/>
    <w:rsid w:val="18B0A0E2"/>
    <w:rsid w:val="18BDF078"/>
    <w:rsid w:val="18EC8F26"/>
    <w:rsid w:val="18F7AA55"/>
    <w:rsid w:val="18FC5BA2"/>
    <w:rsid w:val="19188257"/>
    <w:rsid w:val="193D269B"/>
    <w:rsid w:val="1958F057"/>
    <w:rsid w:val="1995BD52"/>
    <w:rsid w:val="19AE8AA5"/>
    <w:rsid w:val="19B0153C"/>
    <w:rsid w:val="19BE6380"/>
    <w:rsid w:val="19C51951"/>
    <w:rsid w:val="19D33BB1"/>
    <w:rsid w:val="1A06B5A4"/>
    <w:rsid w:val="1A25ABAB"/>
    <w:rsid w:val="1A424955"/>
    <w:rsid w:val="1A46EF9D"/>
    <w:rsid w:val="1A5C73BF"/>
    <w:rsid w:val="1A72C873"/>
    <w:rsid w:val="1A74C8CE"/>
    <w:rsid w:val="1A853ED4"/>
    <w:rsid w:val="1AA317E1"/>
    <w:rsid w:val="1AF58106"/>
    <w:rsid w:val="1B049AC9"/>
    <w:rsid w:val="1B227E88"/>
    <w:rsid w:val="1B3539C8"/>
    <w:rsid w:val="1B44AC35"/>
    <w:rsid w:val="1B592465"/>
    <w:rsid w:val="1B67A848"/>
    <w:rsid w:val="1B82F1A0"/>
    <w:rsid w:val="1B9B0AA4"/>
    <w:rsid w:val="1BD7EA75"/>
    <w:rsid w:val="1BEFE1F0"/>
    <w:rsid w:val="1BFE14A0"/>
    <w:rsid w:val="1C07BE34"/>
    <w:rsid w:val="1C0D1B09"/>
    <w:rsid w:val="1C11DA8D"/>
    <w:rsid w:val="1C4EB975"/>
    <w:rsid w:val="1C5453B4"/>
    <w:rsid w:val="1C551B47"/>
    <w:rsid w:val="1C948290"/>
    <w:rsid w:val="1CD3650C"/>
    <w:rsid w:val="1D497381"/>
    <w:rsid w:val="1D4E36EB"/>
    <w:rsid w:val="1D575E9D"/>
    <w:rsid w:val="1D5F75E6"/>
    <w:rsid w:val="1D7256FF"/>
    <w:rsid w:val="1D7D907E"/>
    <w:rsid w:val="1DBCDF96"/>
    <w:rsid w:val="1DF840BB"/>
    <w:rsid w:val="1E037444"/>
    <w:rsid w:val="1E41C136"/>
    <w:rsid w:val="1E6CDA8A"/>
    <w:rsid w:val="1E6D5D03"/>
    <w:rsid w:val="1E86E267"/>
    <w:rsid w:val="1E9DB573"/>
    <w:rsid w:val="1EA8B301"/>
    <w:rsid w:val="1EB0A289"/>
    <w:rsid w:val="1EBEF5F9"/>
    <w:rsid w:val="1ED2B18E"/>
    <w:rsid w:val="1EE7B5A3"/>
    <w:rsid w:val="1EF026FB"/>
    <w:rsid w:val="1F351DEA"/>
    <w:rsid w:val="1F3A8A1C"/>
    <w:rsid w:val="1F48E3D7"/>
    <w:rsid w:val="1F4C2DE3"/>
    <w:rsid w:val="1F55F5C2"/>
    <w:rsid w:val="1F64F58D"/>
    <w:rsid w:val="1F70A21D"/>
    <w:rsid w:val="1F751E43"/>
    <w:rsid w:val="1F7F68AE"/>
    <w:rsid w:val="1F89EF87"/>
    <w:rsid w:val="1F90AE1D"/>
    <w:rsid w:val="1F9EA103"/>
    <w:rsid w:val="1FC985F8"/>
    <w:rsid w:val="1FD02774"/>
    <w:rsid w:val="1FD5C7F5"/>
    <w:rsid w:val="2006A6CF"/>
    <w:rsid w:val="20339187"/>
    <w:rsid w:val="20376BD8"/>
    <w:rsid w:val="2047CAB6"/>
    <w:rsid w:val="204F3F99"/>
    <w:rsid w:val="20679183"/>
    <w:rsid w:val="207B9D77"/>
    <w:rsid w:val="20B10F81"/>
    <w:rsid w:val="20C206FA"/>
    <w:rsid w:val="21063DFA"/>
    <w:rsid w:val="211B74E0"/>
    <w:rsid w:val="2133B0F6"/>
    <w:rsid w:val="2147D9B4"/>
    <w:rsid w:val="214DD74A"/>
    <w:rsid w:val="21561769"/>
    <w:rsid w:val="215A575C"/>
    <w:rsid w:val="215EA431"/>
    <w:rsid w:val="215F6FB0"/>
    <w:rsid w:val="216E43A7"/>
    <w:rsid w:val="21860A43"/>
    <w:rsid w:val="21902BD8"/>
    <w:rsid w:val="2192BDC9"/>
    <w:rsid w:val="21945887"/>
    <w:rsid w:val="21C4F6BA"/>
    <w:rsid w:val="21F53C2D"/>
    <w:rsid w:val="2201ED78"/>
    <w:rsid w:val="22267F6D"/>
    <w:rsid w:val="2231E8B9"/>
    <w:rsid w:val="22384E15"/>
    <w:rsid w:val="223E403E"/>
    <w:rsid w:val="224C2F92"/>
    <w:rsid w:val="2253CF85"/>
    <w:rsid w:val="2267309E"/>
    <w:rsid w:val="22707765"/>
    <w:rsid w:val="2276FFB8"/>
    <w:rsid w:val="22867F01"/>
    <w:rsid w:val="2290B35E"/>
    <w:rsid w:val="22982897"/>
    <w:rsid w:val="22BBA3C6"/>
    <w:rsid w:val="22C239CF"/>
    <w:rsid w:val="22CFEBA4"/>
    <w:rsid w:val="22D39F64"/>
    <w:rsid w:val="22DD3231"/>
    <w:rsid w:val="22F8738F"/>
    <w:rsid w:val="23298E23"/>
    <w:rsid w:val="232D46D7"/>
    <w:rsid w:val="232FEE4D"/>
    <w:rsid w:val="23307B34"/>
    <w:rsid w:val="233B8353"/>
    <w:rsid w:val="2341B143"/>
    <w:rsid w:val="234EB316"/>
    <w:rsid w:val="237E6FF6"/>
    <w:rsid w:val="239A96AB"/>
    <w:rsid w:val="23B8A7C4"/>
    <w:rsid w:val="23CBEC67"/>
    <w:rsid w:val="23F9A7BC"/>
    <w:rsid w:val="243D4744"/>
    <w:rsid w:val="2449527C"/>
    <w:rsid w:val="24643D78"/>
    <w:rsid w:val="24A5BFAF"/>
    <w:rsid w:val="24C419F2"/>
    <w:rsid w:val="24D8FD76"/>
    <w:rsid w:val="24EB7BD0"/>
    <w:rsid w:val="24FF7AC6"/>
    <w:rsid w:val="254CA280"/>
    <w:rsid w:val="257B86D1"/>
    <w:rsid w:val="258D75C6"/>
    <w:rsid w:val="258E81D5"/>
    <w:rsid w:val="25A9EF14"/>
    <w:rsid w:val="25AAEB33"/>
    <w:rsid w:val="25B63C55"/>
    <w:rsid w:val="25C2BF5B"/>
    <w:rsid w:val="25C58701"/>
    <w:rsid w:val="25C7F17B"/>
    <w:rsid w:val="25FA67C5"/>
    <w:rsid w:val="26151AF0"/>
    <w:rsid w:val="2617B63D"/>
    <w:rsid w:val="261C138C"/>
    <w:rsid w:val="263FBB91"/>
    <w:rsid w:val="265E9B6E"/>
    <w:rsid w:val="26728C9D"/>
    <w:rsid w:val="2678A110"/>
    <w:rsid w:val="2690DFF9"/>
    <w:rsid w:val="26B5DD4A"/>
    <w:rsid w:val="26B7B65D"/>
    <w:rsid w:val="26BD0B2F"/>
    <w:rsid w:val="26BF9AD5"/>
    <w:rsid w:val="26C3C363"/>
    <w:rsid w:val="26D52D62"/>
    <w:rsid w:val="2709B2C8"/>
    <w:rsid w:val="2712CDA6"/>
    <w:rsid w:val="272C1DDE"/>
    <w:rsid w:val="273F8117"/>
    <w:rsid w:val="276D4142"/>
    <w:rsid w:val="27C19A47"/>
    <w:rsid w:val="280A8BAD"/>
    <w:rsid w:val="281AAF90"/>
    <w:rsid w:val="2825B6E0"/>
    <w:rsid w:val="2829955D"/>
    <w:rsid w:val="2846331A"/>
    <w:rsid w:val="284E4AAC"/>
    <w:rsid w:val="28964ED8"/>
    <w:rsid w:val="28C48A44"/>
    <w:rsid w:val="28C5DFD6"/>
    <w:rsid w:val="28DCCB16"/>
    <w:rsid w:val="28DCFDE7"/>
    <w:rsid w:val="28E67371"/>
    <w:rsid w:val="28F2DD58"/>
    <w:rsid w:val="28F4F754"/>
    <w:rsid w:val="28F502AE"/>
    <w:rsid w:val="28FF41BF"/>
    <w:rsid w:val="2905F4C2"/>
    <w:rsid w:val="2943EFB2"/>
    <w:rsid w:val="296C50DF"/>
    <w:rsid w:val="298A4767"/>
    <w:rsid w:val="2990A174"/>
    <w:rsid w:val="299CDBEC"/>
    <w:rsid w:val="29C9880E"/>
    <w:rsid w:val="29FC5BFE"/>
    <w:rsid w:val="2A177D36"/>
    <w:rsid w:val="2A295980"/>
    <w:rsid w:val="2A2A22CE"/>
    <w:rsid w:val="2A3910A4"/>
    <w:rsid w:val="2A39DDB4"/>
    <w:rsid w:val="2A6E9070"/>
    <w:rsid w:val="2A76A1A1"/>
    <w:rsid w:val="2ABAAF1C"/>
    <w:rsid w:val="2ABD6090"/>
    <w:rsid w:val="2AE39F7C"/>
    <w:rsid w:val="2AEDE9E7"/>
    <w:rsid w:val="2B384575"/>
    <w:rsid w:val="2B5343A2"/>
    <w:rsid w:val="2B5CAC33"/>
    <w:rsid w:val="2B621267"/>
    <w:rsid w:val="2B6A4569"/>
    <w:rsid w:val="2B6F29E5"/>
    <w:rsid w:val="2B83E624"/>
    <w:rsid w:val="2B8D0EAB"/>
    <w:rsid w:val="2B9E97FE"/>
    <w:rsid w:val="2BA84DEE"/>
    <w:rsid w:val="2BA993EC"/>
    <w:rsid w:val="2BB7F231"/>
    <w:rsid w:val="2BBA0C2D"/>
    <w:rsid w:val="2BC9BB37"/>
    <w:rsid w:val="2BD612BC"/>
    <w:rsid w:val="2BD76903"/>
    <w:rsid w:val="2C1696E7"/>
    <w:rsid w:val="2C17385A"/>
    <w:rsid w:val="2C1E846D"/>
    <w:rsid w:val="2C2B2C59"/>
    <w:rsid w:val="2C5FD0D4"/>
    <w:rsid w:val="2C67887E"/>
    <w:rsid w:val="2C6D3706"/>
    <w:rsid w:val="2C7250C9"/>
    <w:rsid w:val="2C96F910"/>
    <w:rsid w:val="2CBD7660"/>
    <w:rsid w:val="2CCAC9BB"/>
    <w:rsid w:val="2CD50A2B"/>
    <w:rsid w:val="2CD94414"/>
    <w:rsid w:val="2D1D5724"/>
    <w:rsid w:val="2D29BA68"/>
    <w:rsid w:val="2D3DF52F"/>
    <w:rsid w:val="2D645CA8"/>
    <w:rsid w:val="2D6D65C1"/>
    <w:rsid w:val="2DAE7FCC"/>
    <w:rsid w:val="2DAFE9A0"/>
    <w:rsid w:val="2DB57A0A"/>
    <w:rsid w:val="2DC084EC"/>
    <w:rsid w:val="2DD2D98C"/>
    <w:rsid w:val="2DDD9DC5"/>
    <w:rsid w:val="2DDFFC42"/>
    <w:rsid w:val="2DF9C536"/>
    <w:rsid w:val="2E228719"/>
    <w:rsid w:val="2E2294B4"/>
    <w:rsid w:val="2E5C57C4"/>
    <w:rsid w:val="2E739B46"/>
    <w:rsid w:val="2E867619"/>
    <w:rsid w:val="2E94251B"/>
    <w:rsid w:val="2E962F67"/>
    <w:rsid w:val="2E9CA2E0"/>
    <w:rsid w:val="2EA14EB3"/>
    <w:rsid w:val="2EC0D004"/>
    <w:rsid w:val="2ED54834"/>
    <w:rsid w:val="2EE8043E"/>
    <w:rsid w:val="2EF6E0EE"/>
    <w:rsid w:val="2F08EFC6"/>
    <w:rsid w:val="2F09E55E"/>
    <w:rsid w:val="2F599AD9"/>
    <w:rsid w:val="2F5AB71E"/>
    <w:rsid w:val="2F978F4E"/>
    <w:rsid w:val="2FB395DD"/>
    <w:rsid w:val="2FBEC1F7"/>
    <w:rsid w:val="2FC74F57"/>
    <w:rsid w:val="2FCB8F4A"/>
    <w:rsid w:val="2FD2BEB1"/>
    <w:rsid w:val="300D3C2D"/>
    <w:rsid w:val="3018F791"/>
    <w:rsid w:val="302DFBA6"/>
    <w:rsid w:val="30667D1B"/>
    <w:rsid w:val="30688E5E"/>
    <w:rsid w:val="30A1FBFB"/>
    <w:rsid w:val="30C961C4"/>
    <w:rsid w:val="30D1F571"/>
    <w:rsid w:val="30F4299F"/>
    <w:rsid w:val="30FBF6FF"/>
    <w:rsid w:val="310ECAFC"/>
    <w:rsid w:val="311805E2"/>
    <w:rsid w:val="312C3C72"/>
    <w:rsid w:val="31516C26"/>
    <w:rsid w:val="31CB21C8"/>
    <w:rsid w:val="31E44219"/>
    <w:rsid w:val="31F0CBEE"/>
    <w:rsid w:val="31FBB670"/>
    <w:rsid w:val="3240212E"/>
    <w:rsid w:val="32445821"/>
    <w:rsid w:val="32650A0D"/>
    <w:rsid w:val="326ED573"/>
    <w:rsid w:val="32A20681"/>
    <w:rsid w:val="32DD22F6"/>
    <w:rsid w:val="32E595E6"/>
    <w:rsid w:val="33061356"/>
    <w:rsid w:val="33268A8E"/>
    <w:rsid w:val="3329A1C9"/>
    <w:rsid w:val="332DBC6F"/>
    <w:rsid w:val="334792B5"/>
    <w:rsid w:val="3347C254"/>
    <w:rsid w:val="334BA987"/>
    <w:rsid w:val="335741F7"/>
    <w:rsid w:val="33611C87"/>
    <w:rsid w:val="336915AA"/>
    <w:rsid w:val="336A58C5"/>
    <w:rsid w:val="3377AC20"/>
    <w:rsid w:val="3379DDD0"/>
    <w:rsid w:val="33D7C526"/>
    <w:rsid w:val="33DC1A65"/>
    <w:rsid w:val="33E99791"/>
    <w:rsid w:val="33FF4652"/>
    <w:rsid w:val="340D322E"/>
    <w:rsid w:val="34237834"/>
    <w:rsid w:val="342498AA"/>
    <w:rsid w:val="342BAB36"/>
    <w:rsid w:val="342EFC27"/>
    <w:rsid w:val="3436ADDC"/>
    <w:rsid w:val="34402366"/>
    <w:rsid w:val="347F269F"/>
    <w:rsid w:val="3485835C"/>
    <w:rsid w:val="34C6FDAE"/>
    <w:rsid w:val="34F4BB7E"/>
    <w:rsid w:val="350378AD"/>
    <w:rsid w:val="351A3EB1"/>
    <w:rsid w:val="351D9516"/>
    <w:rsid w:val="3539E53E"/>
    <w:rsid w:val="3542122F"/>
    <w:rsid w:val="3543B737"/>
    <w:rsid w:val="3547C579"/>
    <w:rsid w:val="35557518"/>
    <w:rsid w:val="356EA675"/>
    <w:rsid w:val="35D9E55E"/>
    <w:rsid w:val="36067809"/>
    <w:rsid w:val="36139AE3"/>
    <w:rsid w:val="361E091A"/>
    <w:rsid w:val="3630C468"/>
    <w:rsid w:val="363C3194"/>
    <w:rsid w:val="36714F6D"/>
    <w:rsid w:val="368309E1"/>
    <w:rsid w:val="369E4CEF"/>
    <w:rsid w:val="36A194E0"/>
    <w:rsid w:val="3728C037"/>
    <w:rsid w:val="372ED384"/>
    <w:rsid w:val="37558AE8"/>
    <w:rsid w:val="37632328"/>
    <w:rsid w:val="3766066C"/>
    <w:rsid w:val="376AADE6"/>
    <w:rsid w:val="37898AE4"/>
    <w:rsid w:val="3799E9C2"/>
    <w:rsid w:val="37A3747C"/>
    <w:rsid w:val="37F77B33"/>
    <w:rsid w:val="37FEFA17"/>
    <w:rsid w:val="3813FE2C"/>
    <w:rsid w:val="381BEA1A"/>
    <w:rsid w:val="3875961F"/>
    <w:rsid w:val="3878439B"/>
    <w:rsid w:val="3878DA76"/>
    <w:rsid w:val="38AF5C00"/>
    <w:rsid w:val="38B32158"/>
    <w:rsid w:val="38D23EC0"/>
    <w:rsid w:val="38EB790A"/>
    <w:rsid w:val="39227082"/>
    <w:rsid w:val="3942062E"/>
    <w:rsid w:val="396F04E6"/>
    <w:rsid w:val="39978EB1"/>
    <w:rsid w:val="39CE7101"/>
    <w:rsid w:val="39DBA549"/>
    <w:rsid w:val="39DF512D"/>
    <w:rsid w:val="39EFDF5C"/>
    <w:rsid w:val="3A3D166A"/>
    <w:rsid w:val="3A504A5B"/>
    <w:rsid w:val="3A821900"/>
    <w:rsid w:val="3A9F2401"/>
    <w:rsid w:val="3AA6F349"/>
    <w:rsid w:val="3AB0FD4A"/>
    <w:rsid w:val="3AC323E4"/>
    <w:rsid w:val="3ADD404D"/>
    <w:rsid w:val="3B1DE11E"/>
    <w:rsid w:val="3B2D5B33"/>
    <w:rsid w:val="3B3815C4"/>
    <w:rsid w:val="3B391E5E"/>
    <w:rsid w:val="3B418956"/>
    <w:rsid w:val="3B4A6F61"/>
    <w:rsid w:val="3B526C3E"/>
    <w:rsid w:val="3B52B158"/>
    <w:rsid w:val="3B6A46B3"/>
    <w:rsid w:val="3B8544BB"/>
    <w:rsid w:val="3B945F04"/>
    <w:rsid w:val="3BBF2EC0"/>
    <w:rsid w:val="3BBFFA3F"/>
    <w:rsid w:val="3BCF5111"/>
    <w:rsid w:val="3BDBE523"/>
    <w:rsid w:val="3BE35A06"/>
    <w:rsid w:val="3BEB0796"/>
    <w:rsid w:val="3BFC9DCB"/>
    <w:rsid w:val="3C02240F"/>
    <w:rsid w:val="3C107D34"/>
    <w:rsid w:val="3C28A972"/>
    <w:rsid w:val="3C4ED5C7"/>
    <w:rsid w:val="3C51A2D2"/>
    <w:rsid w:val="3C55444F"/>
    <w:rsid w:val="3CDFE76B"/>
    <w:rsid w:val="3D040D11"/>
    <w:rsid w:val="3D13E767"/>
    <w:rsid w:val="3D40D23E"/>
    <w:rsid w:val="3DA064FB"/>
    <w:rsid w:val="3DBE9B52"/>
    <w:rsid w:val="3DC3A777"/>
    <w:rsid w:val="3DD1E3F6"/>
    <w:rsid w:val="3DD3BBC5"/>
    <w:rsid w:val="3DEB9F0D"/>
    <w:rsid w:val="3E01CB3D"/>
    <w:rsid w:val="3E9D6417"/>
    <w:rsid w:val="3EB72D01"/>
    <w:rsid w:val="3EB7BB1A"/>
    <w:rsid w:val="3ECF9DC0"/>
    <w:rsid w:val="3EFEBE3E"/>
    <w:rsid w:val="3F1EF9A5"/>
    <w:rsid w:val="3F2BB2C0"/>
    <w:rsid w:val="3F32B53A"/>
    <w:rsid w:val="3F37ABE2"/>
    <w:rsid w:val="3F62FAAD"/>
    <w:rsid w:val="3F73BCB4"/>
    <w:rsid w:val="3F7734CE"/>
    <w:rsid w:val="3FA52F15"/>
    <w:rsid w:val="3FA8603E"/>
    <w:rsid w:val="3FB12948"/>
    <w:rsid w:val="3FDA5852"/>
    <w:rsid w:val="40035728"/>
    <w:rsid w:val="4003ABD5"/>
    <w:rsid w:val="4004C405"/>
    <w:rsid w:val="400A13C6"/>
    <w:rsid w:val="401E2600"/>
    <w:rsid w:val="40200BC7"/>
    <w:rsid w:val="4026227B"/>
    <w:rsid w:val="4036ADD7"/>
    <w:rsid w:val="40536209"/>
    <w:rsid w:val="40631CEF"/>
    <w:rsid w:val="40709920"/>
    <w:rsid w:val="407636D8"/>
    <w:rsid w:val="407B68F5"/>
    <w:rsid w:val="407F7DD0"/>
    <w:rsid w:val="409EA184"/>
    <w:rsid w:val="40C2E971"/>
    <w:rsid w:val="40F63C14"/>
    <w:rsid w:val="40FA20B5"/>
    <w:rsid w:val="40FAB0C1"/>
    <w:rsid w:val="411CCBC3"/>
    <w:rsid w:val="4123D4D2"/>
    <w:rsid w:val="413E3F3D"/>
    <w:rsid w:val="41569B03"/>
    <w:rsid w:val="41BC4B33"/>
    <w:rsid w:val="41DBFF55"/>
    <w:rsid w:val="41E088E1"/>
    <w:rsid w:val="421D0C9D"/>
    <w:rsid w:val="4239CBAA"/>
    <w:rsid w:val="42460640"/>
    <w:rsid w:val="424BA428"/>
    <w:rsid w:val="426C4E3A"/>
    <w:rsid w:val="42714668"/>
    <w:rsid w:val="427E7D1D"/>
    <w:rsid w:val="428808D2"/>
    <w:rsid w:val="42AB5D76"/>
    <w:rsid w:val="42B726CB"/>
    <w:rsid w:val="42C324E4"/>
    <w:rsid w:val="42C7344A"/>
    <w:rsid w:val="42DDA320"/>
    <w:rsid w:val="42F03128"/>
    <w:rsid w:val="4318DC84"/>
    <w:rsid w:val="43838D92"/>
    <w:rsid w:val="438981DF"/>
    <w:rsid w:val="439B86FF"/>
    <w:rsid w:val="43AD5005"/>
    <w:rsid w:val="43CD2E33"/>
    <w:rsid w:val="4403E940"/>
    <w:rsid w:val="44344E67"/>
    <w:rsid w:val="444F82E2"/>
    <w:rsid w:val="44711854"/>
    <w:rsid w:val="448F1F5F"/>
    <w:rsid w:val="44C059AE"/>
    <w:rsid w:val="44CA8DEE"/>
    <w:rsid w:val="44DA872A"/>
    <w:rsid w:val="44DE745B"/>
    <w:rsid w:val="44E06B41"/>
    <w:rsid w:val="44ED5730"/>
    <w:rsid w:val="44EEA004"/>
    <w:rsid w:val="44F05625"/>
    <w:rsid w:val="45029716"/>
    <w:rsid w:val="451AAFD8"/>
    <w:rsid w:val="4538BBAC"/>
    <w:rsid w:val="45693E81"/>
    <w:rsid w:val="458953CB"/>
    <w:rsid w:val="458FDF90"/>
    <w:rsid w:val="45AB97A3"/>
    <w:rsid w:val="45AE76D0"/>
    <w:rsid w:val="45B24AA6"/>
    <w:rsid w:val="45CFB57B"/>
    <w:rsid w:val="45DB8A7D"/>
    <w:rsid w:val="45E3D0B8"/>
    <w:rsid w:val="45F0C163"/>
    <w:rsid w:val="46144FD6"/>
    <w:rsid w:val="4622B57B"/>
    <w:rsid w:val="46243F17"/>
    <w:rsid w:val="462F4838"/>
    <w:rsid w:val="46399FC8"/>
    <w:rsid w:val="464ABC67"/>
    <w:rsid w:val="4652D878"/>
    <w:rsid w:val="4663BAF3"/>
    <w:rsid w:val="4679C435"/>
    <w:rsid w:val="4690B875"/>
    <w:rsid w:val="46A9A7B0"/>
    <w:rsid w:val="46B135E5"/>
    <w:rsid w:val="46D4F68A"/>
    <w:rsid w:val="46F62CD4"/>
    <w:rsid w:val="46FBF7B2"/>
    <w:rsid w:val="4711EF7F"/>
    <w:rsid w:val="47123018"/>
    <w:rsid w:val="4729C0F1"/>
    <w:rsid w:val="472C0293"/>
    <w:rsid w:val="4732C18E"/>
    <w:rsid w:val="473302A9"/>
    <w:rsid w:val="473D2FA7"/>
    <w:rsid w:val="474C0C9E"/>
    <w:rsid w:val="47931D89"/>
    <w:rsid w:val="479422A8"/>
    <w:rsid w:val="47982EAA"/>
    <w:rsid w:val="47AEA26C"/>
    <w:rsid w:val="47B1F050"/>
    <w:rsid w:val="47B6537F"/>
    <w:rsid w:val="47C1DA40"/>
    <w:rsid w:val="4802BC67"/>
    <w:rsid w:val="483BA1AC"/>
    <w:rsid w:val="48457503"/>
    <w:rsid w:val="485072F0"/>
    <w:rsid w:val="485BD402"/>
    <w:rsid w:val="485E9D60"/>
    <w:rsid w:val="487E974F"/>
    <w:rsid w:val="48801198"/>
    <w:rsid w:val="4894A293"/>
    <w:rsid w:val="48B5A36B"/>
    <w:rsid w:val="48C36907"/>
    <w:rsid w:val="48DF8BCD"/>
    <w:rsid w:val="48E6E0E0"/>
    <w:rsid w:val="48E7FD25"/>
    <w:rsid w:val="48F44A66"/>
    <w:rsid w:val="49139AA0"/>
    <w:rsid w:val="494D494B"/>
    <w:rsid w:val="4958D551"/>
    <w:rsid w:val="49AD8A2B"/>
    <w:rsid w:val="49C1885C"/>
    <w:rsid w:val="49E2F600"/>
    <w:rsid w:val="49ED99EB"/>
    <w:rsid w:val="4A356920"/>
    <w:rsid w:val="4A48F8C9"/>
    <w:rsid w:val="4A4A3A64"/>
    <w:rsid w:val="4A4FB75F"/>
    <w:rsid w:val="4A55B050"/>
    <w:rsid w:val="4A967013"/>
    <w:rsid w:val="4A9D3251"/>
    <w:rsid w:val="4AA194BB"/>
    <w:rsid w:val="4AAEB2A4"/>
    <w:rsid w:val="4ABC77D1"/>
    <w:rsid w:val="4AC24566"/>
    <w:rsid w:val="4AC9D3E8"/>
    <w:rsid w:val="4ACEEA98"/>
    <w:rsid w:val="4AE9A824"/>
    <w:rsid w:val="4B0D3697"/>
    <w:rsid w:val="4B32AC35"/>
    <w:rsid w:val="4B3AC718"/>
    <w:rsid w:val="4B433483"/>
    <w:rsid w:val="4B66737F"/>
    <w:rsid w:val="4B69AFEA"/>
    <w:rsid w:val="4B7AB844"/>
    <w:rsid w:val="4BAD11FE"/>
    <w:rsid w:val="4BADBA1F"/>
    <w:rsid w:val="4BCD6830"/>
    <w:rsid w:val="4BE3A348"/>
    <w:rsid w:val="4BF69B79"/>
    <w:rsid w:val="4C359FB3"/>
    <w:rsid w:val="4C395E59"/>
    <w:rsid w:val="4C3F9327"/>
    <w:rsid w:val="4C436FB8"/>
    <w:rsid w:val="4C44F35F"/>
    <w:rsid w:val="4C4C44F5"/>
    <w:rsid w:val="4C6751C2"/>
    <w:rsid w:val="4C7A96A2"/>
    <w:rsid w:val="4C7AB4DA"/>
    <w:rsid w:val="4C7D8067"/>
    <w:rsid w:val="4C8C0D4A"/>
    <w:rsid w:val="4C961BE4"/>
    <w:rsid w:val="4CB50EBD"/>
    <w:rsid w:val="4CBB34A5"/>
    <w:rsid w:val="4CE142F1"/>
    <w:rsid w:val="4CEB7D26"/>
    <w:rsid w:val="4CF479F1"/>
    <w:rsid w:val="4D138951"/>
    <w:rsid w:val="4D18E626"/>
    <w:rsid w:val="4D2D2916"/>
    <w:rsid w:val="4D33E8E2"/>
    <w:rsid w:val="4D4E51DF"/>
    <w:rsid w:val="4D52708A"/>
    <w:rsid w:val="4D6DD330"/>
    <w:rsid w:val="4E1ECA43"/>
    <w:rsid w:val="4E212E57"/>
    <w:rsid w:val="4E3D7938"/>
    <w:rsid w:val="4E3FFFEE"/>
    <w:rsid w:val="4E820185"/>
    <w:rsid w:val="4E916B15"/>
    <w:rsid w:val="4E9368F5"/>
    <w:rsid w:val="4E9CF04A"/>
    <w:rsid w:val="4E9F2459"/>
    <w:rsid w:val="4EA139CA"/>
    <w:rsid w:val="4EB63452"/>
    <w:rsid w:val="4EC53FCB"/>
    <w:rsid w:val="4ECD0A2E"/>
    <w:rsid w:val="4ECE5782"/>
    <w:rsid w:val="4F0010C4"/>
    <w:rsid w:val="4F12A266"/>
    <w:rsid w:val="4F14CB51"/>
    <w:rsid w:val="4F636208"/>
    <w:rsid w:val="4F882E3F"/>
    <w:rsid w:val="4FBF6AF5"/>
    <w:rsid w:val="4FC71AB6"/>
    <w:rsid w:val="4FCDFDCB"/>
    <w:rsid w:val="4FD496E7"/>
    <w:rsid w:val="4FE90F17"/>
    <w:rsid w:val="5019B8C5"/>
    <w:rsid w:val="5046A183"/>
    <w:rsid w:val="507BD06F"/>
    <w:rsid w:val="5088D5EB"/>
    <w:rsid w:val="50900B36"/>
    <w:rsid w:val="50B36888"/>
    <w:rsid w:val="50B672AF"/>
    <w:rsid w:val="50BAFCD4"/>
    <w:rsid w:val="50E9ADBD"/>
    <w:rsid w:val="51054798"/>
    <w:rsid w:val="51467FE1"/>
    <w:rsid w:val="5147B7D1"/>
    <w:rsid w:val="518ECE46"/>
    <w:rsid w:val="519B38E7"/>
    <w:rsid w:val="519F2C7B"/>
    <w:rsid w:val="51A4D8E3"/>
    <w:rsid w:val="51A674FE"/>
    <w:rsid w:val="51ACAB8D"/>
    <w:rsid w:val="51AD2C30"/>
    <w:rsid w:val="51BAA861"/>
    <w:rsid w:val="51D5FC6A"/>
    <w:rsid w:val="51E6361E"/>
    <w:rsid w:val="520022D1"/>
    <w:rsid w:val="52071438"/>
    <w:rsid w:val="5212E60B"/>
    <w:rsid w:val="521446D1"/>
    <w:rsid w:val="5222DF47"/>
    <w:rsid w:val="522D2417"/>
    <w:rsid w:val="5235AF4D"/>
    <w:rsid w:val="524947A5"/>
    <w:rsid w:val="5256329C"/>
    <w:rsid w:val="52743622"/>
    <w:rsid w:val="52ABB0E0"/>
    <w:rsid w:val="52C8E5A6"/>
    <w:rsid w:val="52C9D16B"/>
    <w:rsid w:val="52D1ABE8"/>
    <w:rsid w:val="52E9A555"/>
    <w:rsid w:val="53216229"/>
    <w:rsid w:val="5337F56D"/>
    <w:rsid w:val="5338B3DE"/>
    <w:rsid w:val="535611EA"/>
    <w:rsid w:val="536C9734"/>
    <w:rsid w:val="537227C3"/>
    <w:rsid w:val="5377A055"/>
    <w:rsid w:val="537AE846"/>
    <w:rsid w:val="539994B6"/>
    <w:rsid w:val="53D80B73"/>
    <w:rsid w:val="53E96E3C"/>
    <w:rsid w:val="53F41202"/>
    <w:rsid w:val="54057D00"/>
    <w:rsid w:val="54381BC7"/>
    <w:rsid w:val="543C50E2"/>
    <w:rsid w:val="544303E5"/>
    <w:rsid w:val="545154F7"/>
    <w:rsid w:val="54B4F856"/>
    <w:rsid w:val="54BEF2AD"/>
    <w:rsid w:val="54D67DC1"/>
    <w:rsid w:val="5502BFF2"/>
    <w:rsid w:val="55094671"/>
    <w:rsid w:val="55386F02"/>
    <w:rsid w:val="553C7324"/>
    <w:rsid w:val="5559B64D"/>
    <w:rsid w:val="557C9A72"/>
    <w:rsid w:val="559FC289"/>
    <w:rsid w:val="55A3EA59"/>
    <w:rsid w:val="55B90499"/>
    <w:rsid w:val="55CAE0E3"/>
    <w:rsid w:val="55EE8EE3"/>
    <w:rsid w:val="55FE2E59"/>
    <w:rsid w:val="56010F88"/>
    <w:rsid w:val="5627E3EA"/>
    <w:rsid w:val="562F38FD"/>
    <w:rsid w:val="564FD1B2"/>
    <w:rsid w:val="567BB7D0"/>
    <w:rsid w:val="567F72B7"/>
    <w:rsid w:val="56804F29"/>
    <w:rsid w:val="568559B0"/>
    <w:rsid w:val="568BE575"/>
    <w:rsid w:val="568ECF3A"/>
    <w:rsid w:val="56B651A9"/>
    <w:rsid w:val="56BC6ECC"/>
    <w:rsid w:val="56C1D36B"/>
    <w:rsid w:val="56FF073E"/>
    <w:rsid w:val="57028E73"/>
    <w:rsid w:val="571106C3"/>
    <w:rsid w:val="57385201"/>
    <w:rsid w:val="574537B5"/>
    <w:rsid w:val="5781122E"/>
    <w:rsid w:val="578FF7F4"/>
    <w:rsid w:val="57908567"/>
    <w:rsid w:val="5792396D"/>
    <w:rsid w:val="57B58E94"/>
    <w:rsid w:val="57CCD721"/>
    <w:rsid w:val="57E5BD3F"/>
    <w:rsid w:val="5839F93F"/>
    <w:rsid w:val="583F7C72"/>
    <w:rsid w:val="58438994"/>
    <w:rsid w:val="584F8EEB"/>
    <w:rsid w:val="58558EB4"/>
    <w:rsid w:val="5862B07E"/>
    <w:rsid w:val="58760C24"/>
    <w:rsid w:val="589A85A3"/>
    <w:rsid w:val="58A29927"/>
    <w:rsid w:val="58DAF3A3"/>
    <w:rsid w:val="58ECF8C3"/>
    <w:rsid w:val="58EF29AE"/>
    <w:rsid w:val="591D0B65"/>
    <w:rsid w:val="594A3BB8"/>
    <w:rsid w:val="596DCA2B"/>
    <w:rsid w:val="598E479B"/>
    <w:rsid w:val="59B2C11A"/>
    <w:rsid w:val="59C1C122"/>
    <w:rsid w:val="59C41DAF"/>
    <w:rsid w:val="59D45C67"/>
    <w:rsid w:val="59D8B8BA"/>
    <w:rsid w:val="59DE5DD6"/>
    <w:rsid w:val="59EC2303"/>
    <w:rsid w:val="59F3AAE7"/>
    <w:rsid w:val="5A090EAC"/>
    <w:rsid w:val="5A0DA592"/>
    <w:rsid w:val="5A24B58B"/>
    <w:rsid w:val="5A65EC79"/>
    <w:rsid w:val="5A6FD398"/>
    <w:rsid w:val="5A72AD1E"/>
    <w:rsid w:val="5A7AA36D"/>
    <w:rsid w:val="5A8B792C"/>
    <w:rsid w:val="5A99F1ED"/>
    <w:rsid w:val="5AA96F21"/>
    <w:rsid w:val="5AB62B4D"/>
    <w:rsid w:val="5AC31B99"/>
    <w:rsid w:val="5AC4CE25"/>
    <w:rsid w:val="5AFC3E81"/>
    <w:rsid w:val="5B01A0A9"/>
    <w:rsid w:val="5B07C274"/>
    <w:rsid w:val="5B79B6E5"/>
    <w:rsid w:val="5BB13814"/>
    <w:rsid w:val="5BBB85AB"/>
    <w:rsid w:val="5BCDA8AA"/>
    <w:rsid w:val="5BDF90B6"/>
    <w:rsid w:val="5BE1360E"/>
    <w:rsid w:val="5BE54867"/>
    <w:rsid w:val="5BEA51A8"/>
    <w:rsid w:val="5BFE8C6F"/>
    <w:rsid w:val="5C12A89C"/>
    <w:rsid w:val="5C154ED9"/>
    <w:rsid w:val="5C1C0540"/>
    <w:rsid w:val="5C2C422C"/>
    <w:rsid w:val="5C320D6F"/>
    <w:rsid w:val="5C47362B"/>
    <w:rsid w:val="5C4CFB6D"/>
    <w:rsid w:val="5C4D54AA"/>
    <w:rsid w:val="5C57FB2F"/>
    <w:rsid w:val="5C60C792"/>
    <w:rsid w:val="5C8369D9"/>
    <w:rsid w:val="5CB577CF"/>
    <w:rsid w:val="5CBDF486"/>
    <w:rsid w:val="5CC70426"/>
    <w:rsid w:val="5D1643CD"/>
    <w:rsid w:val="5D1E4390"/>
    <w:rsid w:val="5D364937"/>
    <w:rsid w:val="5D499372"/>
    <w:rsid w:val="5D4B2022"/>
    <w:rsid w:val="5D916080"/>
    <w:rsid w:val="5D95DF74"/>
    <w:rsid w:val="5D9BBD96"/>
    <w:rsid w:val="5DA2CB87"/>
    <w:rsid w:val="5DABF8D0"/>
    <w:rsid w:val="5DDD2B0E"/>
    <w:rsid w:val="5DEFC75A"/>
    <w:rsid w:val="5DFD95AC"/>
    <w:rsid w:val="5E004551"/>
    <w:rsid w:val="5E0ADCD5"/>
    <w:rsid w:val="5E143DCC"/>
    <w:rsid w:val="5E43554A"/>
    <w:rsid w:val="5E724072"/>
    <w:rsid w:val="5E8C268A"/>
    <w:rsid w:val="5EB0C02F"/>
    <w:rsid w:val="5EB3A299"/>
    <w:rsid w:val="5EC75113"/>
    <w:rsid w:val="5EED30EA"/>
    <w:rsid w:val="5F13DBBB"/>
    <w:rsid w:val="5F17B7EF"/>
    <w:rsid w:val="5F2186BD"/>
    <w:rsid w:val="5F3D1D9D"/>
    <w:rsid w:val="5F3F0EC3"/>
    <w:rsid w:val="5F563BB6"/>
    <w:rsid w:val="5F87C35D"/>
    <w:rsid w:val="5FB02E53"/>
    <w:rsid w:val="5FB03D56"/>
    <w:rsid w:val="5FB1851E"/>
    <w:rsid w:val="5FBC8E3F"/>
    <w:rsid w:val="5FD7B985"/>
    <w:rsid w:val="5FECB3EA"/>
    <w:rsid w:val="6001852E"/>
    <w:rsid w:val="60078FA6"/>
    <w:rsid w:val="60092D38"/>
    <w:rsid w:val="6029DA8C"/>
    <w:rsid w:val="6049F6DF"/>
    <w:rsid w:val="6067ED99"/>
    <w:rsid w:val="6069455F"/>
    <w:rsid w:val="60813ECC"/>
    <w:rsid w:val="60A6F03B"/>
    <w:rsid w:val="60CEFA2C"/>
    <w:rsid w:val="60FEF69B"/>
    <w:rsid w:val="611D6E38"/>
    <w:rsid w:val="612660DD"/>
    <w:rsid w:val="613C6A1F"/>
    <w:rsid w:val="61655A7F"/>
    <w:rsid w:val="616967A1"/>
    <w:rsid w:val="6171D8F9"/>
    <w:rsid w:val="617385BC"/>
    <w:rsid w:val="61ADE7DB"/>
    <w:rsid w:val="61B69EAF"/>
    <w:rsid w:val="61C67882"/>
    <w:rsid w:val="61CC24AD"/>
    <w:rsid w:val="61E186AD"/>
    <w:rsid w:val="61F66EB5"/>
    <w:rsid w:val="62074ACA"/>
    <w:rsid w:val="62081418"/>
    <w:rsid w:val="6221B3C7"/>
    <w:rsid w:val="623F5D9D"/>
    <w:rsid w:val="624517AD"/>
    <w:rsid w:val="625B6B54"/>
    <w:rsid w:val="62650474"/>
    <w:rsid w:val="626573B3"/>
    <w:rsid w:val="626E2ABA"/>
    <w:rsid w:val="62EB33AC"/>
    <w:rsid w:val="62F09C60"/>
    <w:rsid w:val="6309B6AD"/>
    <w:rsid w:val="630B7E4B"/>
    <w:rsid w:val="631F8641"/>
    <w:rsid w:val="63433E85"/>
    <w:rsid w:val="635A789C"/>
    <w:rsid w:val="635E4D12"/>
    <w:rsid w:val="63705C86"/>
    <w:rsid w:val="6378CFFA"/>
    <w:rsid w:val="637BDDEF"/>
    <w:rsid w:val="6395B1A5"/>
    <w:rsid w:val="63B65FCA"/>
    <w:rsid w:val="63CE4212"/>
    <w:rsid w:val="63D0B838"/>
    <w:rsid w:val="63D360B5"/>
    <w:rsid w:val="63E23078"/>
    <w:rsid w:val="63E48D5D"/>
    <w:rsid w:val="63EC71F2"/>
    <w:rsid w:val="63F2020E"/>
    <w:rsid w:val="6415CFF5"/>
    <w:rsid w:val="643991D7"/>
    <w:rsid w:val="64782A95"/>
    <w:rsid w:val="647FE0D0"/>
    <w:rsid w:val="6491146A"/>
    <w:rsid w:val="6492CF0E"/>
    <w:rsid w:val="64A05E40"/>
    <w:rsid w:val="64A4F9E8"/>
    <w:rsid w:val="64CB56FB"/>
    <w:rsid w:val="64D91055"/>
    <w:rsid w:val="65122006"/>
    <w:rsid w:val="6516F882"/>
    <w:rsid w:val="6542B11F"/>
    <w:rsid w:val="656F70EA"/>
    <w:rsid w:val="65720DFB"/>
    <w:rsid w:val="65921EFA"/>
    <w:rsid w:val="65B7D069"/>
    <w:rsid w:val="65BE6441"/>
    <w:rsid w:val="65C35C6F"/>
    <w:rsid w:val="65F2CD01"/>
    <w:rsid w:val="66158A13"/>
    <w:rsid w:val="66182C74"/>
    <w:rsid w:val="661B8082"/>
    <w:rsid w:val="667A262E"/>
    <w:rsid w:val="668B47C2"/>
    <w:rsid w:val="669ABAFB"/>
    <w:rsid w:val="66B49F28"/>
    <w:rsid w:val="66BF9157"/>
    <w:rsid w:val="66BFC428"/>
    <w:rsid w:val="66E33178"/>
    <w:rsid w:val="66ED9D06"/>
    <w:rsid w:val="66F9D989"/>
    <w:rsid w:val="66FF660C"/>
    <w:rsid w:val="67053292"/>
    <w:rsid w:val="6737F032"/>
    <w:rsid w:val="673C0304"/>
    <w:rsid w:val="6775725C"/>
    <w:rsid w:val="67924804"/>
    <w:rsid w:val="67A9E4C3"/>
    <w:rsid w:val="67AA7A2B"/>
    <w:rsid w:val="67AC104A"/>
    <w:rsid w:val="67E24A0A"/>
    <w:rsid w:val="67EFF90C"/>
    <w:rsid w:val="67FA4377"/>
    <w:rsid w:val="6804323B"/>
    <w:rsid w:val="68205857"/>
    <w:rsid w:val="68265DC4"/>
    <w:rsid w:val="683746B5"/>
    <w:rsid w:val="68543E7B"/>
    <w:rsid w:val="685D63F1"/>
    <w:rsid w:val="687DF40C"/>
    <w:rsid w:val="68C2A57F"/>
    <w:rsid w:val="68C85C10"/>
    <w:rsid w:val="68CEF9A9"/>
    <w:rsid w:val="68DB69D2"/>
    <w:rsid w:val="68DEFE6C"/>
    <w:rsid w:val="68FC55E4"/>
    <w:rsid w:val="690B5CAC"/>
    <w:rsid w:val="6915A717"/>
    <w:rsid w:val="6928B5F2"/>
    <w:rsid w:val="694014E3"/>
    <w:rsid w:val="6942A499"/>
    <w:rsid w:val="696665DD"/>
    <w:rsid w:val="69815E3F"/>
    <w:rsid w:val="69A29DE5"/>
    <w:rsid w:val="69B1D683"/>
    <w:rsid w:val="69D6AB08"/>
    <w:rsid w:val="6A18C84E"/>
    <w:rsid w:val="6A2E155F"/>
    <w:rsid w:val="6A39D7A0"/>
    <w:rsid w:val="6A40B7E2"/>
    <w:rsid w:val="6A57CAF0"/>
    <w:rsid w:val="6A5ED263"/>
    <w:rsid w:val="6A69D010"/>
    <w:rsid w:val="6A8F45AE"/>
    <w:rsid w:val="6A9006E9"/>
    <w:rsid w:val="6A9E22A5"/>
    <w:rsid w:val="6AAA3E10"/>
    <w:rsid w:val="6AAA8233"/>
    <w:rsid w:val="6AAFEBAB"/>
    <w:rsid w:val="6AB9671D"/>
    <w:rsid w:val="6AE17352"/>
    <w:rsid w:val="6B0B11EE"/>
    <w:rsid w:val="6B478CDE"/>
    <w:rsid w:val="6B6D7C0C"/>
    <w:rsid w:val="6B8B7A96"/>
    <w:rsid w:val="6BA288F7"/>
    <w:rsid w:val="6BB8DC22"/>
    <w:rsid w:val="6BBB07CE"/>
    <w:rsid w:val="6BCCA1AA"/>
    <w:rsid w:val="6BCE2671"/>
    <w:rsid w:val="6BDBEA81"/>
    <w:rsid w:val="6BEFC005"/>
    <w:rsid w:val="6BFF0C99"/>
    <w:rsid w:val="6C02FD1B"/>
    <w:rsid w:val="6C07B972"/>
    <w:rsid w:val="6C1C4108"/>
    <w:rsid w:val="6C31A1D4"/>
    <w:rsid w:val="6C50CAA8"/>
    <w:rsid w:val="6CA2F5E8"/>
    <w:rsid w:val="6CA3E8DE"/>
    <w:rsid w:val="6CAAEB58"/>
    <w:rsid w:val="6CBB4A36"/>
    <w:rsid w:val="6CCC3E3B"/>
    <w:rsid w:val="6CD7E8DA"/>
    <w:rsid w:val="6CDA013E"/>
    <w:rsid w:val="6D37EE56"/>
    <w:rsid w:val="6D490B8A"/>
    <w:rsid w:val="6D5434DB"/>
    <w:rsid w:val="6D599BE9"/>
    <w:rsid w:val="6D65F7A0"/>
    <w:rsid w:val="6D7554C7"/>
    <w:rsid w:val="6D834834"/>
    <w:rsid w:val="6DBF4C7E"/>
    <w:rsid w:val="6DC2B599"/>
    <w:rsid w:val="6DE6F4F5"/>
    <w:rsid w:val="6E057F61"/>
    <w:rsid w:val="6E12CDCB"/>
    <w:rsid w:val="6E275E28"/>
    <w:rsid w:val="6E493A5C"/>
    <w:rsid w:val="6E783A17"/>
    <w:rsid w:val="6E84C23C"/>
    <w:rsid w:val="6E8A3E3C"/>
    <w:rsid w:val="6EB7F210"/>
    <w:rsid w:val="6EC283E0"/>
    <w:rsid w:val="6ECCCE4B"/>
    <w:rsid w:val="6EDF73E3"/>
    <w:rsid w:val="6EE20531"/>
    <w:rsid w:val="6EEDBC23"/>
    <w:rsid w:val="6EEF8162"/>
    <w:rsid w:val="6F2E0084"/>
    <w:rsid w:val="6F2E3DC4"/>
    <w:rsid w:val="6F2F2346"/>
    <w:rsid w:val="6F35B94F"/>
    <w:rsid w:val="6F3C0035"/>
    <w:rsid w:val="6F8569D3"/>
    <w:rsid w:val="6F9499D6"/>
    <w:rsid w:val="6FC4AE50"/>
    <w:rsid w:val="6FC629E4"/>
    <w:rsid w:val="6FDB8044"/>
    <w:rsid w:val="6FE831EB"/>
    <w:rsid w:val="7005A0D8"/>
    <w:rsid w:val="702F7EAE"/>
    <w:rsid w:val="7052419B"/>
    <w:rsid w:val="70888046"/>
    <w:rsid w:val="708B96A2"/>
    <w:rsid w:val="70A0963E"/>
    <w:rsid w:val="70B60884"/>
    <w:rsid w:val="70C2E980"/>
    <w:rsid w:val="70EB9C1E"/>
    <w:rsid w:val="7111805E"/>
    <w:rsid w:val="71258623"/>
    <w:rsid w:val="7157736C"/>
    <w:rsid w:val="71647663"/>
    <w:rsid w:val="7183746C"/>
    <w:rsid w:val="718BF8D2"/>
    <w:rsid w:val="71941B09"/>
    <w:rsid w:val="71C3241F"/>
    <w:rsid w:val="71D4178C"/>
    <w:rsid w:val="71D5C268"/>
    <w:rsid w:val="71D9432C"/>
    <w:rsid w:val="71DA15D4"/>
    <w:rsid w:val="71EFF86F"/>
    <w:rsid w:val="72025F17"/>
    <w:rsid w:val="72084A59"/>
    <w:rsid w:val="720D2FDC"/>
    <w:rsid w:val="724B2C05"/>
    <w:rsid w:val="724CD3C4"/>
    <w:rsid w:val="7264B86D"/>
    <w:rsid w:val="728B35BD"/>
    <w:rsid w:val="728CA07E"/>
    <w:rsid w:val="72A9AF5C"/>
    <w:rsid w:val="72BF87B5"/>
    <w:rsid w:val="72CC25A6"/>
    <w:rsid w:val="72F40E34"/>
    <w:rsid w:val="73125DB8"/>
    <w:rsid w:val="7331A49D"/>
    <w:rsid w:val="7335442E"/>
    <w:rsid w:val="73696623"/>
    <w:rsid w:val="73E2213D"/>
    <w:rsid w:val="741429E4"/>
    <w:rsid w:val="744CE063"/>
    <w:rsid w:val="7494A260"/>
    <w:rsid w:val="7496F75A"/>
    <w:rsid w:val="7533CCC1"/>
    <w:rsid w:val="7552F8F4"/>
    <w:rsid w:val="75665CD8"/>
    <w:rsid w:val="756CF3D1"/>
    <w:rsid w:val="7574F54E"/>
    <w:rsid w:val="759C001B"/>
    <w:rsid w:val="75F671D4"/>
    <w:rsid w:val="761EC9C1"/>
    <w:rsid w:val="76275689"/>
    <w:rsid w:val="762D3779"/>
    <w:rsid w:val="762D6AE6"/>
    <w:rsid w:val="76336892"/>
    <w:rsid w:val="765DFF34"/>
    <w:rsid w:val="7664545B"/>
    <w:rsid w:val="76730349"/>
    <w:rsid w:val="76BF9CF8"/>
    <w:rsid w:val="76E3793A"/>
    <w:rsid w:val="76F4D995"/>
    <w:rsid w:val="76FC38EC"/>
    <w:rsid w:val="76FDC33A"/>
    <w:rsid w:val="770C3640"/>
    <w:rsid w:val="7718F9B8"/>
    <w:rsid w:val="772A217A"/>
    <w:rsid w:val="7737C585"/>
    <w:rsid w:val="7742B8DA"/>
    <w:rsid w:val="7773258B"/>
    <w:rsid w:val="77909AF8"/>
    <w:rsid w:val="77B53224"/>
    <w:rsid w:val="77B9EFEB"/>
    <w:rsid w:val="77CF56DE"/>
    <w:rsid w:val="77D06880"/>
    <w:rsid w:val="77D591E7"/>
    <w:rsid w:val="77F15492"/>
    <w:rsid w:val="77F71F1C"/>
    <w:rsid w:val="78070E5D"/>
    <w:rsid w:val="7820881C"/>
    <w:rsid w:val="784CDA2D"/>
    <w:rsid w:val="785A922F"/>
    <w:rsid w:val="786B869D"/>
    <w:rsid w:val="789568BA"/>
    <w:rsid w:val="78A04518"/>
    <w:rsid w:val="78A2F2A4"/>
    <w:rsid w:val="78C8F2B2"/>
    <w:rsid w:val="78D04546"/>
    <w:rsid w:val="78D8B9D3"/>
    <w:rsid w:val="78EFD12F"/>
    <w:rsid w:val="78FBCF01"/>
    <w:rsid w:val="79060CC0"/>
    <w:rsid w:val="7949F46C"/>
    <w:rsid w:val="79516F85"/>
    <w:rsid w:val="79814F04"/>
    <w:rsid w:val="7993116F"/>
    <w:rsid w:val="799389DB"/>
    <w:rsid w:val="799B8006"/>
    <w:rsid w:val="79AF35FA"/>
    <w:rsid w:val="79D67398"/>
    <w:rsid w:val="79DB6A2E"/>
    <w:rsid w:val="79E81F46"/>
    <w:rsid w:val="7A054895"/>
    <w:rsid w:val="7A3ECA22"/>
    <w:rsid w:val="7A4E748E"/>
    <w:rsid w:val="7A7E1AC7"/>
    <w:rsid w:val="7AB15E3C"/>
    <w:rsid w:val="7AB2A02D"/>
    <w:rsid w:val="7ACFD744"/>
    <w:rsid w:val="7ADDB6FC"/>
    <w:rsid w:val="7AE2F213"/>
    <w:rsid w:val="7AF3BAF8"/>
    <w:rsid w:val="7B138C98"/>
    <w:rsid w:val="7B21E563"/>
    <w:rsid w:val="7B3E560C"/>
    <w:rsid w:val="7B7A473A"/>
    <w:rsid w:val="7B809B86"/>
    <w:rsid w:val="7B8B7556"/>
    <w:rsid w:val="7B959F9B"/>
    <w:rsid w:val="7B98E78C"/>
    <w:rsid w:val="7BA1DA31"/>
    <w:rsid w:val="7BA7A4BB"/>
    <w:rsid w:val="7BC8222B"/>
    <w:rsid w:val="7BCC92D1"/>
    <w:rsid w:val="7BCD1A59"/>
    <w:rsid w:val="7BF9A126"/>
    <w:rsid w:val="7BFA17DB"/>
    <w:rsid w:val="7C05B9C3"/>
    <w:rsid w:val="7C130323"/>
    <w:rsid w:val="7C8C45D8"/>
    <w:rsid w:val="7CA1ACBA"/>
    <w:rsid w:val="7CC71D3A"/>
    <w:rsid w:val="7CC98212"/>
    <w:rsid w:val="7CD65A5B"/>
    <w:rsid w:val="7CE555D0"/>
    <w:rsid w:val="7D0923F6"/>
    <w:rsid w:val="7D157B7B"/>
    <w:rsid w:val="7D1738D5"/>
    <w:rsid w:val="7D1DC49A"/>
    <w:rsid w:val="7D245872"/>
    <w:rsid w:val="7D62EC29"/>
    <w:rsid w:val="7D72BE70"/>
    <w:rsid w:val="7D76CB92"/>
    <w:rsid w:val="7DBFABE5"/>
    <w:rsid w:val="7DD3F0C1"/>
    <w:rsid w:val="7E04779A"/>
    <w:rsid w:val="7E158ED4"/>
    <w:rsid w:val="7E387CCB"/>
    <w:rsid w:val="7E485AD9"/>
    <w:rsid w:val="7E515247"/>
    <w:rsid w:val="7E5DFC65"/>
    <w:rsid w:val="7E7CA8D5"/>
    <w:rsid w:val="7EA32625"/>
    <w:rsid w:val="7EC79407"/>
    <w:rsid w:val="7ED258B1"/>
    <w:rsid w:val="7ED8B1A5"/>
    <w:rsid w:val="7EEC2A36"/>
    <w:rsid w:val="7F076B94"/>
    <w:rsid w:val="7F226DF1"/>
    <w:rsid w:val="7F263EC6"/>
    <w:rsid w:val="7F46128F"/>
    <w:rsid w:val="7F534CF5"/>
    <w:rsid w:val="7F565147"/>
    <w:rsid w:val="7F6C289F"/>
    <w:rsid w:val="7F70805B"/>
    <w:rsid w:val="7F7E5833"/>
    <w:rsid w:val="7FB6C955"/>
    <w:rsid w:val="7FD59826"/>
    <w:rsid w:val="7FD9AA01"/>
    <w:rsid w:val="7FED9E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1B49E2"/>
  <w14:defaultImageDpi w14:val="0"/>
  <w15:docId w15:val="{128221A3-E051-4467-81B1-A324DBB2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link w:val="Heading1Char"/>
    <w:uiPriority w:val="9"/>
    <w:qFormat/>
    <w:rsid w:val="00E3545D"/>
    <w:pPr>
      <w:keepNext/>
      <w:tabs>
        <w:tab w:val="right" w:pos="10206"/>
      </w:tabs>
      <w:spacing w:before="240"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uiPriority w:val="9"/>
    <w:qFormat/>
    <w:rsid w:val="00A549AF"/>
    <w:pPr>
      <w:keepNext/>
      <w:keepLines/>
      <w:spacing w:before="240" w:after="120"/>
      <w:outlineLvl w:val="1"/>
    </w:pPr>
    <w:rPr>
      <w:rFonts w:ascii="Arial Bold" w:hAnsi="Arial Bold" w:cs="Arial"/>
      <w:b/>
      <w:bCs/>
      <w:color w:val="000000"/>
      <w:sz w:val="26"/>
      <w:szCs w:val="22"/>
      <w:lang w:eastAsia="en-GB"/>
    </w:rPr>
  </w:style>
  <w:style w:type="paragraph" w:styleId="Heading3">
    <w:name w:val="heading 3"/>
    <w:aliases w:val="EBHeading2"/>
    <w:basedOn w:val="Normal"/>
    <w:next w:val="EBBodyPara"/>
    <w:link w:val="Heading3Char"/>
    <w:uiPriority w:val="9"/>
    <w:qFormat/>
    <w:rsid w:val="00C6307C"/>
    <w:pPr>
      <w:keepNext/>
      <w:keepLines/>
      <w:spacing w:before="360" w:after="240"/>
      <w:outlineLvl w:val="2"/>
    </w:pPr>
    <w:rPr>
      <w:rFonts w:cs="Arial"/>
      <w:b/>
      <w:bCs/>
      <w:color w:val="000000"/>
      <w:sz w:val="22"/>
      <w:szCs w:val="22"/>
      <w:lang w:eastAsia="en-GB"/>
    </w:rPr>
  </w:style>
  <w:style w:type="paragraph" w:styleId="Heading4">
    <w:name w:val="heading 4"/>
    <w:aliases w:val="EBHeading3"/>
    <w:basedOn w:val="EBBodyPara"/>
    <w:next w:val="Normal"/>
    <w:link w:val="Heading4Char"/>
    <w:uiPriority w:val="9"/>
    <w:qFormat/>
    <w:rsid w:val="002B7335"/>
    <w:pPr>
      <w:spacing w:before="240"/>
      <w:outlineLvl w:val="3"/>
    </w:pPr>
    <w:rPr>
      <w:b/>
    </w:rPr>
  </w:style>
  <w:style w:type="paragraph" w:styleId="Heading5">
    <w:name w:val="heading 5"/>
    <w:aliases w:val="EBHeading4"/>
    <w:basedOn w:val="Normal"/>
    <w:next w:val="Normal"/>
    <w:link w:val="Heading5Char"/>
    <w:uiPriority w:val="9"/>
    <w:qFormat/>
    <w:rsid w:val="002B7335"/>
    <w:pPr>
      <w:spacing w:before="240" w:after="120"/>
      <w:outlineLvl w:val="4"/>
    </w:pPr>
    <w:rPr>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EBHeading1 Char"/>
    <w:basedOn w:val="DefaultParagraphFont"/>
    <w:link w:val="Heading2"/>
    <w:uiPriority w:val="9"/>
    <w:locked/>
    <w:rsid w:val="00A549AF"/>
    <w:rPr>
      <w:rFonts w:ascii="Arial Bold" w:hAnsi="Arial Bold" w:cs="Arial"/>
      <w:b/>
      <w:bCs/>
      <w:color w:val="000000"/>
      <w:sz w:val="26"/>
      <w:szCs w:val="22"/>
    </w:rPr>
  </w:style>
  <w:style w:type="character" w:customStyle="1" w:styleId="Heading3Char">
    <w:name w:val="Heading 3 Char"/>
    <w:aliases w:val="EBHeading2 Char"/>
    <w:basedOn w:val="DefaultParagraphFont"/>
    <w:link w:val="Heading3"/>
    <w:uiPriority w:val="9"/>
    <w:locked/>
    <w:rsid w:val="00C6307C"/>
    <w:rPr>
      <w:rFonts w:ascii="Arial" w:hAnsi="Arial" w:cs="Arial"/>
      <w:b/>
      <w:bCs/>
      <w:color w:val="000000"/>
      <w:sz w:val="22"/>
      <w:szCs w:val="22"/>
    </w:rPr>
  </w:style>
  <w:style w:type="character" w:customStyle="1" w:styleId="Heading4Char">
    <w:name w:val="Heading 4 Char"/>
    <w:aliases w:val="EBHeading3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aliases w:val="EBHeading4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IATableLabel">
    <w:name w:val="IATableLabel"/>
    <w:basedOn w:val="Normal"/>
    <w:link w:val="IATableLabelCharChar"/>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locked/>
    <w:rsid w:val="00402E80"/>
    <w:rPr>
      <w:rFonts w:ascii="Arial" w:eastAsia="SimSun" w:hAnsi="Arial"/>
      <w:b/>
      <w:color w:val="000000"/>
      <w:spacing w:val="-5"/>
      <w:lang w:val="en-GB" w:eastAsia="zh-CN"/>
    </w:rPr>
  </w:style>
  <w:style w:type="paragraph" w:customStyle="1" w:styleId="IASpacer">
    <w:name w:val="IASpacer"/>
    <w:basedOn w:val="Normal"/>
    <w:rsid w:val="007208D9"/>
    <w:pPr>
      <w:spacing w:line="80" w:lineRule="exact"/>
    </w:pPr>
    <w:rPr>
      <w:rFonts w:eastAsia="SimSun"/>
      <w:sz w:val="22"/>
      <w:lang w:eastAsia="zh-CN"/>
    </w:rPr>
  </w:style>
  <w:style w:type="paragraph" w:customStyle="1" w:styleId="IATableText">
    <w:name w:val="IATableText"/>
    <w:basedOn w:val="IATableLabel"/>
    <w:link w:val="IATableTextChar"/>
    <w:rsid w:val="00220F29"/>
    <w:rPr>
      <w:b w:val="0"/>
      <w:color w:val="auto"/>
      <w:sz w:val="22"/>
    </w:rPr>
  </w:style>
  <w:style w:type="character" w:customStyle="1" w:styleId="IATableTextChar">
    <w:name w:val="IATableText Char"/>
    <w:link w:val="IATableText"/>
    <w:locked/>
    <w:rsid w:val="00220F29"/>
    <w:rPr>
      <w:rFonts w:ascii="Arial" w:eastAsia="SimSun" w:hAnsi="Arial"/>
      <w:b/>
      <w:color w:val="000000"/>
      <w:spacing w:val="-5"/>
      <w:sz w:val="22"/>
      <w:lang w:val="en-GB" w:eastAsia="zh-CN"/>
    </w:rPr>
  </w:style>
  <w:style w:type="paragraph" w:styleId="BodyText">
    <w:name w:val="Body Text"/>
    <w:basedOn w:val="Normal"/>
    <w:link w:val="BodyTextChar"/>
    <w:uiPriority w:val="99"/>
    <w:rsid w:val="003E54B6"/>
    <w:pPr>
      <w:spacing w:after="120"/>
    </w:pPr>
    <w:rPr>
      <w:rFonts w:cs="Arial"/>
      <w:bCs/>
      <w:color w:val="000000"/>
      <w:sz w:val="22"/>
      <w:szCs w:val="22"/>
      <w:lang w:eastAsia="en-GB"/>
    </w:rPr>
  </w:style>
  <w:style w:type="character" w:customStyle="1" w:styleId="BodyTextChar">
    <w:name w:val="Body Text Char"/>
    <w:basedOn w:val="DefaultParagraphFont"/>
    <w:link w:val="BodyText"/>
    <w:uiPriority w:val="99"/>
    <w:locked/>
    <w:rsid w:val="0049416F"/>
    <w:rPr>
      <w:rFonts w:ascii="Arial" w:hAnsi="Arial" w:cs="Times New Roman"/>
      <w:color w:val="000000"/>
      <w:sz w:val="22"/>
      <w:lang w:val="en-GB" w:eastAsia="en-GB"/>
    </w:rPr>
  </w:style>
  <w:style w:type="table" w:styleId="TableGrid">
    <w:name w:val="Table Grid"/>
    <w:basedOn w:val="TableNormal"/>
    <w:uiPriority w:val="39"/>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F64C7"/>
    <w:pPr>
      <w:ind w:left="113"/>
      <w:outlineLvl w:val="0"/>
    </w:pPr>
    <w:rPr>
      <w:rFonts w:cs="Arial"/>
      <w:bCs/>
      <w:color w:val="FFFFFF"/>
      <w:kern w:val="28"/>
      <w:sz w:val="32"/>
      <w:szCs w:val="32"/>
    </w:rPr>
  </w:style>
  <w:style w:type="character" w:customStyle="1" w:styleId="TitleChar">
    <w:name w:val="Title Char"/>
    <w:basedOn w:val="DefaultParagraphFont"/>
    <w:link w:val="Title"/>
    <w:uiPriority w:val="10"/>
    <w:locked/>
    <w:rsid w:val="00174C10"/>
    <w:rPr>
      <w:rFonts w:ascii="Arial" w:hAnsi="Arial" w:cs="Times New Roman"/>
      <w:color w:val="FFFFFF"/>
      <w:kern w:val="28"/>
      <w:sz w:val="32"/>
      <w:lang w:val="en-GB" w:eastAsia="en-US"/>
    </w:rPr>
  </w:style>
  <w:style w:type="paragraph" w:customStyle="1" w:styleId="IAHeadDept">
    <w:name w:val="IAHeadDept"/>
    <w:basedOn w:val="IATableText"/>
    <w:link w:val="IAHeadDeptChar"/>
    <w:rsid w:val="00C120C0"/>
    <w:pPr>
      <w:spacing w:after="120"/>
      <w:ind w:left="0" w:right="57"/>
    </w:pPr>
    <w:rPr>
      <w:spacing w:val="-6"/>
      <w:szCs w:val="22"/>
    </w:rPr>
  </w:style>
  <w:style w:type="paragraph" w:customStyle="1" w:styleId="IAHeadLabel">
    <w:name w:val="IAHeadLabel"/>
    <w:basedOn w:val="IATableLabel"/>
    <w:link w:val="IAHeadLabelChar"/>
    <w:rsid w:val="00570F8E"/>
    <w:pPr>
      <w:spacing w:before="110"/>
      <w:ind w:left="0" w:right="0"/>
    </w:pPr>
  </w:style>
  <w:style w:type="character" w:customStyle="1" w:styleId="IAHeadLabelChar">
    <w:name w:val="IAHeadLabel Char"/>
    <w:basedOn w:val="IATableLabelCharChar"/>
    <w:link w:val="IAHeadLabel"/>
    <w:locked/>
    <w:rsid w:val="00570F8E"/>
    <w:rPr>
      <w:rFonts w:ascii="Arial" w:eastAsia="SimSun" w:hAnsi="Arial" w:cs="Times New Roman"/>
      <w:b/>
      <w:color w:val="000000"/>
      <w:spacing w:val="-5"/>
      <w:lang w:val="en-GB" w:eastAsia="zh-CN" w:bidi="ar-SA"/>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tcPr>
  </w:style>
  <w:style w:type="paragraph" w:customStyle="1" w:styleId="IATableNotes">
    <w:name w:val="IATableNotes"/>
    <w:basedOn w:val="Normal"/>
    <w:link w:val="IATableNotesChar"/>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locked/>
    <w:rsid w:val="006A5A2E"/>
    <w:rPr>
      <w:rFonts w:ascii="Arial" w:eastAsia="SimSun" w:hAnsi="Arial"/>
      <w:sz w:val="18"/>
      <w:lang w:val="en-GB" w:eastAsia="zh-CN"/>
    </w:rPr>
  </w:style>
  <w:style w:type="paragraph" w:customStyle="1" w:styleId="IASignOff">
    <w:name w:val="IASignOff"/>
    <w:basedOn w:val="IATableNotes"/>
    <w:next w:val="IATableNotes"/>
    <w:link w:val="IASignOffChar"/>
    <w:semiHidden/>
    <w:rsid w:val="006A5A2E"/>
    <w:pPr>
      <w:spacing w:before="120" w:after="120"/>
      <w:ind w:left="567" w:right="567"/>
    </w:pPr>
    <w:rPr>
      <w:b/>
      <w:bCs/>
      <w:i/>
      <w:iCs/>
    </w:rPr>
  </w:style>
  <w:style w:type="character" w:customStyle="1" w:styleId="IASignOffChar">
    <w:name w:val="IASignOff Char"/>
    <w:link w:val="IASignOff"/>
    <w:locked/>
    <w:rsid w:val="006A5A2E"/>
    <w:rPr>
      <w:rFonts w:ascii="Arial" w:eastAsia="SimSun" w:hAnsi="Arial"/>
      <w:b/>
      <w:i/>
      <w:sz w:val="18"/>
      <w:lang w:val="en-GB" w:eastAsia="zh-CN"/>
    </w:rPr>
  </w:style>
  <w:style w:type="paragraph" w:customStyle="1" w:styleId="IAHeadTitle">
    <w:name w:val="IAHeadTitle"/>
    <w:basedOn w:val="IAHeadDept"/>
    <w:link w:val="IAHeadTitleChar"/>
    <w:rsid w:val="008228A5"/>
    <w:pPr>
      <w:spacing w:before="0" w:after="0"/>
    </w:pPr>
    <w:rPr>
      <w:b/>
      <w:sz w:val="28"/>
      <w:szCs w:val="28"/>
    </w:rPr>
  </w:style>
  <w:style w:type="paragraph" w:customStyle="1" w:styleId="IASignature">
    <w:name w:val="IA Signature"/>
    <w:basedOn w:val="IATableText"/>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rsid w:val="00FB5CFE"/>
    <w:pPr>
      <w:spacing w:after="120"/>
    </w:pPr>
    <w:rPr>
      <w:szCs w:val="22"/>
      <w:u w:val="single"/>
    </w:rPr>
  </w:style>
  <w:style w:type="character" w:customStyle="1" w:styleId="IASign-offlabelChar">
    <w:name w:val="IA Sign-off label Char"/>
    <w:link w:val="IASign-offlabel"/>
    <w:locked/>
    <w:rsid w:val="009050B9"/>
    <w:rPr>
      <w:rFonts w:ascii="Arial" w:eastAsia="SimSun" w:hAnsi="Arial"/>
      <w:b/>
      <w:color w:val="000000"/>
      <w:spacing w:val="-5"/>
      <w:sz w:val="22"/>
      <w:u w:val="single"/>
      <w:lang w:val="en-GB" w:eastAsia="zh-CN"/>
    </w:rPr>
  </w:style>
  <w:style w:type="paragraph" w:customStyle="1" w:styleId="IASign-off">
    <w:name w:val="IA Sign-off"/>
    <w:basedOn w:val="IATableText"/>
    <w:rsid w:val="00C67CDD"/>
    <w:pPr>
      <w:spacing w:before="0" w:after="0"/>
      <w:ind w:left="0" w:right="284"/>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ink w:val="HeaderChar"/>
    <w:uiPriority w:val="99"/>
    <w:rsid w:val="00E96CB5"/>
    <w:pPr>
      <w:jc w:val="center"/>
    </w:pPr>
    <w:rPr>
      <w:caps/>
    </w:rPr>
  </w:style>
  <w:style w:type="character" w:customStyle="1" w:styleId="HeaderChar">
    <w:name w:val="Header Char"/>
    <w:basedOn w:val="DefaultParagraphFont"/>
    <w:link w:val="Header"/>
    <w:uiPriority w:val="99"/>
    <w:semiHidden/>
    <w:locked/>
    <w:rPr>
      <w:rFonts w:ascii="Arial" w:hAnsi="Arial" w:cs="Times New Roman"/>
      <w:sz w:val="24"/>
      <w:szCs w:val="24"/>
      <w:lang w:val="x-none" w:eastAsia="en-US"/>
    </w:rPr>
  </w:style>
  <w:style w:type="paragraph" w:styleId="Footer">
    <w:name w:val="footer"/>
    <w:basedOn w:val="Normal"/>
    <w:link w:val="FooterChar"/>
    <w:uiPriority w:val="99"/>
    <w:rsid w:val="000407D8"/>
    <w:pPr>
      <w:tabs>
        <w:tab w:val="center" w:pos="5132"/>
        <w:tab w:val="right" w:pos="10260"/>
      </w:tabs>
      <w:jc w:val="center"/>
    </w:pPr>
    <w:rPr>
      <w:b/>
      <w:sz w:val="18"/>
    </w:rPr>
  </w:style>
  <w:style w:type="character" w:customStyle="1" w:styleId="FooterChar">
    <w:name w:val="Footer Char"/>
    <w:basedOn w:val="DefaultParagraphFont"/>
    <w:link w:val="Footer"/>
    <w:uiPriority w:val="99"/>
    <w:semiHidden/>
    <w:locked/>
    <w:rPr>
      <w:rFonts w:ascii="Arial" w:hAnsi="Arial" w:cs="Times New Roman"/>
      <w:sz w:val="24"/>
      <w:szCs w:val="24"/>
      <w:lang w:val="x-none" w:eastAsia="en-US"/>
    </w:rPr>
  </w:style>
  <w:style w:type="character" w:styleId="PageNumber">
    <w:name w:val="page number"/>
    <w:basedOn w:val="DefaultParagraphFont"/>
    <w:uiPriority w:val="99"/>
    <w:rsid w:val="00EB43FD"/>
    <w:rPr>
      <w:rFonts w:cs="Times New Roman"/>
    </w:rPr>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rsid w:val="00716D5C"/>
    <w:rPr>
      <w:sz w:val="22"/>
      <w:szCs w:val="24"/>
    </w:rPr>
  </w:style>
  <w:style w:type="paragraph" w:styleId="FootnoteText">
    <w:name w:val="footnote text"/>
    <w:basedOn w:val="Normal"/>
    <w:link w:val="FootnoteTextChar"/>
    <w:uiPriority w:val="99"/>
    <w:semiHidden/>
    <w:rsid w:val="00490FF7"/>
    <w:rPr>
      <w:rFonts w:eastAsia="SimSun"/>
      <w:sz w:val="16"/>
      <w:szCs w:val="20"/>
      <w:lang w:eastAsia="zh-CN"/>
    </w:rPr>
  </w:style>
  <w:style w:type="character" w:customStyle="1" w:styleId="FootnoteTextChar">
    <w:name w:val="Footnote Text Char"/>
    <w:basedOn w:val="DefaultParagraphFont"/>
    <w:link w:val="FootnoteText"/>
    <w:uiPriority w:val="99"/>
    <w:semiHidden/>
    <w:locked/>
    <w:rPr>
      <w:rFonts w:ascii="Arial" w:hAnsi="Arial" w:cs="Times New Roman"/>
      <w:lang w:val="x-none" w:eastAsia="en-US"/>
    </w:rPr>
  </w:style>
  <w:style w:type="character" w:styleId="FootnoteReference">
    <w:name w:val="footnote reference"/>
    <w:basedOn w:val="DefaultParagraphFont"/>
    <w:uiPriority w:val="99"/>
    <w:rsid w:val="00B84190"/>
    <w:rPr>
      <w:rFonts w:cs="Times New Roman"/>
      <w:sz w:val="22"/>
      <w:vertAlign w:val="superscript"/>
    </w:rPr>
  </w:style>
  <w:style w:type="paragraph" w:customStyle="1" w:styleId="EBBodyPara">
    <w:name w:val="EBBodyPara"/>
    <w:basedOn w:val="BodyText"/>
    <w:rsid w:val="005A2FC0"/>
  </w:style>
  <w:style w:type="paragraph" w:styleId="BalloonText">
    <w:name w:val="Balloon Text"/>
    <w:basedOn w:val="Normal"/>
    <w:link w:val="BalloonTextChar"/>
    <w:uiPriority w:val="99"/>
    <w:semiHidden/>
    <w:rsid w:val="00300C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UI" w:hAnsi="SegoeUI" w:cs="SegoeUI"/>
      <w:sz w:val="18"/>
      <w:szCs w:val="18"/>
      <w:lang w:val="x-none" w:eastAsia="en-US"/>
    </w:rPr>
  </w:style>
  <w:style w:type="paragraph" w:customStyle="1" w:styleId="EBNumber">
    <w:name w:val="EBNumber"/>
    <w:basedOn w:val="BodyText"/>
    <w:rsid w:val="002B7335"/>
    <w:pPr>
      <w:numPr>
        <w:ilvl w:val="1"/>
        <w:numId w:val="24"/>
      </w:numPr>
    </w:pPr>
  </w:style>
  <w:style w:type="paragraph" w:customStyle="1" w:styleId="EBNumberRestart">
    <w:name w:val="EBNumberRestart"/>
    <w:basedOn w:val="BodyText"/>
    <w:next w:val="EBNumber"/>
    <w:rsid w:val="002B7335"/>
    <w:pPr>
      <w:numPr>
        <w:numId w:val="24"/>
      </w:numPr>
    </w:pPr>
  </w:style>
  <w:style w:type="paragraph" w:customStyle="1" w:styleId="StyleIATableText10ptRight">
    <w:name w:val="Style IATableText + 10 pt Right"/>
    <w:basedOn w:val="IATableText"/>
    <w:rsid w:val="008D39AA"/>
    <w:pPr>
      <w:ind w:left="0" w:right="57"/>
      <w:jc w:val="right"/>
    </w:pPr>
    <w:rPr>
      <w:rFonts w:eastAsia="Times New Roman"/>
      <w:sz w:val="20"/>
    </w:rPr>
  </w:style>
  <w:style w:type="paragraph" w:customStyle="1" w:styleId="SecurityClass">
    <w:name w:val="SecurityClass"/>
    <w:basedOn w:val="Header"/>
    <w:rsid w:val="00AE46AA"/>
  </w:style>
  <w:style w:type="paragraph" w:customStyle="1" w:styleId="IARefNumber">
    <w:name w:val="IARefNumber"/>
    <w:basedOn w:val="IATableText"/>
    <w:rsid w:val="001E152A"/>
    <w:pPr>
      <w:numPr>
        <w:numId w:val="16"/>
      </w:numPr>
      <w:ind w:left="0"/>
    </w:pPr>
  </w:style>
  <w:style w:type="character" w:styleId="Hyperlink">
    <w:name w:val="Hyperlink"/>
    <w:basedOn w:val="DefaultParagraphFont"/>
    <w:uiPriority w:val="99"/>
    <w:rsid w:val="00B4136C"/>
    <w:rPr>
      <w:rFonts w:cs="Times New Roman"/>
      <w:color w:val="auto"/>
      <w:u w:val="single"/>
    </w:rPr>
  </w:style>
  <w:style w:type="paragraph" w:customStyle="1" w:styleId="POPBY">
    <w:name w:val="POPBY"/>
    <w:basedOn w:val="IATableLabel"/>
    <w:rsid w:val="00AB574B"/>
  </w:style>
  <w:style w:type="paragraph" w:customStyle="1" w:styleId="EBBullet">
    <w:name w:val="EBBullet"/>
    <w:basedOn w:val="BodyText"/>
    <w:rsid w:val="002B7335"/>
    <w:pPr>
      <w:numPr>
        <w:numId w:val="21"/>
      </w:numPr>
    </w:pPr>
  </w:style>
  <w:style w:type="paragraph" w:customStyle="1" w:styleId="IAHeadText">
    <w:name w:val="IAHeadText"/>
    <w:basedOn w:val="IATableText"/>
    <w:rsid w:val="00632CB9"/>
    <w:pPr>
      <w:spacing w:before="0" w:after="0"/>
      <w:ind w:left="0" w:right="57"/>
    </w:pPr>
    <w:rPr>
      <w:spacing w:val="-6"/>
    </w:rPr>
  </w:style>
  <w:style w:type="paragraph" w:customStyle="1" w:styleId="IAHeadLabel0">
    <w:name w:val="IAHeadLabel0"/>
    <w:basedOn w:val="IAHeadLabel"/>
    <w:next w:val="IAHeadTitle"/>
    <w:rsid w:val="00632CB9"/>
    <w:pPr>
      <w:spacing w:before="0"/>
    </w:pPr>
  </w:style>
  <w:style w:type="paragraph" w:customStyle="1" w:styleId="IATableLines">
    <w:name w:val="IATableLines"/>
    <w:basedOn w:val="IATableText"/>
    <w:link w:val="IATableLinesChar"/>
    <w:rsid w:val="00E82A56"/>
    <w:pPr>
      <w:spacing w:before="0" w:after="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basedOn w:val="DefaultParagraphFont"/>
    <w:uiPriority w:val="99"/>
    <w:rsid w:val="006D37CF"/>
    <w:rPr>
      <w:rFonts w:cs="Times New Roman"/>
      <w:color w:val="auto"/>
      <w:u w:val="single"/>
    </w:rPr>
  </w:style>
  <w:style w:type="paragraph" w:customStyle="1" w:styleId="IASpacer2">
    <w:name w:val="IASpacer2"/>
    <w:basedOn w:val="IASpacer"/>
    <w:rsid w:val="00311373"/>
    <w:pPr>
      <w:spacing w:line="40" w:lineRule="exact"/>
    </w:pPr>
  </w:style>
  <w:style w:type="paragraph" w:customStyle="1" w:styleId="POPVBY">
    <w:name w:val="POPVBY"/>
    <w:basedOn w:val="IATableLabel"/>
    <w:rsid w:val="00AB574B"/>
  </w:style>
  <w:style w:type="paragraph" w:customStyle="1" w:styleId="POTPY">
    <w:name w:val="POTPY"/>
    <w:basedOn w:val="IATableLabel"/>
    <w:rsid w:val="00F622E8"/>
  </w:style>
  <w:style w:type="paragraph" w:customStyle="1" w:styleId="PONBLow">
    <w:name w:val="PONBLow"/>
    <w:basedOn w:val="IATableLabel"/>
    <w:link w:val="PONBLowCharChar"/>
    <w:rsid w:val="00F622E8"/>
    <w:rPr>
      <w:b w:val="0"/>
      <w:szCs w:val="22"/>
    </w:rPr>
  </w:style>
  <w:style w:type="character" w:customStyle="1" w:styleId="PONBLowCharChar">
    <w:name w:val="PONBLow Char Char"/>
    <w:link w:val="PONBLow"/>
    <w:locked/>
    <w:rsid w:val="00F622E8"/>
    <w:rPr>
      <w:rFonts w:ascii="Arial" w:eastAsia="SimSun" w:hAnsi="Arial"/>
      <w:b/>
      <w:color w:val="000000"/>
      <w:spacing w:val="-5"/>
      <w:sz w:val="22"/>
      <w:lang w:val="en-GB" w:eastAsia="zh-CN"/>
    </w:rPr>
  </w:style>
  <w:style w:type="paragraph" w:customStyle="1" w:styleId="PONBHigh">
    <w:name w:val="PONBHigh"/>
    <w:basedOn w:val="IATableLabel"/>
    <w:link w:val="PONBHighChar"/>
    <w:rsid w:val="00F622E8"/>
    <w:rPr>
      <w:b w:val="0"/>
      <w:szCs w:val="22"/>
    </w:rPr>
  </w:style>
  <w:style w:type="character" w:customStyle="1" w:styleId="PONBHighChar">
    <w:name w:val="PONBHigh Char"/>
    <w:link w:val="PONBHigh"/>
    <w:locked/>
    <w:rsid w:val="00F622E8"/>
    <w:rPr>
      <w:rFonts w:ascii="Arial" w:eastAsia="SimSun" w:hAnsi="Arial"/>
      <w:b/>
      <w:color w:val="000000"/>
      <w:spacing w:val="-5"/>
      <w:sz w:val="22"/>
      <w:lang w:val="en-GB" w:eastAsia="zh-CN"/>
    </w:rPr>
  </w:style>
  <w:style w:type="paragraph" w:customStyle="1" w:styleId="PONBBestEst">
    <w:name w:val="PONBBestEst"/>
    <w:basedOn w:val="IATableLabel"/>
    <w:link w:val="PONBBestEstChar"/>
    <w:rsid w:val="00F622E8"/>
    <w:rPr>
      <w:b w:val="0"/>
      <w:szCs w:val="22"/>
    </w:rPr>
  </w:style>
  <w:style w:type="character" w:customStyle="1" w:styleId="PONBBestEstChar">
    <w:name w:val="PONBBestEst Char"/>
    <w:link w:val="PONBBestEst"/>
    <w:locked/>
    <w:rsid w:val="00F622E8"/>
    <w:rPr>
      <w:rFonts w:ascii="Arial" w:eastAsia="SimSun" w:hAnsi="Arial"/>
      <w:b/>
      <w:color w:val="000000"/>
      <w:spacing w:val="-5"/>
      <w:sz w:val="22"/>
      <w:lang w:val="en-GB" w:eastAsia="zh-CN"/>
    </w:rPr>
  </w:style>
  <w:style w:type="paragraph" w:customStyle="1" w:styleId="POTTCostsHigh">
    <w:name w:val="POTTCostsHigh"/>
    <w:basedOn w:val="IATableText"/>
    <w:rsid w:val="00B318B0"/>
    <w:pPr>
      <w:jc w:val="right"/>
    </w:pPr>
  </w:style>
  <w:style w:type="paragraph" w:customStyle="1" w:styleId="POTTCostsLow">
    <w:name w:val="POTTCostsLow"/>
    <w:basedOn w:val="POTTCostsHigh"/>
    <w:rsid w:val="00B318B0"/>
  </w:style>
  <w:style w:type="paragraph" w:customStyle="1" w:styleId="POTTCostsBest">
    <w:name w:val="POTTCostsBest"/>
    <w:basedOn w:val="IATableText"/>
    <w:rsid w:val="00B318B0"/>
    <w:pPr>
      <w:jc w:val="right"/>
    </w:pPr>
  </w:style>
  <w:style w:type="paragraph" w:customStyle="1" w:styleId="POTTCostsYear">
    <w:name w:val="POTTCostsYear"/>
    <w:basedOn w:val="IATableText"/>
    <w:rsid w:val="00B318B0"/>
    <w:pPr>
      <w:jc w:val="center"/>
    </w:pPr>
    <w:rPr>
      <w:szCs w:val="18"/>
    </w:rPr>
  </w:style>
  <w:style w:type="paragraph" w:customStyle="1" w:styleId="POAACostsLow">
    <w:name w:val="POAACostsLow"/>
    <w:basedOn w:val="IATableText"/>
    <w:rsid w:val="00B318B0"/>
    <w:pPr>
      <w:jc w:val="right"/>
    </w:pPr>
  </w:style>
  <w:style w:type="paragraph" w:customStyle="1" w:styleId="POAACostsHigh">
    <w:name w:val="POAACostsHigh"/>
    <w:basedOn w:val="POAACostsLow"/>
    <w:rsid w:val="00B318B0"/>
  </w:style>
  <w:style w:type="paragraph" w:customStyle="1" w:styleId="POAACostsBest">
    <w:name w:val="POAACostsBest"/>
    <w:basedOn w:val="IATableText"/>
    <w:rsid w:val="00B318B0"/>
    <w:pPr>
      <w:jc w:val="right"/>
    </w:pPr>
  </w:style>
  <w:style w:type="paragraph" w:customStyle="1" w:styleId="POTCCostsLow">
    <w:name w:val="POTCCostsLow"/>
    <w:basedOn w:val="IATableText"/>
    <w:rsid w:val="00B318B0"/>
    <w:pPr>
      <w:jc w:val="right"/>
    </w:pPr>
    <w:rPr>
      <w:b/>
    </w:rPr>
  </w:style>
  <w:style w:type="paragraph" w:customStyle="1" w:styleId="POTCCostsHigh">
    <w:name w:val="POTCCostsHigh"/>
    <w:basedOn w:val="IATableText"/>
    <w:rsid w:val="00B318B0"/>
    <w:pPr>
      <w:jc w:val="right"/>
    </w:pPr>
    <w:rPr>
      <w:b/>
    </w:rPr>
  </w:style>
  <w:style w:type="paragraph" w:customStyle="1" w:styleId="POTCCostsBest">
    <w:name w:val="POTCCostsBest"/>
    <w:basedOn w:val="IATableText"/>
    <w:rsid w:val="00B318B0"/>
    <w:pPr>
      <w:jc w:val="right"/>
    </w:pPr>
    <w:rPr>
      <w:b/>
    </w:rPr>
  </w:style>
  <w:style w:type="paragraph" w:customStyle="1" w:styleId="IAPOQ1">
    <w:name w:val="IAPOQ1"/>
    <w:basedOn w:val="IATableLabel"/>
    <w:rsid w:val="00B006A9"/>
  </w:style>
  <w:style w:type="paragraph" w:customStyle="1" w:styleId="IAPOA1">
    <w:name w:val="IAPOA1"/>
    <w:basedOn w:val="IATableLines"/>
    <w:rsid w:val="00B006A9"/>
  </w:style>
  <w:style w:type="paragraph" w:customStyle="1" w:styleId="IAPOQ2">
    <w:name w:val="IAPOQ2"/>
    <w:basedOn w:val="IATableLabel"/>
    <w:link w:val="IAPOQ2Char"/>
    <w:rsid w:val="00B006A9"/>
  </w:style>
  <w:style w:type="paragraph" w:customStyle="1" w:styleId="IAPOA2">
    <w:name w:val="IAPOA2"/>
    <w:basedOn w:val="IATableLines"/>
    <w:rsid w:val="00B006A9"/>
  </w:style>
  <w:style w:type="paragraph" w:customStyle="1" w:styleId="POTTBenLow">
    <w:name w:val="POTTBenLow"/>
    <w:basedOn w:val="POTTCostsLow"/>
    <w:rsid w:val="00B006A9"/>
  </w:style>
  <w:style w:type="paragraph" w:customStyle="1" w:styleId="POTTBenHigh">
    <w:name w:val="POTTBenHigh"/>
    <w:basedOn w:val="POTTCostsHigh"/>
    <w:rsid w:val="00B006A9"/>
  </w:style>
  <w:style w:type="paragraph" w:customStyle="1" w:styleId="POTTBenBest">
    <w:name w:val="POTTBenBest"/>
    <w:basedOn w:val="POTTCostsBest"/>
    <w:rsid w:val="00B006A9"/>
  </w:style>
  <w:style w:type="paragraph" w:customStyle="1" w:styleId="POAABenLow">
    <w:name w:val="POAABenLow"/>
    <w:basedOn w:val="POAACostsLow"/>
    <w:rsid w:val="00B006A9"/>
  </w:style>
  <w:style w:type="paragraph" w:customStyle="1" w:styleId="POAABenHigh">
    <w:name w:val="POAABenHigh"/>
    <w:basedOn w:val="POAABenLow"/>
    <w:rsid w:val="00B006A9"/>
  </w:style>
  <w:style w:type="paragraph" w:customStyle="1" w:styleId="POAABenBest">
    <w:name w:val="POAABenBest"/>
    <w:basedOn w:val="POAABenHigh"/>
    <w:rsid w:val="00B006A9"/>
  </w:style>
  <w:style w:type="paragraph" w:customStyle="1" w:styleId="POTBBenLow">
    <w:name w:val="POTBBenLow"/>
    <w:basedOn w:val="POTCCostsLow"/>
    <w:rsid w:val="00B006A9"/>
  </w:style>
  <w:style w:type="paragraph" w:customStyle="1" w:styleId="POTBBenHigh">
    <w:name w:val="POTBBenHigh"/>
    <w:basedOn w:val="POTBBenLow"/>
    <w:rsid w:val="00B006A9"/>
  </w:style>
  <w:style w:type="paragraph" w:customStyle="1" w:styleId="POTBBenBest">
    <w:name w:val="POTBBenBest"/>
    <w:basedOn w:val="POTBBenHigh"/>
    <w:rsid w:val="00B006A9"/>
  </w:style>
  <w:style w:type="paragraph" w:customStyle="1" w:styleId="IPPOQ3">
    <w:name w:val="IPPOQ3"/>
    <w:basedOn w:val="IAPOQ2"/>
    <w:link w:val="IPPOQ3Char"/>
    <w:rsid w:val="00F1653E"/>
  </w:style>
  <w:style w:type="paragraph" w:customStyle="1" w:styleId="IAPOQ4">
    <w:name w:val="IAPOQ4"/>
    <w:basedOn w:val="IPPOQ3"/>
    <w:link w:val="IAPOQ4Char"/>
    <w:rsid w:val="00F1653E"/>
  </w:style>
  <w:style w:type="paragraph" w:customStyle="1" w:styleId="IAPOA3">
    <w:name w:val="IAPOA3"/>
    <w:basedOn w:val="IAPOA2"/>
    <w:rsid w:val="00F1653E"/>
  </w:style>
  <w:style w:type="paragraph" w:customStyle="1" w:styleId="IAPOA4">
    <w:name w:val="IAPOA4"/>
    <w:basedOn w:val="IAPOA3"/>
    <w:rsid w:val="00F1653E"/>
  </w:style>
  <w:style w:type="paragraph" w:customStyle="1" w:styleId="IAPOA5">
    <w:name w:val="IAPOA5"/>
    <w:basedOn w:val="IAPOA4"/>
    <w:rsid w:val="00F1653E"/>
  </w:style>
  <w:style w:type="paragraph" w:customStyle="1" w:styleId="IAPOQ5">
    <w:name w:val="IAPOQ5"/>
    <w:basedOn w:val="IAPOQ4"/>
    <w:link w:val="IAPOQ5Char"/>
    <w:rsid w:val="00F1653E"/>
  </w:style>
  <w:style w:type="character" w:customStyle="1" w:styleId="IAPOQ2Char">
    <w:name w:val="IAPOQ2 Char"/>
    <w:basedOn w:val="IATableLabelCharChar"/>
    <w:link w:val="IAPOQ2"/>
    <w:locked/>
    <w:rsid w:val="00F1653E"/>
    <w:rPr>
      <w:rFonts w:ascii="Arial" w:eastAsia="SimSun" w:hAnsi="Arial" w:cs="Times New Roman"/>
      <w:b/>
      <w:color w:val="000000"/>
      <w:spacing w:val="-5"/>
      <w:lang w:val="en-GB" w:eastAsia="zh-CN" w:bidi="ar-SA"/>
    </w:rPr>
  </w:style>
  <w:style w:type="character" w:customStyle="1" w:styleId="IPPOQ3Char">
    <w:name w:val="IPPOQ3 Char"/>
    <w:basedOn w:val="IAPOQ2Char"/>
    <w:link w:val="IPPOQ3"/>
    <w:locked/>
    <w:rsid w:val="00F1653E"/>
    <w:rPr>
      <w:rFonts w:ascii="Arial" w:eastAsia="SimSun" w:hAnsi="Arial" w:cs="Times New Roman"/>
      <w:b/>
      <w:color w:val="000000"/>
      <w:spacing w:val="-5"/>
      <w:lang w:val="en-GB" w:eastAsia="zh-CN" w:bidi="ar-SA"/>
    </w:rPr>
  </w:style>
  <w:style w:type="character" w:customStyle="1" w:styleId="IAPOQ4Char">
    <w:name w:val="IAPOQ4 Char"/>
    <w:basedOn w:val="IPPOQ3Char"/>
    <w:link w:val="IAPOQ4"/>
    <w:locked/>
    <w:rsid w:val="00F1653E"/>
    <w:rPr>
      <w:rFonts w:ascii="Arial" w:eastAsia="SimSun" w:hAnsi="Arial" w:cs="Times New Roman"/>
      <w:b/>
      <w:color w:val="000000"/>
      <w:spacing w:val="-5"/>
      <w:lang w:val="en-GB" w:eastAsia="zh-CN" w:bidi="ar-SA"/>
    </w:rPr>
  </w:style>
  <w:style w:type="character" w:customStyle="1" w:styleId="IAPOQ5Char">
    <w:name w:val="IAPOQ5 Char"/>
    <w:basedOn w:val="IAPOQ4Char"/>
    <w:link w:val="IAPOQ5"/>
    <w:locked/>
    <w:rsid w:val="00F1653E"/>
    <w:rPr>
      <w:rFonts w:ascii="Arial" w:eastAsia="SimSun" w:hAnsi="Arial" w:cs="Times New Roman"/>
      <w:b/>
      <w:color w:val="000000"/>
      <w:spacing w:val="-5"/>
      <w:lang w:val="en-GB" w:eastAsia="zh-CN" w:bidi="ar-SA"/>
    </w:rPr>
  </w:style>
  <w:style w:type="paragraph" w:customStyle="1" w:styleId="IAPODisRate">
    <w:name w:val="IAPODisRate"/>
    <w:basedOn w:val="IATableLabel"/>
    <w:rsid w:val="00F1653E"/>
    <w:pPr>
      <w:ind w:left="0"/>
      <w:jc w:val="center"/>
    </w:pPr>
    <w:rPr>
      <w:b w:val="0"/>
    </w:rPr>
  </w:style>
  <w:style w:type="paragraph" w:customStyle="1" w:styleId="IAPODICost">
    <w:name w:val="IAPODICost"/>
    <w:basedOn w:val="IATableLabel"/>
    <w:link w:val="IAPODICostChar"/>
    <w:rsid w:val="000E3FD7"/>
    <w:rPr>
      <w:b w:val="0"/>
      <w:sz w:val="22"/>
      <w:szCs w:val="22"/>
    </w:rPr>
  </w:style>
  <w:style w:type="character" w:customStyle="1" w:styleId="IAPODICostChar">
    <w:name w:val="IAPODICost Char"/>
    <w:link w:val="IAPODICost"/>
    <w:locked/>
    <w:rsid w:val="000E3FD7"/>
    <w:rPr>
      <w:rFonts w:ascii="Arial" w:eastAsia="SimSun" w:hAnsi="Arial"/>
      <w:b/>
      <w:color w:val="000000"/>
      <w:spacing w:val="-5"/>
      <w:sz w:val="22"/>
      <w:lang w:val="en-GB" w:eastAsia="zh-CN"/>
    </w:rPr>
  </w:style>
  <w:style w:type="paragraph" w:customStyle="1" w:styleId="IAPODIBen">
    <w:name w:val="IAPODIBen"/>
    <w:basedOn w:val="IATableLabel"/>
    <w:link w:val="IAPODIBenChar"/>
    <w:rsid w:val="000E3FD7"/>
    <w:rPr>
      <w:b w:val="0"/>
      <w:sz w:val="22"/>
      <w:szCs w:val="22"/>
    </w:rPr>
  </w:style>
  <w:style w:type="paragraph" w:customStyle="1" w:styleId="IAPODINet">
    <w:name w:val="IAPODINet"/>
    <w:basedOn w:val="IATableLabel"/>
    <w:link w:val="IAPODINetChar"/>
    <w:rsid w:val="000E3FD7"/>
    <w:rPr>
      <w:b w:val="0"/>
      <w:sz w:val="22"/>
      <w:szCs w:val="22"/>
    </w:rPr>
  </w:style>
  <w:style w:type="paragraph" w:customStyle="1" w:styleId="IAPODIOIOO">
    <w:name w:val="IAPODIOIOO"/>
    <w:basedOn w:val="IATableLabel"/>
    <w:rsid w:val="000E3FD7"/>
    <w:rPr>
      <w:b w:val="0"/>
      <w:sz w:val="22"/>
      <w:szCs w:val="22"/>
    </w:rPr>
  </w:style>
  <w:style w:type="character" w:customStyle="1" w:styleId="IAPODINetChar">
    <w:name w:val="IAPODINet Char"/>
    <w:link w:val="IAPODINet"/>
    <w:locked/>
    <w:rsid w:val="000E3FD7"/>
    <w:rPr>
      <w:rFonts w:ascii="Arial" w:eastAsia="SimSun" w:hAnsi="Arial"/>
      <w:b/>
      <w:color w:val="000000"/>
      <w:spacing w:val="-5"/>
      <w:sz w:val="22"/>
      <w:lang w:val="en-GB" w:eastAsia="zh-CN"/>
    </w:rPr>
  </w:style>
  <w:style w:type="character" w:customStyle="1" w:styleId="IAPODIBenChar">
    <w:name w:val="IAPODIBen Char"/>
    <w:link w:val="IAPODIBen"/>
    <w:locked/>
    <w:rsid w:val="000E3FD7"/>
    <w:rPr>
      <w:rFonts w:ascii="Arial" w:eastAsia="SimSun" w:hAnsi="Arial"/>
      <w:b/>
      <w:color w:val="000000"/>
      <w:spacing w:val="-5"/>
      <w:sz w:val="22"/>
      <w:lang w:val="en-GB" w:eastAsia="zh-CN"/>
    </w:rPr>
  </w:style>
  <w:style w:type="paragraph" w:customStyle="1" w:styleId="IAPODIMQ">
    <w:name w:val="IAPODIMQ"/>
    <w:basedOn w:val="IATableText"/>
    <w:rsid w:val="000E3FD7"/>
    <w:rPr>
      <w:color w:val="000000"/>
      <w:sz w:val="20"/>
    </w:rPr>
  </w:style>
  <w:style w:type="paragraph" w:customStyle="1" w:styleId="ebbullet0">
    <w:name w:val="ebbullet"/>
    <w:basedOn w:val="Normal"/>
    <w:rsid w:val="001F5423"/>
    <w:pPr>
      <w:spacing w:before="100" w:beforeAutospacing="1" w:after="100" w:afterAutospacing="1"/>
    </w:pPr>
    <w:rPr>
      <w:rFonts w:ascii="Times New Roman" w:hAnsi="Times New Roman"/>
      <w:lang w:eastAsia="en-GB"/>
    </w:rPr>
  </w:style>
  <w:style w:type="paragraph" w:customStyle="1" w:styleId="IATitle">
    <w:name w:val="IATitle"/>
    <w:basedOn w:val="Normal"/>
    <w:rsid w:val="005F32E7"/>
    <w:pPr>
      <w:ind w:left="113"/>
    </w:pPr>
    <w:rPr>
      <w:rFonts w:eastAsia="SimSun" w:cs="Arial"/>
      <w:sz w:val="20"/>
    </w:rPr>
  </w:style>
  <w:style w:type="paragraph" w:customStyle="1" w:styleId="IANo">
    <w:name w:val="IANo"/>
    <w:basedOn w:val="Normal"/>
    <w:link w:val="IANoChar"/>
    <w:rsid w:val="005F32E7"/>
    <w:pPr>
      <w:ind w:left="113"/>
    </w:pPr>
    <w:rPr>
      <w:sz w:val="20"/>
      <w:szCs w:val="22"/>
    </w:rPr>
  </w:style>
  <w:style w:type="character" w:customStyle="1" w:styleId="IAHeadDeptChar">
    <w:name w:val="IAHeadDept Char"/>
    <w:link w:val="IAHeadDept"/>
    <w:locked/>
    <w:rsid w:val="008031EC"/>
    <w:rPr>
      <w:rFonts w:ascii="Arial" w:eastAsia="SimSun" w:hAnsi="Arial"/>
      <w:b/>
      <w:color w:val="000000"/>
      <w:spacing w:val="-6"/>
      <w:sz w:val="22"/>
      <w:lang w:val="en-GB" w:eastAsia="zh-CN"/>
    </w:rPr>
  </w:style>
  <w:style w:type="character" w:customStyle="1" w:styleId="IAHeadTitleChar">
    <w:name w:val="IAHeadTitle Char"/>
    <w:link w:val="IAHeadTitle"/>
    <w:locked/>
    <w:rsid w:val="008031EC"/>
    <w:rPr>
      <w:rFonts w:ascii="Arial" w:eastAsia="SimSun" w:hAnsi="Arial"/>
      <w:b/>
      <w:color w:val="000000"/>
      <w:spacing w:val="-6"/>
      <w:sz w:val="28"/>
      <w:lang w:val="en-GB" w:eastAsia="zh-CN"/>
    </w:rPr>
  </w:style>
  <w:style w:type="character" w:customStyle="1" w:styleId="IANoChar">
    <w:name w:val="IANo Char"/>
    <w:link w:val="IANo"/>
    <w:locked/>
    <w:rsid w:val="005F32E7"/>
    <w:rPr>
      <w:rFonts w:ascii="Arial" w:eastAsia="SimSun" w:hAnsi="Arial"/>
      <w:b/>
      <w:color w:val="000000"/>
      <w:spacing w:val="-6"/>
      <w:sz w:val="22"/>
      <w:lang w:val="en-GB" w:eastAsia="en-US"/>
    </w:rPr>
  </w:style>
  <w:style w:type="paragraph" w:customStyle="1" w:styleId="IALeadDept">
    <w:name w:val="IALeadDept"/>
    <w:basedOn w:val="Normal"/>
    <w:rsid w:val="005F32E7"/>
    <w:pPr>
      <w:ind w:left="113"/>
    </w:pPr>
    <w:rPr>
      <w:rFonts w:cs="Arial"/>
      <w:noProof/>
      <w:sz w:val="20"/>
    </w:rPr>
  </w:style>
  <w:style w:type="paragraph" w:customStyle="1" w:styleId="IAOtherDepts">
    <w:name w:val="IAOtherDepts"/>
    <w:basedOn w:val="IATableLabel"/>
    <w:rsid w:val="008031EC"/>
    <w:pPr>
      <w:spacing w:after="0"/>
    </w:pPr>
    <w:rPr>
      <w:b w:val="0"/>
    </w:rPr>
  </w:style>
  <w:style w:type="paragraph" w:customStyle="1" w:styleId="IADate">
    <w:name w:val="IADate"/>
    <w:basedOn w:val="IATableLabel"/>
    <w:link w:val="IADateChar"/>
    <w:rsid w:val="008031EC"/>
    <w:rPr>
      <w:b w:val="0"/>
      <w:sz w:val="22"/>
      <w:szCs w:val="22"/>
    </w:rPr>
  </w:style>
  <w:style w:type="paragraph" w:customStyle="1" w:styleId="IAStage">
    <w:name w:val="IAStage"/>
    <w:basedOn w:val="IATableLabel"/>
    <w:link w:val="IAStageChar"/>
    <w:rsid w:val="008031EC"/>
    <w:rPr>
      <w:b w:val="0"/>
      <w:sz w:val="22"/>
    </w:rPr>
  </w:style>
  <w:style w:type="paragraph" w:customStyle="1" w:styleId="IASOI">
    <w:name w:val="IASOI"/>
    <w:basedOn w:val="IATableLabel"/>
    <w:link w:val="IASOIChar"/>
    <w:rsid w:val="008031EC"/>
    <w:rPr>
      <w:b w:val="0"/>
      <w:sz w:val="22"/>
    </w:rPr>
  </w:style>
  <w:style w:type="paragraph" w:customStyle="1" w:styleId="IATOM">
    <w:name w:val="IATOM"/>
    <w:basedOn w:val="IATableLabel"/>
    <w:link w:val="IATOMChar"/>
    <w:rsid w:val="008031EC"/>
    <w:rPr>
      <w:b w:val="0"/>
      <w:sz w:val="22"/>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174C10"/>
    <w:rPr>
      <w:rFonts w:eastAsia="SimSun"/>
      <w:color w:val="000000"/>
      <w:sz w:val="24"/>
      <w:szCs w:val="24"/>
    </w:rPr>
  </w:style>
  <w:style w:type="paragraph" w:customStyle="1" w:styleId="IAIIOTNPV">
    <w:name w:val="IAIIOTNPV"/>
    <w:basedOn w:val="IATableLabel"/>
    <w:rsid w:val="008031EC"/>
    <w:pPr>
      <w:spacing w:before="0" w:after="0"/>
      <w:jc w:val="both"/>
    </w:pPr>
    <w:rPr>
      <w:b w:val="0"/>
      <w:sz w:val="22"/>
      <w:szCs w:val="22"/>
    </w:rPr>
  </w:style>
  <w:style w:type="paragraph" w:customStyle="1" w:styleId="IAIOBNPV">
    <w:name w:val="IAIOBNPV"/>
    <w:basedOn w:val="IATableLabel"/>
    <w:rsid w:val="008031EC"/>
    <w:pPr>
      <w:spacing w:before="0" w:after="0"/>
    </w:pPr>
    <w:rPr>
      <w:b w:val="0"/>
      <w:sz w:val="22"/>
      <w:szCs w:val="22"/>
    </w:rPr>
  </w:style>
  <w:style w:type="paragraph" w:customStyle="1" w:styleId="IAIONCTBPY">
    <w:name w:val="IAIONCTBPY"/>
    <w:basedOn w:val="IATableLabel"/>
    <w:rsid w:val="008031EC"/>
    <w:pPr>
      <w:spacing w:before="0" w:after="0"/>
    </w:pPr>
    <w:rPr>
      <w:b w:val="0"/>
      <w:sz w:val="22"/>
      <w:szCs w:val="22"/>
    </w:rPr>
  </w:style>
  <w:style w:type="paragraph" w:customStyle="1" w:styleId="IAIOInScopeInOut">
    <w:name w:val="IAIOInScopeInOut"/>
    <w:basedOn w:val="IATableLabel"/>
    <w:rsid w:val="008369A3"/>
    <w:pPr>
      <w:spacing w:before="0" w:after="0"/>
    </w:pPr>
    <w:rPr>
      <w:b w:val="0"/>
      <w:sz w:val="22"/>
      <w:szCs w:val="22"/>
    </w:rPr>
  </w:style>
  <w:style w:type="paragraph" w:customStyle="1" w:styleId="IAIOPrefMQ">
    <w:name w:val="IAIOPrefMQ"/>
    <w:basedOn w:val="IATableText"/>
    <w:rsid w:val="008369A3"/>
    <w:pPr>
      <w:spacing w:before="0" w:after="0"/>
    </w:pPr>
    <w:rPr>
      <w:color w:val="000000"/>
      <w:szCs w:val="22"/>
    </w:rPr>
  </w:style>
  <w:style w:type="paragraph" w:customStyle="1" w:styleId="IAIOQ1">
    <w:name w:val="IAIOQ1"/>
    <w:basedOn w:val="IATableLabel"/>
    <w:rsid w:val="008369A3"/>
  </w:style>
  <w:style w:type="paragraph" w:customStyle="1" w:styleId="IAIOA1">
    <w:name w:val="IAIOA1"/>
    <w:basedOn w:val="IATableLines"/>
    <w:rsid w:val="008369A3"/>
  </w:style>
  <w:style w:type="paragraph" w:customStyle="1" w:styleId="IAIOQ2">
    <w:name w:val="IAIOQ2"/>
    <w:basedOn w:val="IATableLabel"/>
    <w:rsid w:val="008369A3"/>
  </w:style>
  <w:style w:type="paragraph" w:customStyle="1" w:styleId="IAIOA2">
    <w:name w:val="IAIOA2"/>
    <w:basedOn w:val="IATableLines"/>
    <w:rsid w:val="008369A3"/>
  </w:style>
  <w:style w:type="paragraph" w:customStyle="1" w:styleId="IAIOQ3">
    <w:name w:val="IAIOQ3"/>
    <w:basedOn w:val="IATableLabel"/>
    <w:rsid w:val="008369A3"/>
  </w:style>
  <w:style w:type="paragraph" w:customStyle="1" w:styleId="IAIOA3">
    <w:name w:val="IAIOA3"/>
    <w:basedOn w:val="IATableLines"/>
    <w:rsid w:val="008369A3"/>
  </w:style>
  <w:style w:type="paragraph" w:customStyle="1" w:styleId="IAIOPolicyReview">
    <w:name w:val="IAIOPolicyReview"/>
    <w:basedOn w:val="IATableLabel"/>
    <w:link w:val="IAIOPolicyReviewChar"/>
    <w:rsid w:val="00F91F5A"/>
    <w:rPr>
      <w:b w:val="0"/>
      <w:sz w:val="22"/>
      <w:szCs w:val="22"/>
    </w:rPr>
  </w:style>
  <w:style w:type="character" w:customStyle="1" w:styleId="IAIOPolicyReviewChar">
    <w:name w:val="IAIOPolicyReview Char"/>
    <w:link w:val="IAIOPolicyReview"/>
    <w:locked/>
    <w:rsid w:val="00F91F5A"/>
    <w:rPr>
      <w:rFonts w:ascii="Arial" w:eastAsia="SimSun" w:hAnsi="Arial"/>
      <w:b/>
      <w:color w:val="000000"/>
      <w:spacing w:val="-5"/>
      <w:sz w:val="22"/>
      <w:lang w:val="en-GB" w:eastAsia="zh-CN"/>
    </w:rPr>
  </w:style>
  <w:style w:type="paragraph" w:customStyle="1" w:styleId="IAIOReviewMonth">
    <w:name w:val="IAIOReviewMonth"/>
    <w:basedOn w:val="IATableLabel"/>
    <w:link w:val="IAIOReviewMonthChar"/>
    <w:rsid w:val="00F91F5A"/>
    <w:rPr>
      <w:b w:val="0"/>
      <w:sz w:val="22"/>
      <w:szCs w:val="22"/>
    </w:rPr>
  </w:style>
  <w:style w:type="paragraph" w:customStyle="1" w:styleId="IAIOReviewYear">
    <w:name w:val="IAIOReviewYear"/>
    <w:basedOn w:val="IATableLabel"/>
    <w:link w:val="IAIOReviewYearChar"/>
    <w:rsid w:val="00F91F5A"/>
    <w:rPr>
      <w:b w:val="0"/>
      <w:sz w:val="22"/>
      <w:szCs w:val="22"/>
    </w:rPr>
  </w:style>
  <w:style w:type="paragraph" w:customStyle="1" w:styleId="IAIOCheckEU">
    <w:name w:val="IAIOCheckEU"/>
    <w:basedOn w:val="IATableText"/>
    <w:rsid w:val="00F91F5A"/>
    <w:pPr>
      <w:spacing w:before="0" w:after="0"/>
    </w:pPr>
    <w:rPr>
      <w:sz w:val="20"/>
    </w:rPr>
  </w:style>
  <w:style w:type="character" w:customStyle="1" w:styleId="IAIOReviewYearChar">
    <w:name w:val="IAIOReviewYear Char"/>
    <w:link w:val="IAIOReviewYear"/>
    <w:locked/>
    <w:rsid w:val="00F91F5A"/>
    <w:rPr>
      <w:rFonts w:ascii="Arial" w:eastAsia="SimSun" w:hAnsi="Arial"/>
      <w:b/>
      <w:color w:val="000000"/>
      <w:spacing w:val="-5"/>
      <w:sz w:val="22"/>
      <w:lang w:val="en-GB" w:eastAsia="zh-CN"/>
    </w:rPr>
  </w:style>
  <w:style w:type="character" w:customStyle="1" w:styleId="IAIOReviewMonthChar">
    <w:name w:val="IAIOReviewMonth Char"/>
    <w:link w:val="IAIOReviewMonth"/>
    <w:locked/>
    <w:rsid w:val="00F91F5A"/>
    <w:rPr>
      <w:rFonts w:ascii="Arial" w:eastAsia="SimSun" w:hAnsi="Arial"/>
      <w:b/>
      <w:color w:val="000000"/>
      <w:spacing w:val="-5"/>
      <w:sz w:val="22"/>
      <w:lang w:val="en-GB" w:eastAsia="zh-CN"/>
    </w:rPr>
  </w:style>
  <w:style w:type="paragraph" w:customStyle="1" w:styleId="IAIOCheckMicro">
    <w:name w:val="IAIOCheckMicro"/>
    <w:basedOn w:val="IATableLines"/>
    <w:link w:val="IAIOCheckMicroChar"/>
    <w:rsid w:val="00F91F5A"/>
    <w:rPr>
      <w:sz w:val="20"/>
    </w:rPr>
  </w:style>
  <w:style w:type="paragraph" w:customStyle="1" w:styleId="IAIOCheck20">
    <w:name w:val="IAIOCheck20"/>
    <w:basedOn w:val="IATableLines"/>
    <w:rsid w:val="00F91F5A"/>
    <w:rPr>
      <w:sz w:val="20"/>
    </w:rPr>
  </w:style>
  <w:style w:type="paragraph" w:customStyle="1" w:styleId="IAIOCheckSmall">
    <w:name w:val="IAIOCheckSmall"/>
    <w:basedOn w:val="IATableLines"/>
    <w:link w:val="IAIOCheckSmallChar"/>
    <w:rsid w:val="00F91F5A"/>
    <w:rPr>
      <w:sz w:val="20"/>
    </w:rPr>
  </w:style>
  <w:style w:type="paragraph" w:customStyle="1" w:styleId="IAIOCheckMedium">
    <w:name w:val="IAIOCheckMedium"/>
    <w:basedOn w:val="IATableLines"/>
    <w:link w:val="IAIOCheckMediumChar"/>
    <w:rsid w:val="00F91F5A"/>
    <w:rPr>
      <w:sz w:val="20"/>
    </w:rPr>
  </w:style>
  <w:style w:type="paragraph" w:customStyle="1" w:styleId="IAIOCheckLarge">
    <w:name w:val="IAIOCheckLarge"/>
    <w:basedOn w:val="IATableLines"/>
    <w:link w:val="IAIOCheckLargeChar"/>
    <w:rsid w:val="00F91F5A"/>
    <w:rPr>
      <w:sz w:val="20"/>
    </w:rPr>
  </w:style>
  <w:style w:type="paragraph" w:customStyle="1" w:styleId="IAIOCO2Traded">
    <w:name w:val="IAIOCO2Traded"/>
    <w:basedOn w:val="IATableLabel"/>
    <w:link w:val="IAIOCO2TradedChar"/>
    <w:rsid w:val="00F91F5A"/>
    <w:rPr>
      <w:b w:val="0"/>
      <w:sz w:val="22"/>
    </w:rPr>
  </w:style>
  <w:style w:type="paragraph" w:customStyle="1" w:styleId="IAIOCO2NonTraded">
    <w:name w:val="IAIOCO2NonTraded"/>
    <w:basedOn w:val="IAIOCO2Traded"/>
    <w:rsid w:val="008155E3"/>
    <w:rPr>
      <w:sz w:val="20"/>
    </w:rPr>
  </w:style>
  <w:style w:type="paragraph" w:customStyle="1" w:styleId="IAIOtextSign">
    <w:name w:val="IAIOtextSign"/>
    <w:basedOn w:val="Normal"/>
    <w:rsid w:val="00F91F5A"/>
    <w:pPr>
      <w:jc w:val="center"/>
    </w:pPr>
  </w:style>
  <w:style w:type="paragraph" w:customStyle="1" w:styleId="IAIOSigDate">
    <w:name w:val="IAIOSigDate"/>
    <w:basedOn w:val="Normal"/>
    <w:rsid w:val="00F91F5A"/>
    <w:pPr>
      <w:jc w:val="center"/>
    </w:pPr>
    <w:rPr>
      <w:sz w:val="22"/>
      <w:szCs w:val="22"/>
    </w:rPr>
  </w:style>
  <w:style w:type="paragraph" w:customStyle="1" w:styleId="IAPODescription">
    <w:name w:val="IAPODescription"/>
    <w:basedOn w:val="IAHeadLabel"/>
    <w:link w:val="IAPODescriptionCharChar"/>
    <w:rsid w:val="00D00846"/>
    <w:pPr>
      <w:spacing w:before="50"/>
    </w:pPr>
    <w:rPr>
      <w:b w:val="0"/>
    </w:rPr>
  </w:style>
  <w:style w:type="character" w:customStyle="1" w:styleId="IAPODescriptionCharChar">
    <w:name w:val="IAPODescription Char Char"/>
    <w:basedOn w:val="IAHeadLabelChar"/>
    <w:link w:val="IAPODescription"/>
    <w:locked/>
    <w:rsid w:val="00D00846"/>
    <w:rPr>
      <w:rFonts w:ascii="Arial" w:eastAsia="SimSun" w:hAnsi="Arial" w:cs="Times New Roman"/>
      <w:b/>
      <w:color w:val="000000"/>
      <w:spacing w:val="-5"/>
      <w:lang w:val="en-GB" w:eastAsia="zh-CN" w:bidi="ar-SA"/>
    </w:rPr>
  </w:style>
  <w:style w:type="character" w:customStyle="1" w:styleId="IADateChar">
    <w:name w:val="IADate Char"/>
    <w:link w:val="IADate"/>
    <w:locked/>
    <w:rsid w:val="00174C10"/>
    <w:rPr>
      <w:rFonts w:ascii="Arial" w:eastAsia="SimSun" w:hAnsi="Arial"/>
      <w:b/>
      <w:color w:val="000000"/>
      <w:spacing w:val="-5"/>
      <w:sz w:val="22"/>
      <w:lang w:val="en-GB" w:eastAsia="zh-CN"/>
    </w:rPr>
  </w:style>
  <w:style w:type="character" w:customStyle="1" w:styleId="IATableLinesChar">
    <w:name w:val="IATableLines Char"/>
    <w:basedOn w:val="IATableTextChar"/>
    <w:link w:val="IATableLines"/>
    <w:locked/>
    <w:rsid w:val="00174C10"/>
    <w:rPr>
      <w:rFonts w:ascii="Arial" w:eastAsia="SimSun" w:hAnsi="Arial" w:cs="Times New Roman"/>
      <w:b/>
      <w:color w:val="000000"/>
      <w:spacing w:val="-5"/>
      <w:sz w:val="22"/>
      <w:lang w:val="en-GB" w:eastAsia="zh-CN" w:bidi="ar-SA"/>
    </w:rPr>
  </w:style>
  <w:style w:type="character" w:customStyle="1" w:styleId="IACOEChar">
    <w:name w:val="IACOE Char"/>
    <w:link w:val="IACOE"/>
    <w:locked/>
    <w:rsid w:val="00B225B0"/>
    <w:rPr>
      <w:rFonts w:ascii="Arial" w:eastAsia="SimSun" w:hAnsi="Arial"/>
      <w:b/>
      <w:color w:val="000000"/>
      <w:spacing w:val="-5"/>
      <w:sz w:val="24"/>
      <w:lang w:val="en-GB" w:eastAsia="zh-CN"/>
    </w:rPr>
  </w:style>
  <w:style w:type="character" w:customStyle="1" w:styleId="IAStageChar">
    <w:name w:val="IAStage Char"/>
    <w:link w:val="IAStage"/>
    <w:locked/>
    <w:rsid w:val="00174C10"/>
    <w:rPr>
      <w:rFonts w:ascii="Arial" w:eastAsia="SimSun" w:hAnsi="Arial"/>
      <w:b/>
      <w:color w:val="000000"/>
      <w:spacing w:val="-5"/>
      <w:sz w:val="22"/>
      <w:lang w:val="en-GB" w:eastAsia="zh-CN"/>
    </w:rPr>
  </w:style>
  <w:style w:type="character" w:customStyle="1" w:styleId="IASOIChar">
    <w:name w:val="IASOI Char"/>
    <w:link w:val="IASOI"/>
    <w:locked/>
    <w:rsid w:val="00174C10"/>
    <w:rPr>
      <w:rFonts w:ascii="Arial" w:eastAsia="SimSun" w:hAnsi="Arial"/>
      <w:b/>
      <w:color w:val="000000"/>
      <w:spacing w:val="-5"/>
      <w:sz w:val="22"/>
      <w:lang w:val="en-GB" w:eastAsia="zh-CN"/>
    </w:rPr>
  </w:style>
  <w:style w:type="character" w:customStyle="1" w:styleId="IATOMChar">
    <w:name w:val="IATOM Char"/>
    <w:link w:val="IATOM"/>
    <w:locked/>
    <w:rsid w:val="00174C10"/>
    <w:rPr>
      <w:rFonts w:ascii="Arial" w:eastAsia="SimSun" w:hAnsi="Arial"/>
      <w:b/>
      <w:color w:val="000000"/>
      <w:spacing w:val="-5"/>
      <w:sz w:val="22"/>
      <w:lang w:val="en-GB" w:eastAsia="zh-CN"/>
    </w:rPr>
  </w:style>
  <w:style w:type="character" w:customStyle="1" w:styleId="IARPCChar">
    <w:name w:val="IARPC Char"/>
    <w:link w:val="IARPC"/>
    <w:locked/>
    <w:rsid w:val="00174C10"/>
    <w:rPr>
      <w:rFonts w:ascii="Arial" w:eastAsia="SimSun" w:hAnsi="Arial"/>
      <w:color w:val="000000"/>
      <w:kern w:val="28"/>
      <w:sz w:val="24"/>
      <w:lang w:val="en-GB" w:eastAsia="en-US"/>
    </w:rPr>
  </w:style>
  <w:style w:type="character" w:customStyle="1" w:styleId="IAIOCheckMicroChar">
    <w:name w:val="IAIOCheckMicro Char"/>
    <w:basedOn w:val="IATableLinesChar"/>
    <w:link w:val="IAIOCheckMicro"/>
    <w:locked/>
    <w:rsid w:val="00D478C9"/>
    <w:rPr>
      <w:rFonts w:ascii="Arial" w:eastAsia="SimSun" w:hAnsi="Arial" w:cs="Times New Roman"/>
      <w:b/>
      <w:color w:val="000000"/>
      <w:spacing w:val="-5"/>
      <w:sz w:val="22"/>
      <w:lang w:val="en-GB" w:eastAsia="zh-CN" w:bidi="ar-SA"/>
    </w:rPr>
  </w:style>
  <w:style w:type="character" w:customStyle="1" w:styleId="IAIOCheckSmallChar">
    <w:name w:val="IAIOCheckSmall Char"/>
    <w:basedOn w:val="IATableLinesChar"/>
    <w:link w:val="IAIOCheckSmall"/>
    <w:locked/>
    <w:rsid w:val="00D478C9"/>
    <w:rPr>
      <w:rFonts w:ascii="Arial" w:eastAsia="SimSun" w:hAnsi="Arial" w:cs="Times New Roman"/>
      <w:b/>
      <w:color w:val="000000"/>
      <w:spacing w:val="-5"/>
      <w:sz w:val="22"/>
      <w:lang w:val="en-GB" w:eastAsia="zh-CN" w:bidi="ar-SA"/>
    </w:rPr>
  </w:style>
  <w:style w:type="character" w:customStyle="1" w:styleId="IAIOCheckMediumChar">
    <w:name w:val="IAIOCheckMedium Char"/>
    <w:basedOn w:val="IATableLinesChar"/>
    <w:link w:val="IAIOCheckMedium"/>
    <w:locked/>
    <w:rsid w:val="00D478C9"/>
    <w:rPr>
      <w:rFonts w:ascii="Arial" w:eastAsia="SimSun" w:hAnsi="Arial" w:cs="Times New Roman"/>
      <w:b/>
      <w:color w:val="000000"/>
      <w:spacing w:val="-5"/>
      <w:sz w:val="22"/>
      <w:lang w:val="en-GB" w:eastAsia="zh-CN" w:bidi="ar-SA"/>
    </w:rPr>
  </w:style>
  <w:style w:type="character" w:customStyle="1" w:styleId="IAIOCheckLargeChar">
    <w:name w:val="IAIOCheckLarge Char"/>
    <w:basedOn w:val="IATableLinesChar"/>
    <w:link w:val="IAIOCheckLarge"/>
    <w:locked/>
    <w:rsid w:val="00D478C9"/>
    <w:rPr>
      <w:rFonts w:ascii="Arial" w:eastAsia="SimSun" w:hAnsi="Arial" w:cs="Times New Roman"/>
      <w:b/>
      <w:color w:val="000000"/>
      <w:spacing w:val="-5"/>
      <w:sz w:val="22"/>
      <w:lang w:val="en-GB" w:eastAsia="zh-CN" w:bidi="ar-SA"/>
    </w:rPr>
  </w:style>
  <w:style w:type="character" w:customStyle="1" w:styleId="IAIOCO2TradedChar">
    <w:name w:val="IAIOCO2Traded Char"/>
    <w:link w:val="IAIOCO2Traded"/>
    <w:locked/>
    <w:rsid w:val="00D478C9"/>
    <w:rPr>
      <w:rFonts w:ascii="Arial" w:eastAsia="SimSun" w:hAnsi="Arial"/>
      <w:b/>
      <w:color w:val="000000"/>
      <w:spacing w:val="-5"/>
      <w:sz w:val="22"/>
      <w:lang w:val="en-GB" w:eastAsia="zh-CN"/>
    </w:rPr>
  </w:style>
  <w:style w:type="character" w:customStyle="1" w:styleId="IALabel">
    <w:name w:val="IALabel"/>
    <w:rsid w:val="009F6692"/>
    <w:rPr>
      <w:color w:val="000000"/>
      <w:sz w:val="20"/>
    </w:rPr>
  </w:style>
  <w:style w:type="character" w:styleId="UnresolvedMention">
    <w:name w:val="Unresolved Mention"/>
    <w:basedOn w:val="DefaultParagraphFont"/>
    <w:uiPriority w:val="99"/>
    <w:unhideWhenUsed/>
    <w:rsid w:val="00D64409"/>
    <w:rPr>
      <w:color w:val="605E5C"/>
      <w:shd w:val="clear" w:color="auto" w:fill="E1DFDD"/>
    </w:rPr>
  </w:style>
  <w:style w:type="paragraph" w:styleId="ListParagraph">
    <w:name w:val="List Paragraph"/>
    <w:basedOn w:val="Normal"/>
    <w:uiPriority w:val="34"/>
    <w:qFormat/>
    <w:rsid w:val="00D64409"/>
    <w:pPr>
      <w:ind w:left="720"/>
      <w:contextualSpacing/>
    </w:pPr>
  </w:style>
  <w:style w:type="character" w:styleId="CommentReference">
    <w:name w:val="annotation reference"/>
    <w:basedOn w:val="DefaultParagraphFont"/>
    <w:rsid w:val="00411398"/>
    <w:rPr>
      <w:sz w:val="16"/>
      <w:szCs w:val="16"/>
    </w:rPr>
  </w:style>
  <w:style w:type="paragraph" w:styleId="CommentText">
    <w:name w:val="annotation text"/>
    <w:basedOn w:val="Normal"/>
    <w:link w:val="CommentTextChar"/>
    <w:rsid w:val="00411398"/>
    <w:rPr>
      <w:sz w:val="20"/>
      <w:szCs w:val="20"/>
    </w:rPr>
  </w:style>
  <w:style w:type="character" w:customStyle="1" w:styleId="CommentTextChar">
    <w:name w:val="Comment Text Char"/>
    <w:basedOn w:val="DefaultParagraphFont"/>
    <w:link w:val="CommentText"/>
    <w:rsid w:val="00411398"/>
    <w:rPr>
      <w:rFonts w:ascii="Arial" w:hAnsi="Arial"/>
      <w:lang w:eastAsia="en-US"/>
    </w:rPr>
  </w:style>
  <w:style w:type="paragraph" w:styleId="CommentSubject">
    <w:name w:val="annotation subject"/>
    <w:basedOn w:val="CommentText"/>
    <w:next w:val="CommentText"/>
    <w:link w:val="CommentSubjectChar"/>
    <w:rsid w:val="00411398"/>
    <w:rPr>
      <w:b/>
      <w:bCs/>
    </w:rPr>
  </w:style>
  <w:style w:type="character" w:customStyle="1" w:styleId="CommentSubjectChar">
    <w:name w:val="Comment Subject Char"/>
    <w:basedOn w:val="CommentTextChar"/>
    <w:link w:val="CommentSubject"/>
    <w:rsid w:val="00411398"/>
    <w:rPr>
      <w:rFonts w:ascii="Arial" w:hAnsi="Arial"/>
      <w:b/>
      <w:bCs/>
      <w:lang w:eastAsia="en-US"/>
    </w:rPr>
  </w:style>
  <w:style w:type="paragraph" w:styleId="Caption">
    <w:name w:val="caption"/>
    <w:basedOn w:val="Normal"/>
    <w:next w:val="Normal"/>
    <w:unhideWhenUsed/>
    <w:qFormat/>
    <w:rsid w:val="00B83DE6"/>
    <w:pPr>
      <w:spacing w:after="200"/>
    </w:pPr>
    <w:rPr>
      <w:i/>
      <w:iCs/>
      <w:color w:val="1F497D" w:themeColor="text2"/>
      <w:sz w:val="18"/>
      <w:szCs w:val="18"/>
    </w:rPr>
  </w:style>
  <w:style w:type="character" w:styleId="Mention">
    <w:name w:val="Mention"/>
    <w:basedOn w:val="DefaultParagraphFont"/>
    <w:uiPriority w:val="99"/>
    <w:unhideWhenUsed/>
    <w:rsid w:val="009520BC"/>
    <w:rPr>
      <w:color w:val="2B579A"/>
      <w:shd w:val="clear" w:color="auto" w:fill="E1DFDD"/>
    </w:rPr>
  </w:style>
  <w:style w:type="paragraph" w:styleId="Revision">
    <w:name w:val="Revision"/>
    <w:hidden/>
    <w:uiPriority w:val="99"/>
    <w:semiHidden/>
    <w:rsid w:val="00FC05A0"/>
    <w:rPr>
      <w:rFonts w:ascii="Arial" w:hAnsi="Arial"/>
      <w:sz w:val="24"/>
      <w:szCs w:val="24"/>
      <w:lang w:eastAsia="en-US"/>
    </w:rPr>
  </w:style>
  <w:style w:type="paragraph" w:styleId="NormalWeb">
    <w:name w:val="Normal (Web)"/>
    <w:basedOn w:val="Normal"/>
    <w:uiPriority w:val="99"/>
    <w:unhideWhenUsed/>
    <w:rsid w:val="00F149D1"/>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1511">
      <w:bodyDiv w:val="1"/>
      <w:marLeft w:val="0"/>
      <w:marRight w:val="0"/>
      <w:marTop w:val="0"/>
      <w:marBottom w:val="0"/>
      <w:divBdr>
        <w:top w:val="none" w:sz="0" w:space="0" w:color="auto"/>
        <w:left w:val="none" w:sz="0" w:space="0" w:color="auto"/>
        <w:bottom w:val="none" w:sz="0" w:space="0" w:color="auto"/>
        <w:right w:val="none" w:sz="0" w:space="0" w:color="auto"/>
      </w:divBdr>
    </w:div>
    <w:div w:id="629481647">
      <w:bodyDiv w:val="1"/>
      <w:marLeft w:val="0"/>
      <w:marRight w:val="0"/>
      <w:marTop w:val="0"/>
      <w:marBottom w:val="0"/>
      <w:divBdr>
        <w:top w:val="none" w:sz="0" w:space="0" w:color="auto"/>
        <w:left w:val="none" w:sz="0" w:space="0" w:color="auto"/>
        <w:bottom w:val="none" w:sz="0" w:space="0" w:color="auto"/>
        <w:right w:val="none" w:sz="0" w:space="0" w:color="auto"/>
      </w:divBdr>
    </w:div>
    <w:div w:id="778455291">
      <w:bodyDiv w:val="1"/>
      <w:marLeft w:val="0"/>
      <w:marRight w:val="0"/>
      <w:marTop w:val="0"/>
      <w:marBottom w:val="0"/>
      <w:divBdr>
        <w:top w:val="none" w:sz="0" w:space="0" w:color="auto"/>
        <w:left w:val="none" w:sz="0" w:space="0" w:color="auto"/>
        <w:bottom w:val="none" w:sz="0" w:space="0" w:color="auto"/>
        <w:right w:val="none" w:sz="0" w:space="0" w:color="auto"/>
      </w:divBdr>
    </w:div>
    <w:div w:id="1700550187">
      <w:bodyDiv w:val="1"/>
      <w:marLeft w:val="0"/>
      <w:marRight w:val="0"/>
      <w:marTop w:val="0"/>
      <w:marBottom w:val="0"/>
      <w:divBdr>
        <w:top w:val="none" w:sz="0" w:space="0" w:color="auto"/>
        <w:left w:val="none" w:sz="0" w:space="0" w:color="auto"/>
        <w:bottom w:val="none" w:sz="0" w:space="0" w:color="auto"/>
        <w:right w:val="none" w:sz="0" w:space="0" w:color="auto"/>
      </w:divBdr>
    </w:div>
    <w:div w:id="1948464181">
      <w:marLeft w:val="0"/>
      <w:marRight w:val="0"/>
      <w:marTop w:val="0"/>
      <w:marBottom w:val="0"/>
      <w:divBdr>
        <w:top w:val="none" w:sz="0" w:space="0" w:color="auto"/>
        <w:left w:val="none" w:sz="0" w:space="0" w:color="auto"/>
        <w:bottom w:val="none" w:sz="0" w:space="0" w:color="auto"/>
        <w:right w:val="none" w:sz="0" w:space="0" w:color="auto"/>
      </w:divBdr>
    </w:div>
    <w:div w:id="1948464182">
      <w:marLeft w:val="0"/>
      <w:marRight w:val="0"/>
      <w:marTop w:val="0"/>
      <w:marBottom w:val="0"/>
      <w:divBdr>
        <w:top w:val="none" w:sz="0" w:space="0" w:color="auto"/>
        <w:left w:val="none" w:sz="0" w:space="0" w:color="auto"/>
        <w:bottom w:val="none" w:sz="0" w:space="0" w:color="auto"/>
        <w:right w:val="none" w:sz="0" w:space="0" w:color="auto"/>
      </w:divBdr>
    </w:div>
    <w:div w:id="1948464183">
      <w:marLeft w:val="0"/>
      <w:marRight w:val="0"/>
      <w:marTop w:val="0"/>
      <w:marBottom w:val="0"/>
      <w:divBdr>
        <w:top w:val="none" w:sz="0" w:space="0" w:color="auto"/>
        <w:left w:val="none" w:sz="0" w:space="0" w:color="auto"/>
        <w:bottom w:val="none" w:sz="0" w:space="0" w:color="auto"/>
        <w:right w:val="none" w:sz="0" w:space="0" w:color="auto"/>
      </w:divBdr>
    </w:div>
    <w:div w:id="1948464184">
      <w:marLeft w:val="0"/>
      <w:marRight w:val="0"/>
      <w:marTop w:val="0"/>
      <w:marBottom w:val="0"/>
      <w:divBdr>
        <w:top w:val="none" w:sz="0" w:space="0" w:color="auto"/>
        <w:left w:val="none" w:sz="0" w:space="0" w:color="auto"/>
        <w:bottom w:val="none" w:sz="0" w:space="0" w:color="auto"/>
        <w:right w:val="none" w:sz="0" w:space="0" w:color="auto"/>
      </w:divBdr>
    </w:div>
    <w:div w:id="20389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businessindustryandtrade/business/activitysizeandlocation/datasets/ukbusinessactivitysizeandlocation" TargetMode="External"/><Relationship Id="rId1" Type="http://schemas.openxmlformats.org/officeDocument/2006/relationships/hyperlink" Target="https://www.ons.gov.uk/employmentandlabourmarket/peopleinwork/earningsandworkinghours/adhocs/14804annualsurveyofhoursandearningsasheestimatesofearningsfortheukbyindustryandoccupationukapril2021provisionalsoc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307881205FB4418994141768C1B34D" ma:contentTypeVersion="13" ma:contentTypeDescription="Create a new document." ma:contentTypeScope="" ma:versionID="6aec11c3fd6d9e8ddf6d91670d4cac74">
  <xsd:schema xmlns:xsd="http://www.w3.org/2001/XMLSchema" xmlns:xs="http://www.w3.org/2001/XMLSchema" xmlns:p="http://schemas.microsoft.com/office/2006/metadata/properties" xmlns:ns2="5f772fa9-4283-450c-ad3c-6fab3c26f3b6" xmlns:ns3="a230e45d-a63f-4851-9663-1ed474a4b52f" targetNamespace="http://schemas.microsoft.com/office/2006/metadata/properties" ma:root="true" ma:fieldsID="0790ffac8c97b444866d682ac9d88ce6" ns2:_="" ns3:_="">
    <xsd:import namespace="5f772fa9-4283-450c-ad3c-6fab3c26f3b6"/>
    <xsd:import namespace="a230e45d-a63f-4851-9663-1ed474a4b5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AutoTags" minOccurs="0"/>
                <xsd:element ref="ns2:_Flow_SignoffStatu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2fa9-4283-450c-ad3c-6fab3c26f3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0e45d-a63f-4851-9663-1ed474a4b5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f772fa9-4283-450c-ad3c-6fab3c26f3b6" xsi:nil="true"/>
    <_dlc_DocId xmlns="a230e45d-a63f-4851-9663-1ed474a4b52f">ESAT-1549316145-8017</_dlc_DocId>
    <_dlc_DocIdUrl xmlns="a230e45d-a63f-4851-9663-1ed474a4b52f">
      <Url>https://hsegov.sharepoint.com/sites/EconomicandSocialAnalysis/_layouts/15/DocIdRedir.aspx?ID=ESAT-1549316145-8017</Url>
      <Description>ESAT-1549316145-8017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B879F8-11DD-4653-91B7-FFC6A63A089D}">
  <ds:schemaRefs>
    <ds:schemaRef ds:uri="http://schemas.openxmlformats.org/officeDocument/2006/bibliography"/>
  </ds:schemaRefs>
</ds:datastoreItem>
</file>

<file path=customXml/itemProps2.xml><?xml version="1.0" encoding="utf-8"?>
<ds:datastoreItem xmlns:ds="http://schemas.openxmlformats.org/officeDocument/2006/customXml" ds:itemID="{CBA124E3-7960-461B-827E-672A518D5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2fa9-4283-450c-ad3c-6fab3c26f3b6"/>
    <ds:schemaRef ds:uri="a230e45d-a63f-4851-9663-1ed474a4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84785-DEBC-4DCB-8936-399DEDC02A93}">
  <ds:schemaRefs>
    <ds:schemaRef ds:uri="http://schemas.microsoft.com/sharepoint/v3/contenttype/forms"/>
  </ds:schemaRefs>
</ds:datastoreItem>
</file>

<file path=customXml/itemProps4.xml><?xml version="1.0" encoding="utf-8"?>
<ds:datastoreItem xmlns:ds="http://schemas.openxmlformats.org/officeDocument/2006/customXml" ds:itemID="{56A56556-CAD5-4CC4-8ECD-87AA9FE2CBA5}">
  <ds:schemaRefs>
    <ds:schemaRef ds:uri="http://schemas.microsoft.com/office/2006/metadata/properties"/>
    <ds:schemaRef ds:uri="http://schemas.microsoft.com/office/infopath/2007/PartnerControls"/>
    <ds:schemaRef ds:uri="5f772fa9-4283-450c-ad3c-6fab3c26f3b6"/>
    <ds:schemaRef ds:uri="a230e45d-a63f-4851-9663-1ed474a4b52f"/>
  </ds:schemaRefs>
</ds:datastoreItem>
</file>

<file path=customXml/itemProps5.xml><?xml version="1.0" encoding="utf-8"?>
<ds:datastoreItem xmlns:ds="http://schemas.openxmlformats.org/officeDocument/2006/customXml" ds:itemID="{C73D1403-0D8D-4018-904D-FD20D4D617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6634</Words>
  <Characters>37818</Characters>
  <Application>Microsoft Office Word</Application>
  <DocSecurity>0</DocSecurity>
  <Lines>315</Lines>
  <Paragraphs>88</Paragraphs>
  <ScaleCrop>false</ScaleCrop>
  <Company>BIS</Company>
  <LinksUpToDate>false</LinksUpToDate>
  <CharactersWithSpaces>44364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template</dc:title>
  <dc:subject/>
  <dc:creator>Ricketts Simon (GO-Science)</dc:creator>
  <cp:keywords/>
  <dc:description/>
  <cp:lastModifiedBy>Katie McBoyle</cp:lastModifiedBy>
  <cp:revision>907</cp:revision>
  <cp:lastPrinted>2010-01-05T17:20:00Z</cp:lastPrinted>
  <dcterms:created xsi:type="dcterms:W3CDTF">2022-05-20T08:36:00Z</dcterms:created>
  <dcterms:modified xsi:type="dcterms:W3CDTF">2022-11-01T13:29:00Z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y fmtid="{D5CDD505-2E9C-101B-9397-08002B2CF9AE}" pid="4" name="MSIP_Label_ba62f585-b40f-4ab9-bafe-39150f03d124_Enabled">
    <vt:lpwstr>true</vt:lpwstr>
  </property>
  <property fmtid="{D5CDD505-2E9C-101B-9397-08002B2CF9AE}" pid="5" name="MSIP_Label_ba62f585-b40f-4ab9-bafe-39150f03d124_SetDate">
    <vt:lpwstr>2020-03-04T16:26:29Z</vt:lpwstr>
  </property>
  <property fmtid="{D5CDD505-2E9C-101B-9397-08002B2CF9AE}" pid="6" name="MSIP_Label_ba62f585-b40f-4ab9-bafe-39150f03d124_Method">
    <vt:lpwstr>Standard</vt:lpwstr>
  </property>
  <property fmtid="{D5CDD505-2E9C-101B-9397-08002B2CF9AE}" pid="7" name="MSIP_Label_ba62f585-b40f-4ab9-bafe-39150f03d124_Name">
    <vt:lpwstr>OFFICIAL</vt:lpwstr>
  </property>
  <property fmtid="{D5CDD505-2E9C-101B-9397-08002B2CF9AE}" pid="8" name="MSIP_Label_ba62f585-b40f-4ab9-bafe-39150f03d124_SiteId">
    <vt:lpwstr>cbac7005-02c1-43eb-b497-e6492d1b2dd8</vt:lpwstr>
  </property>
  <property fmtid="{D5CDD505-2E9C-101B-9397-08002B2CF9AE}" pid="9" name="MSIP_Label_ba62f585-b40f-4ab9-bafe-39150f03d124_ActionId">
    <vt:lpwstr>273723a1-3819-48e1-84df-000017ebce39</vt:lpwstr>
  </property>
  <property fmtid="{D5CDD505-2E9C-101B-9397-08002B2CF9AE}" pid="10" name="MSIP_Label_ba62f585-b40f-4ab9-bafe-39150f03d124_ContentBits">
    <vt:lpwstr>0</vt:lpwstr>
  </property>
  <property fmtid="{D5CDD505-2E9C-101B-9397-08002B2CF9AE}" pid="11" name="Business Unit">
    <vt:lpwstr>346;#Better Regulation Executive|9c4809b4-f43f-48c5-b33e-83ca9cbb5b79</vt:lpwstr>
  </property>
  <property fmtid="{D5CDD505-2E9C-101B-9397-08002B2CF9AE}" pid="12" name="ContentTypeId">
    <vt:lpwstr>0x01010021307881205FB4418994141768C1B34D</vt:lpwstr>
  </property>
  <property fmtid="{D5CDD505-2E9C-101B-9397-08002B2CF9AE}" pid="13" name="_dlc_DocIdItemGuid">
    <vt:lpwstr>0da9c1ef-c405-4578-b1ab-b518d7b5b505</vt:lpwstr>
  </property>
</Properties>
</file>